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template.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5"/>
        <w:spacing/>
        <w:jc w:val="center"/>
      </w:pPr>
      <w:r>
        <w:t>Anschlüsse</w:t>
      </w:r>
    </w:p>
    <w:p>
      <w:pPr>
        <w:pStyle w:val="para2"/>
      </w:pPr>
      <w:r>
        <w:t>DVI –</w:t>
      </w:r>
      <w:r>
        <w:rPr>
          <w:rFonts w:eastAsia="SimSun"/>
          <w:kern w:val="1"/>
        </w:rPr>
        <w:t>Digital Visual Interface</w:t>
      </w:r>
    </w:p>
    <w:p>
      <w:pPr>
        <w:pStyle w:val="para5"/>
      </w:pPr>
      <w:r>
        <w:t>Schnittstelle zur Übertragung von Videodaten.</w:t>
      </w:r>
    </w:p>
    <w:p>
      <w:pPr>
        <w:pStyle w:val="para3"/>
      </w:pPr>
      <w:r>
        <w:t>Pinbelegung</w:t>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rPr>
          <w:rFonts w:ascii="Arial" w:hAnsi="Arial" w:eastAsia="Arial" w:cs="Arial"/>
          <w:kern w:val="0"/>
        </w:rPr>
        <w:t xml:space="preserve">Pinbelegung von DVI </w:t>
        <w:tab/>
        <w:tab/>
        <w:tab/>
        <w:tab/>
        <w:tab/>
        <w:tab/>
        <w:t xml:space="preserve">          Die verschiedenen DVI-Arten</w:t>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rPr>
          <w:noProof/>
        </w:rPr>
        <w:drawing>
          <wp:anchor distT="89535" distB="91440" distL="89535" distR="89535" simplePos="0" relativeHeight="251658250" behindDoc="0" locked="0" layoutInCell="0" hidden="0" allowOverlap="1">
            <wp:simplePos x="0" y="0"/>
            <wp:positionH relativeFrom="page">
              <wp:posOffset>899795</wp:posOffset>
            </wp:positionH>
            <wp:positionV relativeFrom="page">
              <wp:posOffset>2205355</wp:posOffset>
            </wp:positionV>
            <wp:extent cx="2762250" cy="3209925"/>
            <wp:effectExtent l="12700" t="12700" r="12700" b="12700"/>
            <wp:wrapSquare wrapText="right"/>
            <wp:docPr id="10"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4"/>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UAAAAAggAAAgAAAAAAAAABAAAAAAAAAIkFAAABAAAAAAAAAJENAAD+EAAAvxMAAAAAAACJBQAAkQ0AAA=="/>
                        </a:ext>
                      </a:extLst>
                    </pic:cNvPicPr>
                  </pic:nvPicPr>
                  <pic:blipFill>
                    <a:blip r:embed="rId8"/>
                    <a:stretch>
                      <a:fillRect/>
                    </a:stretch>
                  </pic:blipFill>
                  <pic:spPr>
                    <a:xfrm>
                      <a:off x="0" y="0"/>
                      <a:ext cx="2762250" cy="3209925"/>
                    </a:xfrm>
                    <a:prstGeom prst="rect">
                      <a:avLst/>
                    </a:prstGeom>
                    <a:noFill/>
                    <a:ln w="12700">
                      <a:solidFill>
                        <a:srgbClr val="000000"/>
                      </a:solidFill>
                    </a:ln>
                  </pic:spPr>
                </pic:pic>
              </a:graphicData>
            </a:graphic>
          </wp:anchor>
        </w:drawing>
      </w:r>
      <w:r>
        <w:rPr>
          <w:noProof/>
        </w:rPr>
        <w:drawing>
          <wp:anchor distT="89535" distB="89535" distL="89535" distR="89535" simplePos="0" relativeHeight="251658251" behindDoc="0" locked="0" layoutInCell="0" hidden="0" allowOverlap="1">
            <wp:simplePos x="0" y="0"/>
            <wp:positionH relativeFrom="page">
              <wp:posOffset>4884420</wp:posOffset>
            </wp:positionH>
            <wp:positionV relativeFrom="page">
              <wp:posOffset>2215515</wp:posOffset>
            </wp:positionV>
            <wp:extent cx="1644650" cy="3197225"/>
            <wp:effectExtent l="12700" t="12700" r="12700" b="12700"/>
            <wp:wrapSquare wrapText="right"/>
            <wp:docPr id="11"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5"/>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UAAAAAggAAAgAAAAAAAAABAAAAAAAAAAweAAABAAAAAAAAAKENAAAeCgAAqxMAAAAAAAAMHgAAoQ0AAA=="/>
                        </a:ext>
                      </a:extLst>
                    </pic:cNvPicPr>
                  </pic:nvPicPr>
                  <pic:blipFill>
                    <a:blip r:embed="rId9"/>
                    <a:stretch>
                      <a:fillRect/>
                    </a:stretch>
                  </pic:blipFill>
                  <pic:spPr>
                    <a:xfrm>
                      <a:off x="0" y="0"/>
                      <a:ext cx="1644650" cy="3197225"/>
                    </a:xfrm>
                    <a:prstGeom prst="rect">
                      <a:avLst/>
                    </a:prstGeom>
                    <a:noFill/>
                    <a:ln w="12700">
                      <a:solidFill>
                        <a:srgbClr val="000000"/>
                      </a:solidFill>
                    </a:ln>
                  </pic:spPr>
                </pic:pic>
              </a:graphicData>
            </a:graphic>
          </wp:anchor>
        </w:drawing>
      </w:r>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rPr>
          <w:rFonts w:ascii="Arial" w:hAnsi="Arial" w:eastAsia="Arial" w:cs="Arial"/>
          <w:kern w:val="0"/>
        </w:rPr>
        <w:t>Abhängig von der Pinbelegung eines DVI-Anschlusses kann dieser</w:t>
      </w:r>
    </w:p>
    <w:p>
      <w:pPr>
        <w:pStyle w:val="para5"/>
        <w:numPr>
          <w:ilvl w:val="0"/>
          <w:numId w:val="2"/>
        </w:numPr>
        <w:ind w:left="360"/>
      </w:pPr>
      <w:r>
        <w:t>analoge (DVI-A),</w:t>
      </w:r>
    </w:p>
    <w:p>
      <w:pPr>
        <w:pStyle w:val="para5"/>
        <w:numPr>
          <w:ilvl w:val="0"/>
          <w:numId w:val="2"/>
        </w:numPr>
        <w:ind w:left="360"/>
      </w:pPr>
      <w:r>
        <w:t>digitale (DVI-D), oder</w:t>
      </w:r>
    </w:p>
    <w:p>
      <w:pPr>
        <w:pStyle w:val="para5"/>
        <w:numPr>
          <w:ilvl w:val="0"/>
          <w:numId w:val="2"/>
        </w:numPr>
        <w:ind w:left="360"/>
      </w:pPr>
      <w:r>
        <w:t>analoge und digitale (DVI-I)</w:t>
      </w:r>
    </w:p>
    <w:p>
      <w:pPr>
        <w:pStyle w:val="para5"/>
      </w:pPr>
      <w:r>
        <w:t>Signale übertragen. Zudem ist es möglich, zwei digitale Signale zugleich zu übertragen (Dual-Link), womit dann höhere Auflösungen möglich sind.</w:t>
      </w:r>
    </w:p>
    <w:p>
      <w:pPr>
        <w:pStyle w:val="para5"/>
      </w:pPr>
      <w:r>
        <w:t xml:space="preserve">Der längliche Massepin eines DVI-I-Steckers ist etwas breiter als bei einem DVI-D-Stecker, so daß ein DVI-I-Stecker nicht an eine DVI-D-Buchse angeschlossen werden kann, und zwar auch nicht nach Entfernen der vier Analogkontakte. Ein </w:t>
      </w:r>
      <w:r>
        <w:rPr>
          <w:b/>
          <w:bCs/>
        </w:rPr>
        <w:t>DVI-D-Stecker kann hingegen an eine DVI-I-Buchse</w:t>
      </w:r>
      <w:r>
        <w:t xml:space="preserve"> angeschlossen werden.</w:t>
      </w:r>
    </w:p>
    <w:p>
      <w:pPr>
        <w:pStyle w:val="para5"/>
      </w:pPr>
      <w:r>
        <w:t>Nicht jede Grafikkarte oder Monitor nutzen an ihrem Anschluß die maximalen Übertragungsmöglichkeiten der DVI-Buchse aus. Zum Beispiel kann ein Monitor eine DVI-I Buchse aufweisen, obwohl nur digitale Übertragung genutzt wird, oder eine Grafikkarte kann eine Dual-Link Buchse aufweisen, obwohl gar keine hohen Auflösungen unterstützt werden. Die DVI-I Dual-Link Buchse wird dann nur verwendet, damit alle Steckertypen passen.</w:t>
      </w:r>
    </w:p>
    <w:p>
      <w:pPr>
        <w:pStyle w:val="para3"/>
      </w:pPr>
      <w:r>
        <w:t>DVI-I</w:t>
      </w:r>
      <w:r>
        <w:rPr>
          <w:rFonts w:ascii="Times New Roman" w:hAnsi="Times New Roman" w:eastAsia="SimSun" w:cs="Times New Roman"/>
          <w:b w:val="0"/>
          <w:bCs w:val="0"/>
          <w:kern w:val="1"/>
          <w:sz w:val="20"/>
          <w:szCs w:val="20"/>
        </w:rPr>
      </w:r>
    </w:p>
    <w:p>
      <w:pPr>
        <w:pStyle w:val="para5"/>
      </w:pPr>
      <w:r>
        <w:t xml:space="preserve">DVI-I-Kabel können </w:t>
      </w:r>
      <w:r>
        <w:rPr>
          <w:b/>
          <w:bCs/>
        </w:rPr>
        <w:t>digitale und analoge Signale</w:t>
      </w:r>
      <w:r>
        <w:t xml:space="preserve"> übertragen und unterscheiden sich in der Anzahl ihrer beschalteten Steckkontakte. Ein einfaches DVI-Kabel (Single-Link) hat </w:t>
      </w:r>
      <w:r>
        <w:rPr>
          <w:b/>
          <w:bCs/>
        </w:rPr>
        <w:t>18+5</w:t>
      </w:r>
      <w:r>
        <w:t xml:space="preserve"> Kontakte und reicht für WUXGA-Auflösung 1920x1200 bei 60 Hz. Kabel mit </w:t>
      </w:r>
      <w:r>
        <w:rPr>
          <w:b/>
          <w:bCs/>
        </w:rPr>
        <w:t>24+5</w:t>
      </w:r>
      <w:r>
        <w:t xml:space="preserve"> Kontakten haben zwei TMDS-Verbindungen (Dual-Link) für hoch auflösende Bildschirme, beispielsweise WQXGA, maximal 2560×1600 Bildpunkte bei 60 Hz.</w:t>
      </w:r>
    </w:p>
    <w:p>
      <w:pPr>
        <w:pStyle w:val="para5"/>
      </w:pPr>
      <w:r>
        <w:t xml:space="preserve">Wenn an der DVI-Buchse der Grafikkarte ein kombiniertes Signal (DVI-I) zur Verfügung steht, kann an dieser Buchse mit Hilfe eines rein passiven Adapters auch ein analoger </w:t>
      </w:r>
      <w:r>
        <w:rPr>
          <w:b/>
          <w:bCs/>
        </w:rPr>
        <w:t>VGA</w:t>
      </w:r>
      <w:r>
        <w:t>-Bildschirm betrieben werden. Ein solcher DVI-I-zu-VGA-Adapter verwendet direkt die analogen und „Plug and Play“-Signale der DVI-Schnittstelle und stellt sie angeordnet gemäß dem VGA-Standard zur Verfügung. Es gibt auch Kabel, die VGA an einem und DVI am anderen Ende haben, technisch das Gleiche machen, aber ein Verbindungselement einsparen.</w:t>
      </w:r>
    </w:p>
    <w:p>
      <w:pPr>
        <w:pStyle w:val="para5"/>
      </w:pPr>
      <w:r>
        <w:t>Es ist sogar möglich, durch die Verwendung nicht dafür vorgesehener Pins zusätzlich digitale Audiodaten über den DVI-I-Anschluß zu übertragen. Diese Methode wird beispielsweise bei den Dreambox-Modellen 800/8000, die keinen HDMI-, sondern nur einen DVI-Anschluß haben, angewandt. Diese Betriebsart wird vom DVI-Standard nicht vorgesehen und das Ergebnis ist kein DVI-konformes Signal.</w:t>
      </w:r>
    </w:p>
    <w:p>
      <w:pPr>
        <w:pStyle w:val="para3"/>
      </w:pPr>
      <w:r>
        <w:t>DVI-D</w:t>
      </w:r>
    </w:p>
    <w:p>
      <w:pPr>
        <w:pStyle w:val="para5"/>
      </w:pPr>
      <w:r>
        <w:t xml:space="preserve">DVI-D-Kabel können </w:t>
      </w:r>
      <w:r>
        <w:rPr>
          <w:b/>
          <w:bCs/>
        </w:rPr>
        <w:t>nur digitale Signale</w:t>
      </w:r>
      <w:r>
        <w:t xml:space="preserve"> übertragen und unterscheiden sich in der Anzahl ihrer beschalteten Steckkontakte. DVI-D-Kabel (</w:t>
      </w:r>
      <w:r>
        <w:rPr>
          <w:b/>
          <w:bCs/>
        </w:rPr>
        <w:t>Single-Link</w:t>
      </w:r>
      <w:r>
        <w:t xml:space="preserve">) haben </w:t>
      </w:r>
      <w:r>
        <w:rPr>
          <w:b/>
          <w:bCs/>
        </w:rPr>
        <w:t>18+1</w:t>
      </w:r>
      <w:r>
        <w:t xml:space="preserve"> (in seltenen Fällen 17+1) Kontakte und reichen für WUXGA-Auflösung </w:t>
      </w:r>
      <w:r>
        <w:rPr>
          <w:b/>
          <w:bCs/>
        </w:rPr>
        <w:t>1920x1200</w:t>
      </w:r>
      <w:r>
        <w:t xml:space="preserve"> bei 60 Hz.</w:t>
      </w:r>
    </w:p>
    <w:p>
      <w:pPr>
        <w:pStyle w:val="para5"/>
      </w:pPr>
      <w:r>
        <w:t>DVI-D-Kabel (</w:t>
      </w:r>
      <w:r>
        <w:rPr>
          <w:b/>
          <w:bCs/>
        </w:rPr>
        <w:t>Dual-Link</w:t>
      </w:r>
      <w:r>
        <w:t xml:space="preserve">) haben </w:t>
      </w:r>
      <w:r>
        <w:rPr>
          <w:b/>
          <w:bCs/>
        </w:rPr>
        <w:t>24+1</w:t>
      </w:r>
      <w:r>
        <w:t xml:space="preserve"> Pins mit einer zweiten TMDS-Verbindung für maximal </w:t>
      </w:r>
      <w:r>
        <w:rPr>
          <w:b/>
          <w:bCs/>
        </w:rPr>
        <w:t>2560×1600</w:t>
      </w:r>
      <w:r>
        <w:t xml:space="preserve"> Bildpunkte bei 60 Hz (bzw. 23+1 Pins, denn bei den meisten im Handel befindlichen Kabeln ist Pin 8 nicht verbunden, selbst wenn sie als 24+1 angeboten werden). Im Handel befinden sich auch DVI-D-Kabel mit nur 12+1 Pins, hier werden keine DDC-Daten übertragen, so daß das Betriebssystem den Bildschirm nicht mehr automatisch erkennen kann.</w:t>
      </w:r>
    </w:p>
    <w:p>
      <w:pPr>
        <w:pStyle w:val="para3"/>
      </w:pPr>
      <w:r>
        <w:t>DVI-A</w:t>
      </w:r>
    </w:p>
    <w:p>
      <w:pPr>
        <w:pStyle w:val="para5"/>
      </w:pPr>
      <w:r>
        <w:t xml:space="preserve">DVI-A-Kabel können nur analoge Signale übertragen. Ein DVI-A-Stecker hat 12+5 Kontakte. In der Praxis wird DVI-A nur als </w:t>
      </w:r>
      <w:r>
        <w:rPr>
          <w:b/>
          <w:bCs/>
        </w:rPr>
        <w:t>Adapter-Kabel zu VGA</w:t>
      </w:r>
      <w:r>
        <w:t xml:space="preserve"> eingesetzt. DVI-A-Kabel können auch in DVI-I-Anschlüssen verwendet werden, da diese ebenfalls die analoge Datenübertragung ermöglichen.</w:t>
      </w:r>
    </w:p>
    <w:p>
      <w:pPr>
        <w:pStyle w:val="para5"/>
      </w:pPr>
      <w:r>
        <w:t>Ein passiver VGA-zu-DVI-A-Adapter überträgt die analogen Signale der Grafikkarte über das DVI-Kabel zum Monitor. Dieser muß einen DVI-A-Eingang besitzen, damit er die Signale darstellen kann. Der passive Adapter kann also keine Analog-Digital-Wandlung des analogen VGA-Signals durchführen; eine Qualitätsverbesserung des (schlechteren) analogen Signals durch eine „Umleitung“ in das (an sich bessere) digitale DVI-Kabel wird nicht erreicht.</w:t>
      </w:r>
    </w:p>
    <w:p>
      <w:pPr>
        <w:pStyle w:val="para5"/>
      </w:pPr>
      <w:r>
        <w:rPr>
          <w:noProof/>
        </w:rPr>
        <w:pict>
          <v:rect id="_x0000_i1026" style="width:0.00pt;height:1.00pt" o:hr="t" o:hrpct="1000" o:hralign="center" o:hrnoshade="t" fillcolor="#000000" stroked="f"/>
        </w:pict>
      </w:r>
      <w:r/>
    </w:p>
    <w:p>
      <w:pPr>
        <w:pStyle w:val="para5"/>
      </w:pPr>
      <w:r/>
    </w:p>
    <w:p>
      <w:pPr>
        <w:pStyle w:val="para1"/>
      </w:pPr>
      <w:r>
        <w:t>PCI –Peripheral Component Interconnect</w:t>
      </w:r>
    </w:p>
    <w:p>
      <w:pPr>
        <w:pStyle w:val="para5"/>
      </w:pPr>
      <w:r>
        <w:t>ein Bus-Standard zur Verbindung von Peripheriegeräten mit dem Chipsatz eines Prozessors.</w:t>
      </w:r>
    </w:p>
    <w:p>
      <w:pPr>
        <w:pStyle w:val="para5"/>
      </w:pPr>
      <w:r>
        <w:t>Mittlerweile existieren drei verschiedene Standards:</w:t>
      </w:r>
    </w:p>
    <w:p>
      <w:pPr>
        <w:pStyle w:val="para5"/>
        <w:rPr>
          <w:b/>
          <w:bCs/>
        </w:rPr>
      </w:pPr>
      <w:r>
        <w:rPr>
          <w:b/>
          <w:bCs/>
        </w:rPr>
        <w:t>konventioneller PCI</w:t>
      </w:r>
    </w:p>
    <w:p>
      <w:pPr>
        <w:pStyle w:val="para5"/>
        <w:numPr>
          <w:ilvl w:val="0"/>
          <w:numId w:val="2"/>
        </w:numPr>
        <w:ind w:left="360"/>
        <w:spacing w:after="0"/>
      </w:pPr>
      <w:r>
        <w:t>PCI 1.0, vorgeschlagen von Intel 1991</w:t>
      </w:r>
    </w:p>
    <w:p>
      <w:pPr>
        <w:pStyle w:val="para5"/>
        <w:numPr>
          <w:ilvl w:val="0"/>
          <w:numId w:val="2"/>
        </w:numPr>
        <w:ind w:left="360"/>
        <w:spacing w:after="0"/>
      </w:pPr>
      <w:r>
        <w:t>PCI 2.0, eingeführt von PCI-SIG 1993</w:t>
      </w:r>
    </w:p>
    <w:p>
      <w:pPr>
        <w:pStyle w:val="para5"/>
        <w:numPr>
          <w:ilvl w:val="0"/>
          <w:numId w:val="2"/>
        </w:numPr>
        <w:ind w:left="360"/>
        <w:spacing w:after="0"/>
      </w:pPr>
      <w:r>
        <w:t>PCI 2.1, beschlossen im Juni 1995</w:t>
      </w:r>
    </w:p>
    <w:p>
      <w:pPr>
        <w:pStyle w:val="para5"/>
        <w:numPr>
          <w:ilvl w:val="0"/>
          <w:numId w:val="2"/>
        </w:numPr>
        <w:ind w:left="360"/>
        <w:spacing w:after="0"/>
      </w:pPr>
      <w:r>
        <w:t>PCI 2.2, beschlossen im Januar 1999</w:t>
      </w:r>
    </w:p>
    <w:p>
      <w:pPr>
        <w:pStyle w:val="para5"/>
        <w:numPr>
          <w:ilvl w:val="0"/>
          <w:numId w:val="2"/>
        </w:numPr>
        <w:ind w:left="360"/>
        <w:spacing w:after="0"/>
      </w:pPr>
      <w:r>
        <w:t>PCI 2.3, beschlossen im März 2002</w:t>
      </w:r>
    </w:p>
    <w:p>
      <w:pPr>
        <w:pStyle w:val="para5"/>
        <w:numPr>
          <w:ilvl w:val="0"/>
          <w:numId w:val="2"/>
        </w:numPr>
        <w:ind w:left="360"/>
      </w:pPr>
      <w:r>
        <w:t>PCI 3.0, beschlossen im April 2004</w:t>
      </w:r>
    </w:p>
    <w:p>
      <w:pPr>
        <w:pStyle w:val="para5"/>
        <w:rPr>
          <w:b/>
          <w:bCs/>
        </w:rPr>
      </w:pPr>
      <w:r>
        <w:rPr>
          <w:b/>
          <w:bCs/>
        </w:rPr>
        <w:t>PCI-Extended (PCI-X)</w:t>
      </w:r>
    </w:p>
    <w:p>
      <w:pPr>
        <w:pStyle w:val="para5"/>
        <w:numPr>
          <w:ilvl w:val="0"/>
          <w:numId w:val="2"/>
        </w:numPr>
        <w:ind w:left="360"/>
        <w:spacing w:after="0"/>
      </w:pPr>
      <w:r>
        <w:t>PCI-X 1.0, beschlossen im September 1999</w:t>
      </w:r>
    </w:p>
    <w:p>
      <w:pPr>
        <w:pStyle w:val="para5"/>
        <w:numPr>
          <w:ilvl w:val="0"/>
          <w:numId w:val="2"/>
        </w:numPr>
        <w:ind w:left="360"/>
      </w:pPr>
      <w:r>
        <w:t>PCI-X 2.0, beschlossen im Juli 2002</w:t>
      </w:r>
    </w:p>
    <w:p>
      <w:pPr>
        <w:pStyle w:val="para5"/>
        <w:rPr>
          <w:b/>
          <w:bCs/>
        </w:rPr>
      </w:pPr>
      <w:r>
        <w:rPr>
          <w:b/>
          <w:bCs/>
        </w:rPr>
        <w:t>PCI Express (PCIe oder PCI-E)</w:t>
      </w:r>
    </w:p>
    <w:p>
      <w:pPr>
        <w:pStyle w:val="para5"/>
      </w:pPr>
      <w:r>
        <w:t>ursprünglich bekannt als 3GIO</w:t>
      </w:r>
    </w:p>
    <w:p>
      <w:pPr>
        <w:pStyle w:val="para5"/>
        <w:numPr>
          <w:ilvl w:val="0"/>
          <w:numId w:val="2"/>
        </w:numPr>
        <w:ind w:left="360"/>
        <w:spacing w:after="0"/>
      </w:pPr>
      <w:r>
        <w:t>PCI Express 1.0, beschlossen Juli 2002</w:t>
      </w:r>
    </w:p>
    <w:p>
      <w:pPr>
        <w:pStyle w:val="para5"/>
        <w:numPr>
          <w:ilvl w:val="0"/>
          <w:numId w:val="2"/>
        </w:numPr>
        <w:ind w:left="360"/>
        <w:spacing w:after="0"/>
      </w:pPr>
      <w:r>
        <w:t>PCI Express 1.1</w:t>
      </w:r>
    </w:p>
    <w:p>
      <w:pPr>
        <w:pStyle w:val="para5"/>
        <w:numPr>
          <w:ilvl w:val="0"/>
          <w:numId w:val="2"/>
        </w:numPr>
        <w:ind w:left="360"/>
        <w:spacing w:after="0"/>
      </w:pPr>
      <w:r>
        <w:t>PCI Express 2.0</w:t>
      </w:r>
    </w:p>
    <w:p>
      <w:pPr>
        <w:pStyle w:val="para5"/>
        <w:numPr>
          <w:ilvl w:val="0"/>
          <w:numId w:val="2"/>
        </w:numPr>
        <w:ind w:left="360"/>
        <w:spacing w:after="0"/>
      </w:pPr>
      <w:r>
        <w:t>PCI Express 2.1</w:t>
      </w:r>
    </w:p>
    <w:p>
      <w:pPr>
        <w:pStyle w:val="para5"/>
        <w:numPr>
          <w:ilvl w:val="0"/>
          <w:numId w:val="2"/>
        </w:numPr>
        <w:ind w:left="360"/>
      </w:pPr>
      <w:r>
        <w:t>PCI Express 3.0</w:t>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rPr>
          <w:noProof/>
        </w:rPr>
        <w:drawing>
          <wp:inline distT="89535" distB="89535" distL="89535" distR="89535">
            <wp:extent cx="3810000" cy="781050"/>
            <wp:effectExtent l="0" t="0" r="0" b="0"/>
            <wp:docPr id="1" name="Grafik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6"/>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zgQAAAAAAAAAAAAAAAAAAA=="/>
                        </a:ext>
                      </a:extLst>
                    </pic:cNvPicPr>
                  </pic:nvPicPr>
                  <pic:blipFill>
                    <a:blip r:embed="rId10"/>
                    <a:stretch>
                      <a:fillRect/>
                    </a:stretch>
                  </pic:blipFill>
                  <pic:spPr>
                    <a:xfrm>
                      <a:off x="0" y="0"/>
                      <a:ext cx="3810000" cy="781050"/>
                    </a:xfrm>
                    <a:prstGeom prst="rect">
                      <a:avLst/>
                    </a:prstGeom>
                    <a:noFill/>
                    <a:ln w="12700">
                      <a:noFill/>
                    </a:ln>
                  </pic:spPr>
                </pic:pic>
              </a:graphicData>
            </a:graphic>
          </wp:inline>
        </w:drawing>
      </w:r>
      <w:r/>
      <w:r>
        <w:rPr>
          <w:rFonts w:ascii="Arial" w:hAnsi="Arial" w:eastAsia="Arial" w:cs="Arial"/>
          <w:kern w:val="0"/>
        </w:rPr>
        <w:t xml:space="preserve"> Ein PCI-Steckplatz (32 Bit)</w:t>
      </w:r>
    </w:p>
    <w:p>
      <w:pPr>
        <w:pStyle w:val="para5"/>
      </w:pPr>
      <w:r>
        <w:rPr>
          <w:noProof/>
        </w:rPr>
        <w:drawing>
          <wp:inline distT="89535" distB="89535" distL="89535" distR="89535">
            <wp:extent cx="1685925" cy="2390775"/>
            <wp:effectExtent l="0" t="0" r="0" b="0"/>
            <wp:docPr id="2" name="Grafik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7"/>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fCgAAtQ4AAAAAAAAAAAAAAAAAAA=="/>
                        </a:ext>
                      </a:extLst>
                    </pic:cNvPicPr>
                  </pic:nvPicPr>
                  <pic:blipFill>
                    <a:blip r:embed="rId11"/>
                    <a:stretch>
                      <a:fillRect/>
                    </a:stretch>
                  </pic:blipFill>
                  <pic:spPr>
                    <a:xfrm>
                      <a:off x="0" y="0"/>
                      <a:ext cx="1685925" cy="2390775"/>
                    </a:xfrm>
                    <a:prstGeom prst="rect">
                      <a:avLst/>
                    </a:prstGeom>
                    <a:noFill/>
                    <a:ln w="12700">
                      <a:noFill/>
                    </a:ln>
                  </pic:spPr>
                </pic:pic>
              </a:graphicData>
            </a:graphic>
          </wp:inline>
        </w:drawing>
      </w:r>
      <w:r>
        <w:t xml:space="preserve"> 64-Bit-PCI 2.0-Steckplätze.</w:t>
      </w:r>
    </w:p>
    <w:p>
      <w:pPr>
        <w:pStyle w:val="para5"/>
      </w:pPr>
      <w:r>
        <w:rPr>
          <w:noProof/>
        </w:rPr>
        <w:drawing>
          <wp:inline distT="89535" distB="89535" distL="89535" distR="89535">
            <wp:extent cx="3571875" cy="2305050"/>
            <wp:effectExtent l="12700" t="12700" r="12700" b="12700"/>
            <wp:docPr id="3" name="Grafi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8"/>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D5FQAALg4AAAAAAAAAAAAAAAAAAA=="/>
                        </a:ext>
                      </a:extLst>
                    </pic:cNvPicPr>
                  </pic:nvPicPr>
                  <pic:blipFill>
                    <a:blip r:embed="rId12"/>
                    <a:stretch>
                      <a:fillRect/>
                    </a:stretch>
                  </pic:blipFill>
                  <pic:spPr>
                    <a:xfrm>
                      <a:off x="0" y="0"/>
                      <a:ext cx="3571875" cy="2305050"/>
                    </a:xfrm>
                    <a:prstGeom prst="rect">
                      <a:avLst/>
                    </a:prstGeom>
                    <a:noFill/>
                    <a:ln w="12700">
                      <a:solidFill>
                        <a:srgbClr val="000000"/>
                      </a:solidFill>
                    </a:ln>
                  </pic:spPr>
                </pic:pic>
              </a:graphicData>
            </a:graphic>
          </wp:inline>
        </w:drawing>
      </w:r>
      <w:r>
        <w:t xml:space="preserve"> PCI-Netzwerkkarte (32 Bit)</w:t>
      </w:r>
    </w:p>
    <w:p>
      <w:pPr>
        <w:pStyle w:val="para5"/>
        <w:keepNext/>
      </w:pPr>
      <w:r>
        <w:t>unten: die Kontakte für den Erweiterungsslot direkt auf der Leiterkarte (universell für 3,3 &amp; 5 V), links: das genormte Blech mit der Anschlussbuchse.</w:t>
      </w:r>
    </w:p>
    <w:p>
      <w:pPr>
        <w:pStyle w:val="para5"/>
      </w:pPr>
      <w:r/>
    </w:p>
    <w:p>
      <w:pPr>
        <w:pStyle w:val="para5"/>
      </w:pPr>
      <w:r>
        <w:rPr>
          <w:noProof/>
        </w:rPr>
        <w:drawing>
          <wp:inline distT="89535" distB="89535" distL="89535" distR="89535">
            <wp:extent cx="3810000" cy="2538095"/>
            <wp:effectExtent l="0" t="0" r="0" b="0"/>
            <wp:docPr id="4" name="Grafik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9"/>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nQ8AAAAAAAAAAAAAAAAAAA=="/>
                        </a:ext>
                      </a:extLst>
                    </pic:cNvPicPr>
                  </pic:nvPicPr>
                  <pic:blipFill>
                    <a:blip r:embed="rId13"/>
                    <a:stretch>
                      <a:fillRect/>
                    </a:stretch>
                  </pic:blipFill>
                  <pic:spPr>
                    <a:xfrm>
                      <a:off x="0" y="0"/>
                      <a:ext cx="3810000" cy="2538095"/>
                    </a:xfrm>
                    <a:prstGeom prst="rect">
                      <a:avLst/>
                    </a:prstGeom>
                    <a:noFill/>
                    <a:ln w="12700">
                      <a:noFill/>
                    </a:ln>
                  </pic:spPr>
                </pic:pic>
              </a:graphicData>
            </a:graphic>
          </wp:inline>
        </w:drawing>
      </w:r>
      <w:r>
        <w:t>Ethernetkarte (NIC) für den PCI-X-Slot.</w:t>
      </w:r>
    </w:p>
    <w:p>
      <w:pPr>
        <w:pStyle w:val="para5"/>
      </w:pPr>
      <w:r/>
    </w:p>
    <w:p>
      <w:pPr>
        <w:pStyle w:val="para5"/>
      </w:pPr>
      <w:r>
        <w:rPr>
          <w:noProof/>
        </w:rPr>
        <w:drawing>
          <wp:inline distT="89535" distB="89535" distL="89535" distR="89535">
            <wp:extent cx="3810000" cy="2585720"/>
            <wp:effectExtent l="0" t="0" r="0" b="0"/>
            <wp:docPr id="5" name="Grafik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11"/>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6A8AAAAAAAAAAAAAAAAAAA=="/>
                        </a:ext>
                      </a:extLst>
                    </pic:cNvPicPr>
                  </pic:nvPicPr>
                  <pic:blipFill>
                    <a:blip r:embed="rId14"/>
                    <a:stretch>
                      <a:fillRect/>
                    </a:stretch>
                  </pic:blipFill>
                  <pic:spPr>
                    <a:xfrm>
                      <a:off x="0" y="0"/>
                      <a:ext cx="3810000" cy="2585720"/>
                    </a:xfrm>
                    <a:prstGeom prst="rect">
                      <a:avLst/>
                    </a:prstGeom>
                    <a:noFill/>
                    <a:ln w="12700">
                      <a:noFill/>
                    </a:ln>
                  </pic:spPr>
                </pic:pic>
              </a:graphicData>
            </a:graphic>
          </wp:inline>
        </w:drawing>
      </w:r>
      <w:r>
        <w:t>PCI-E- und PCI-Steckplätze auf einem Motherboard, von oben: PCI-E-4x, -16x, -1x, -16x und konventionelles PCI</w:t>
      </w:r>
    </w:p>
    <w:p>
      <w:pPr>
        <w:pStyle w:val="para5"/>
      </w:pPr>
      <w:r/>
    </w:p>
    <w:p>
      <w:pPr>
        <w:spacing w:before="240" w:after="60"/>
        <w:keepNext/>
        <w:outlineLvl w:val="1"/>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Arial" w:hAnsi="Arial" w:cs="Arial"/>
          <w:b/>
          <w:bCs/>
          <w:sz w:val="32"/>
          <w:szCs w:val="32"/>
        </w:rPr>
      </w:pPr>
      <w:r>
        <w:rPr>
          <w:rFonts w:ascii="Arial" w:hAnsi="Arial" w:cs="Arial"/>
          <w:b/>
          <w:bCs/>
          <w:sz w:val="32"/>
          <w:szCs w:val="32"/>
        </w:rPr>
        <w:t>Abmessungen der PCI-Varianten</w:t>
      </w:r>
    </w:p>
    <w:tbl>
      <w:tblPr>
        <w:name w:val="Tabelle1"/>
        <w:tabOrder w:val="0"/>
        <w:jc w:val="left"/>
        <w:tblInd w:w="0" w:type="dxa"/>
        <w:tblW w:w="9356" w:type="dxa"/>
        <w:pPr>
          <w:pStyle w:val="para5"/>
        </w:pPr>
      </w:tblPr>
      <w:tblGrid>
        <w:gridCol w:w="1170"/>
        <w:gridCol w:w="1364"/>
        <w:gridCol w:w="1364"/>
        <w:gridCol w:w="1365"/>
        <w:gridCol w:w="1369"/>
        <w:gridCol w:w="1359"/>
        <w:gridCol w:w="1365"/>
      </w:tblGrid>
      <w:tr>
        <w:trPr>
          <w:trHeight w:val="0" w:hRule="auto"/>
        </w:trPr>
        <w:tc>
          <w:tcPr>
            <w:tcW w:w="625" w:type="pct"/>
            <w:vMerge w:val="restart"/>
            <w:tcMar>
              <w:top w:w="56" w:type="dxa"/>
              <w:left w:w="56" w:type="dxa"/>
              <w:bottom w:w="56" w:type="dxa"/>
              <w:right w:w="56" w:type="dxa"/>
            </w:tcMar>
            <w:tcBorders>
              <w:top w:val="single" w:sz="8" w:space="0" w:color="000000" tmln="20, 20, 20, 0"/>
              <w:left w:val="single" w:sz="8" w:space="0" w:color="000000" tmln="20, 20, 20, 0"/>
              <w:bottom w:val="single" w:sz="4" w:space="0" w:color="000000" tmln="10, 20, 20, 0"/>
              <w:right w:val="single" w:sz="12" w:space="0" w:color="000000" tmln="3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0" w:type="auto"/>
            <w:gridSpan w:val="3"/>
            <w:tcMar>
              <w:top w:w="57" w:type="dxa"/>
              <w:left w:w="57" w:type="dxa"/>
              <w:bottom w:w="57" w:type="dxa"/>
              <w:right w:w="57" w:type="dxa"/>
            </w:tcMar>
            <w:tcBorders>
              <w:top w:val="single" w:sz="8" w:space="0" w:color="000000" tmln="20, 20, 20, 0"/>
              <w:left w:val="nil" w:sz="0"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Standard</w:t>
            </w:r>
          </w:p>
        </w:tc>
        <w:tc>
          <w:tcPr>
            <w:tcW w:w="0" w:type="auto"/>
            <w:gridSpan w:val="3"/>
            <w:tcMar>
              <w:top w:w="57" w:type="dxa"/>
              <w:left w:w="57" w:type="dxa"/>
              <w:bottom w:w="57" w:type="dxa"/>
              <w:right w:w="57" w:type="dxa"/>
            </w:tcMar>
            <w:tcBorders>
              <w:top w:val="single" w:sz="8" w:space="0" w:color="000000" tmln="20, 20, 20, 0"/>
              <w:left w:val="thinThickLargeGap" w:sz="52" w:space="0" w:color="000000" tmln="20, 100, 1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Low Profile</w:t>
            </w:r>
          </w:p>
        </w:tc>
      </w:tr>
      <w:tr>
        <w:trPr>
          <w:trHeight w:val="0" w:hRule="auto"/>
        </w:trPr>
        <w:tc>
          <w:tcPr>
            <w:tcW w:w="625" w:type="pct"/>
            <w:vMerge/>
            <w:tcMar>
              <w:top w:w="56" w:type="dxa"/>
              <w:left w:w="56" w:type="dxa"/>
              <w:bottom w:w="56" w:type="dxa"/>
              <w:right w:w="56" w:type="dxa"/>
            </w:tcMar>
            <w:tcBorders>
              <w:top w:val="single" w:sz="4" w:space="0" w:color="000000" tmln="10, 20, 20, 0"/>
              <w:left w:val="single" w:sz="8" w:space="0" w:color="000000" tmln="20, 20, 20, 0"/>
              <w:bottom w:val="single" w:sz="12" w:space="0" w:color="000000" tmln="30, 20, 20, 0"/>
              <w:right w:val="single" w:sz="12" w:space="0" w:color="000000" tmln="30, 20, 20, 0"/>
              <w:tl2br w:val="nil" w:sz="0" w:space="0" w:color="000000" tmln="20, 20, 20, 0"/>
              <w:tr2bl w:val="nil" w:sz="0" w:space="0" w:color="000000" tmln="20, 20, 20, 0"/>
            </w:tcBorders>
            <w:tmTcPr id="1421619332" protected="0"/>
          </w:tcPr>
          <w:p/>
        </w:tc>
        <w:tc>
          <w:tcPr>
            <w:tcW w:w="0" w:type="auto"/>
            <w:tcMar>
              <w:top w:w="57" w:type="dxa"/>
              <w:left w:w="57" w:type="dxa"/>
              <w:bottom w:w="57" w:type="dxa"/>
              <w:right w:w="57" w:type="dxa"/>
            </w:tcMar>
            <w:tcBorders>
              <w:top w:val="single" w:sz="4" w:space="0" w:color="000000" tmln="10, 20, 20, 0"/>
              <w:left w:val="nil" w:sz="0" w:space="0" w:color="000000" tmln="2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Kartenlänge</w:t>
            </w:r>
          </w:p>
        </w:tc>
        <w:tc>
          <w:tcPr>
            <w:tcW w:w="0" w:type="auto"/>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Zoll</w:t>
            </w:r>
          </w:p>
        </w:tc>
        <w:tc>
          <w:tcPr>
            <w:tcW w:w="0" w:type="auto"/>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Style w:val="char1"/>
                <w:rFonts w:ascii="Arial" w:hAnsi="Arial" w:eastAsia="Arial" w:cs="Arial"/>
                <w:hyperlink r:id="rId15"/>
              </w:rPr>
              <w:t>mm</w:t>
            </w:r>
          </w:p>
        </w:tc>
        <w:tc>
          <w:tcPr>
            <w:tcW w:w="1369" w:type="dxa"/>
            <w:tcMar>
              <w:top w:w="57" w:type="dxa"/>
              <w:left w:w="57" w:type="dxa"/>
              <w:bottom w:w="57" w:type="dxa"/>
              <w:right w:w="57" w:type="dxa"/>
            </w:tcMar>
            <w:tcBorders>
              <w:top w:val="single" w:sz="4" w:space="0" w:color="000000" tmln="10, 20, 20, 0"/>
              <w:left w:val="thinThickLargeGap" w:sz="52" w:space="0" w:color="000000" tmln="20, 100, 1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Kartenlänge</w:t>
            </w:r>
          </w:p>
        </w:tc>
        <w:tc>
          <w:tcPr>
            <w:tcW w:w="1359" w:type="dxa"/>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Zoll</w:t>
            </w:r>
          </w:p>
        </w:tc>
        <w:tc>
          <w:tcPr>
            <w:tcW w:w="0" w:type="auto"/>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mm</w:t>
            </w:r>
          </w:p>
        </w:tc>
      </w:tr>
      <w:tr>
        <w:trPr>
          <w:trHeight w:val="0" w:hRule="auto"/>
        </w:trPr>
        <w:tc>
          <w:tcPr>
            <w:tcW w:w="625" w:type="pct"/>
            <w:tcMar>
              <w:top w:w="56" w:type="dxa"/>
              <w:left w:w="56" w:type="dxa"/>
              <w:bottom w:w="56" w:type="dxa"/>
              <w:right w:w="56" w:type="dxa"/>
            </w:tcMar>
            <w:tcBorders>
              <w:top w:val="nil" w:sz="0" w:space="0" w:color="000000" tmln="2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Minimale Höhe</w:t>
            </w:r>
          </w:p>
        </w:tc>
        <w:tc>
          <w:tcPr>
            <w:tcW w:w="1360" w:type="dxa"/>
            <w:tcMar>
              <w:top w:w="57" w:type="dxa"/>
              <w:left w:w="57" w:type="dxa"/>
              <w:bottom w:w="57" w:type="dxa"/>
              <w:right w:w="57" w:type="dxa"/>
            </w:tcMar>
            <w:tcBorders>
              <w:top w:val="single" w:sz="12" w:space="0" w:color="000000" tmln="3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2733" w:type="dxa"/>
            <w:gridSpan w:val="2"/>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1371" w:type="dxa"/>
            <w:tcMar>
              <w:top w:w="57" w:type="dxa"/>
              <w:left w:w="57" w:type="dxa"/>
              <w:bottom w:w="57" w:type="dxa"/>
              <w:right w:w="57" w:type="dxa"/>
            </w:tcMar>
            <w:tcBorders>
              <w:top w:val="single" w:sz="12" w:space="0" w:color="000000" tmln="30, 20, 20, 0"/>
              <w:left w:val="thinThickLargeGap" w:sz="52" w:space="0" w:color="000000" tmln="20, 100, 1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1359" w:type="dxa"/>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0,945″</w:t>
            </w:r>
          </w:p>
        </w:tc>
        <w:tc>
          <w:tcPr>
            <w:tcW w:w="1368" w:type="dxa"/>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24 mm</w:t>
            </w:r>
          </w:p>
        </w:tc>
      </w:tr>
      <w:tr>
        <w:trPr>
          <w:trHeight w:val="0" w:hRule="auto"/>
        </w:trPr>
        <w:tc>
          <w:tcPr>
            <w:tcW w:w="62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Maximale Höhe</w:t>
            </w:r>
          </w:p>
        </w:tc>
        <w:tc>
          <w:tcPr>
            <w:tcW w:w="0" w:type="auto"/>
            <w:tcMar>
              <w:top w:w="57" w:type="dxa"/>
              <w:left w:w="57" w:type="dxa"/>
              <w:bottom w:w="57" w:type="dxa"/>
              <w:right w:w="57"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4,2″</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107 mm</w:t>
            </w:r>
          </w:p>
        </w:tc>
        <w:tc>
          <w:tcPr>
            <w:tcW w:w="1370" w:type="dxa"/>
            <w:tcMar>
              <w:top w:w="57" w:type="dxa"/>
              <w:left w:w="57" w:type="dxa"/>
              <w:bottom w:w="57" w:type="dxa"/>
              <w:right w:w="57" w:type="dxa"/>
            </w:tcMar>
            <w:tcBorders>
              <w:top w:val="single" w:sz="4" w:space="0" w:color="000000" tmln="10, 20, 20, 0"/>
              <w:left w:val="thinThickLargeGap" w:sz="52" w:space="0" w:color="000000" tmln="20, 100, 1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r>
          </w:p>
        </w:tc>
        <w:tc>
          <w:tcPr>
            <w:tcW w:w="135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2,536″</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64 mm</w:t>
            </w:r>
          </w:p>
        </w:tc>
      </w:tr>
      <w:tr>
        <w:trPr>
          <w:trHeight w:val="0" w:hRule="auto"/>
        </w:trPr>
        <w:tc>
          <w:tcPr>
            <w:tcW w:w="625" w:type="pct"/>
            <w:vMerge w:val="restar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Maximale Länge</w:t>
            </w:r>
          </w:p>
        </w:tc>
        <w:tc>
          <w:tcPr>
            <w:tcW w:w="0" w:type="auto"/>
            <w:tcMar>
              <w:top w:w="57" w:type="dxa"/>
              <w:left w:w="57" w:type="dxa"/>
              <w:bottom w:w="57" w:type="dxa"/>
              <w:right w:w="57"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kurze Karte</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6,6″</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168 mm</w:t>
            </w:r>
          </w:p>
        </w:tc>
        <w:tc>
          <w:tcPr>
            <w:tcW w:w="1370" w:type="dxa"/>
            <w:tcMar>
              <w:top w:w="57" w:type="dxa"/>
              <w:left w:w="57" w:type="dxa"/>
              <w:bottom w:w="57" w:type="dxa"/>
              <w:right w:w="57" w:type="dxa"/>
            </w:tcMar>
            <w:tcBorders>
              <w:top w:val="single" w:sz="4" w:space="0" w:color="000000" tmln="10, 20, 20, 0"/>
              <w:left w:val="thinThickLargeGap" w:sz="52" w:space="0" w:color="000000" tmln="20, 100, 1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MD1</w:t>
            </w:r>
          </w:p>
        </w:tc>
        <w:tc>
          <w:tcPr>
            <w:tcW w:w="1359"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4,721″</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119,91 mm</w:t>
            </w:r>
          </w:p>
        </w:tc>
      </w:tr>
      <w:tr>
        <w:trPr>
          <w:trHeight w:val="0" w:hRule="auto"/>
        </w:trPr>
        <w:tc>
          <w:tcPr>
            <w:tcW w:w="625" w:type="pct"/>
            <w:vMerge/>
            <w:tcMar>
              <w:top w:w="56" w:type="dxa"/>
              <w:left w:w="56" w:type="dxa"/>
              <w:bottom w:w="56" w:type="dxa"/>
              <w:right w:w="56" w:type="dxa"/>
            </w:tcMar>
            <w:tcBorders>
              <w:top w:val="single" w:sz="4" w:space="0" w:color="000000" tmln="10, 20, 20, 0"/>
              <w:left w:val="single" w:sz="8" w:space="0" w:color="000000" tmln="20, 20, 20, 0"/>
              <w:bottom w:val="single" w:sz="8" w:space="0" w:color="000000" tmln="20, 20, 20, 0"/>
              <w:right w:val="nil" w:sz="0" w:space="0" w:color="000000" tmln="20, 20, 20, 0"/>
              <w:tl2br w:val="nil" w:sz="0" w:space="0" w:color="000000" tmln="20, 20, 20, 0"/>
              <w:tr2bl w:val="nil" w:sz="0" w:space="0" w:color="000000" tmln="20, 20, 20, 0"/>
            </w:tcBorders>
            <w:tmTcPr id="1421619332" protected="0"/>
          </w:tcPr>
          <w:p/>
        </w:tc>
        <w:tc>
          <w:tcPr>
            <w:tcW w:w="0" w:type="auto"/>
            <w:tcMar>
              <w:top w:w="57" w:type="dxa"/>
              <w:left w:w="57" w:type="dxa"/>
              <w:bottom w:w="57" w:type="dxa"/>
              <w:right w:w="57" w:type="dxa"/>
            </w:tcMar>
            <w:tcBorders>
              <w:top w:val="single" w:sz="4" w:space="0" w:color="000000" tmln="10, 20, 20, 0"/>
              <w:left w:val="single" w:sz="12" w:space="0" w:color="000000" tmln="3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lange Karte</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12,283″</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312 mm</w:t>
            </w:r>
          </w:p>
        </w:tc>
        <w:tc>
          <w:tcPr>
            <w:tcW w:w="1370" w:type="dxa"/>
            <w:tcMar>
              <w:top w:w="57" w:type="dxa"/>
              <w:left w:w="57" w:type="dxa"/>
              <w:bottom w:w="57" w:type="dxa"/>
              <w:right w:w="57" w:type="dxa"/>
            </w:tcMar>
            <w:tcBorders>
              <w:top w:val="single" w:sz="4" w:space="0" w:color="000000" tmln="10, 20, 20, 0"/>
              <w:left w:val="thinThickLargeGap" w:sz="52" w:space="0" w:color="000000" tmln="20, 100, 1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rPr>
                <w:rFonts w:ascii="Arial" w:hAnsi="Arial" w:eastAsia="Arial" w:cs="Arial"/>
              </w:rPr>
            </w:pPr>
            <w:r>
              <w:rPr>
                <w:rFonts w:ascii="Arial" w:hAnsi="Arial" w:eastAsia="Arial" w:cs="Arial"/>
              </w:rPr>
              <w:t>MD2</w:t>
            </w:r>
          </w:p>
        </w:tc>
        <w:tc>
          <w:tcPr>
            <w:tcW w:w="1359" w:type="dxa"/>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6,6″</w:t>
            </w:r>
          </w:p>
        </w:tc>
        <w:tc>
          <w:tcPr>
            <w:tcW w:w="0" w:type="auto"/>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167,64 mm</w:t>
            </w:r>
          </w:p>
        </w:tc>
      </w:tr>
    </w:tbl>
    <w:p>
      <w:pPr>
        <w:pStyle w:val="para5"/>
      </w:pPr>
      <w:r/>
    </w:p>
    <w:p>
      <w:pPr>
        <w:spacing w:before="240" w:after="60"/>
        <w:keepNext/>
        <w:outlineLvl w:val="1"/>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Arial" w:hAnsi="Arial" w:cs="Arial"/>
          <w:b/>
          <w:bCs/>
          <w:sz w:val="32"/>
          <w:szCs w:val="32"/>
        </w:rPr>
      </w:pPr>
      <w:r>
        <w:rPr>
          <w:rFonts w:ascii="Arial" w:hAnsi="Arial" w:cs="Arial"/>
          <w:b/>
          <w:bCs/>
          <w:sz w:val="32"/>
          <w:szCs w:val="32"/>
        </w:rPr>
        <w:t>Kodierung der Kontaktleiste</w:t>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rPr>
          <w:noProof/>
        </w:rPr>
        <w:drawing>
          <wp:inline distT="89535" distB="89535" distL="89535" distR="89535">
            <wp:extent cx="3810000" cy="2314575"/>
            <wp:effectExtent l="12700" t="12700" r="12700" b="12700"/>
            <wp:docPr id="6" name="Grafik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12"/>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PQ4AAAAAAAAAAAAAAAAAAA=="/>
                        </a:ext>
                      </a:extLst>
                    </pic:cNvPicPr>
                  </pic:nvPicPr>
                  <pic:blipFill>
                    <a:blip r:embed="rId16"/>
                    <a:stretch>
                      <a:fillRect/>
                    </a:stretch>
                  </pic:blipFill>
                  <pic:spPr>
                    <a:xfrm>
                      <a:off x="0" y="0"/>
                      <a:ext cx="3810000" cy="2314575"/>
                    </a:xfrm>
                    <a:prstGeom prst="rect">
                      <a:avLst/>
                    </a:prstGeom>
                    <a:noFill/>
                    <a:ln w="12700">
                      <a:solidFill>
                        <a:srgbClr val="000000"/>
                      </a:solidFill>
                    </a:ln>
                  </pic:spPr>
                </pic:pic>
              </a:graphicData>
            </a:graphic>
          </wp:inline>
        </w:drawing>
      </w:r>
      <w:r/>
    </w:p>
    <w:p>
      <w:pPr>
        <w:pStyle w:val="para5"/>
      </w:pPr>
      <w:r>
        <w:t>Kodierungen für verschiedene 32-bit- und 64-bit-PCI-Karten</w:t>
      </w:r>
    </w:p>
    <w:p>
      <w:pPr>
        <w:pStyle w:val="para5"/>
        <w:numPr>
          <w:ilvl w:val="0"/>
          <w:numId w:val="2"/>
        </w:numPr>
        <w:ind w:left="360"/>
      </w:pPr>
      <w:r>
        <w:t>3,3-V-kompatible Karten haben eine Kerbe links (Richtung Slotblech)</w:t>
      </w:r>
    </w:p>
    <w:p>
      <w:pPr>
        <w:pStyle w:val="para5"/>
        <w:numPr>
          <w:ilvl w:val="0"/>
          <w:numId w:val="2"/>
        </w:numPr>
        <w:ind w:left="360"/>
      </w:pPr>
      <w:r>
        <w:t>5-V-kompatible Karten haben eine Kerbe rechts</w:t>
      </w:r>
    </w:p>
    <w:p>
      <w:pPr>
        <w:pStyle w:val="para5"/>
        <w:numPr>
          <w:ilvl w:val="0"/>
          <w:numId w:val="2"/>
        </w:numPr>
        <w:ind w:left="360"/>
      </w:pPr>
      <w:r>
        <w:t>Universalkarten haben beide Kerben</w:t>
      </w:r>
    </w:p>
    <w:p>
      <w:pPr>
        <w:pStyle w:val="para5"/>
        <w:numPr>
          <w:ilvl w:val="0"/>
          <w:numId w:val="2"/>
        </w:numPr>
        <w:ind w:left="360"/>
      </w:pPr>
      <w:r>
        <w:t>Slots nach PCI 2.x haben einen Steg rechts (die dem Slotblech abgewandte Seite). Die PCI 2.3-Spezifikation unterstützt zwar keine 5-V-Karten mehr, diese passen aber dennoch physisch in den Slot. Einige Mainboards unterstützen allerdings trotzdem noch 5-V-Karten in PCI-2.3-Slots. Das geht aber nur mit 33 MHz PCI Takt. →Mainboardspezifikation konsultieren.</w:t>
      </w:r>
    </w:p>
    <w:p>
      <w:pPr>
        <w:pStyle w:val="para5"/>
        <w:numPr>
          <w:ilvl w:val="0"/>
          <w:numId w:val="2"/>
        </w:numPr>
        <w:ind w:left="360"/>
      </w:pPr>
      <w:r>
        <w:t>Slots nach PCI 3.0 haben einen Steg links (Richtung Slotblech), so dass nur noch 3,3-V- und Universalkarten mit der entsprechenden Kerbe eingesteckt werden können.</w:t>
      </w:r>
    </w:p>
    <w:p>
      <w:pPr>
        <w:pStyle w:val="para5"/>
      </w:pPr>
      <w:r/>
    </w:p>
    <w:p>
      <w:pPr>
        <w:pStyle w:val="para2"/>
      </w:pPr>
      <w:r>
        <w:t xml:space="preserve">PCI Express </w:t>
      </w:r>
    </w:p>
    <w:p>
      <w:pPr>
        <w:pStyle w:val="para5"/>
      </w:pPr>
      <w:r>
        <w:t>(„Peripheral Component Interconnect Express“, abgekürzt: PCIe oder PCI-E) ist ein Standard zur Verbindung von Peripheriegeräten mit dem Chipsatz eines Hauptprozessors. PCIe ist der Nachfolger von PCI, PCI-X und AGP und bietet im Vergleich zu seinen Vorgängern eine höhere Datenübertragungsrate pro Pin.</w:t>
      </w:r>
    </w:p>
    <w:p>
      <w:pPr>
        <w:pStyle w:val="para5"/>
        <w:rPr>
          <w:b/>
          <w:bCs/>
        </w:rPr>
      </w:pPr>
      <w:r>
        <w:rPr>
          <w:b/>
          <w:bCs/>
          <w:kern w:val="1"/>
        </w:rPr>
        <w:t>Datenrate PCI Express</w:t>
      </w:r>
    </w:p>
    <w:p>
      <w:pPr>
        <w:pStyle w:val="para5"/>
      </w:pPr>
      <w:r>
        <w:t>Burstrate ohne Protokoll-Overhead</w:t>
      </w:r>
      <w:r>
        <w:rPr>
          <w:shd w:val="clear" w:fill="ddffdd"/>
        </w:rPr>
      </w:r>
    </w:p>
    <w:tbl>
      <w:tblPr>
        <w:name w:val="Tabelle2"/>
        <w:tabOrder w:val="0"/>
        <w:jc w:val="left"/>
        <w:tblInd w:w="0" w:type="dxa"/>
        <w:tblW w:w="9356" w:type="dxa"/>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shd w:val="clear" w:fill="ddffdd"/>
          </w:rPr>
        </w:pPr>
      </w:tblPr>
      <w:tblGrid>
        <w:gridCol w:w="3460"/>
        <w:gridCol w:w="1474"/>
        <w:gridCol w:w="1474"/>
        <w:gridCol w:w="1474"/>
        <w:gridCol w:w="1474"/>
      </w:tblGrid>
      <w:tr>
        <w:trPr>
          <w:trHeight w:val="0" w:hRule="auto"/>
        </w:trPr>
        <w:tc>
          <w:tcPr>
            <w:tcW w:w="0" w:type="auto"/>
            <w:tcMar>
              <w:top w:w="57" w:type="dxa"/>
              <w:left w:w="57" w:type="dxa"/>
              <w:bottom w:w="57" w:type="dxa"/>
              <w:right w:w="57" w:type="dxa"/>
            </w:tcMar>
            <w:tcBorders>
              <w:top w:val="single" w:sz="8" w:space="0" w:color="000000" tmln="2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p>
        </w:tc>
        <w:tc>
          <w:tcPr>
            <w:tcW w:w="1474" w:type="dxa"/>
            <w:tcMar>
              <w:top w:w="57" w:type="dxa"/>
              <w:left w:w="57" w:type="dxa"/>
              <w:bottom w:w="57" w:type="dxa"/>
              <w:right w:w="57" w:type="dxa"/>
            </w:tcMar>
            <w:tcBorders>
              <w:top w:val="single" w:sz="8" w:space="0" w:color="000000" tmln="2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PCIe 1.0/1.1</w:t>
            </w:r>
          </w:p>
        </w:tc>
        <w:tc>
          <w:tcPr>
            <w:tcW w:w="1474" w:type="dxa"/>
            <w:tcMar>
              <w:top w:w="57" w:type="dxa"/>
              <w:left w:w="57" w:type="dxa"/>
              <w:bottom w:w="57" w:type="dxa"/>
              <w:right w:w="57" w:type="dxa"/>
            </w:tcMar>
            <w:tcBorders>
              <w:top w:val="single" w:sz="8" w:space="0" w:color="000000" tmln="2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PCIe 2.0/2.1</w:t>
            </w:r>
          </w:p>
        </w:tc>
        <w:tc>
          <w:tcPr>
            <w:tcW w:w="1474" w:type="dxa"/>
            <w:tcMar>
              <w:top w:w="57" w:type="dxa"/>
              <w:left w:w="57" w:type="dxa"/>
              <w:bottom w:w="57" w:type="dxa"/>
              <w:right w:w="57" w:type="dxa"/>
            </w:tcMar>
            <w:tcBorders>
              <w:top w:val="single" w:sz="8" w:space="0" w:color="000000" tmln="2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PCIe 3.0</w:t>
            </w:r>
          </w:p>
        </w:tc>
        <w:tc>
          <w:tcPr>
            <w:tcW w:w="1474" w:type="dxa"/>
            <w:tcMar>
              <w:top w:w="57" w:type="dxa"/>
              <w:left w:w="57" w:type="dxa"/>
              <w:bottom w:w="57" w:type="dxa"/>
              <w:right w:w="57" w:type="dxa"/>
            </w:tcMar>
            <w:tcBorders>
              <w:top w:val="single" w:sz="8" w:space="0" w:color="000000" tmln="2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PCIe 4.0</w:t>
            </w:r>
          </w:p>
        </w:tc>
      </w:tr>
      <w:tr>
        <w:trPr>
          <w:trHeight w:val="0" w:hRule="auto"/>
        </w:trPr>
        <w:tc>
          <w:tcPr>
            <w:tcW w:w="0" w:type="auto"/>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Erschienen</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2003 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2007 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2012 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~2015 </w:t>
            </w:r>
            <w:r>
              <w:rPr>
                <w:rStyle w:val="char1"/>
                <w:vertAlign w:val="superscript" ssSize="80" ssDist="30"/>
                <w:hyperlink r:id="rId17"/>
              </w:rPr>
              <w:t>[1]</w:t>
            </w:r>
          </w:p>
        </w:tc>
      </w:tr>
      <w:tr>
        <w:trPr>
          <w:trHeight w:val="0" w:hRule="auto"/>
        </w:trPr>
        <w:tc>
          <w:tcPr>
            <w:tcW w:w="0" w:type="auto"/>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Taktrate</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1,25 GHz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2,5 GHz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4,0 GHz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~8,0 GHz </w:t>
            </w:r>
          </w:p>
        </w:tc>
      </w:tr>
      <w:tr>
        <w:trPr>
          <w:trHeight w:val="0" w:hRule="auto"/>
        </w:trPr>
        <w:tc>
          <w:tcPr>
            <w:tcW w:w="0" w:type="auto"/>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Transfers/s (je Lane und Richtung)</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2,5 GT/s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5,0 GT/s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8,0 GT/s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16,0 GT/s </w:t>
            </w:r>
            <w:r>
              <w:rPr>
                <w:rStyle w:val="char1"/>
                <w:vertAlign w:val="superscript" ssSize="80" ssDist="30"/>
                <w:hyperlink r:id="rId18"/>
              </w:rPr>
              <w:t>[2]</w:t>
            </w:r>
          </w:p>
        </w:tc>
      </w:tr>
      <w:tr>
        <w:trPr>
          <w:trHeight w:val="0" w:hRule="auto"/>
        </w:trPr>
        <w:tc>
          <w:tcPr>
            <w:tcW w:w="0" w:type="auto"/>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Kodierung</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rPr>
                <w:rStyle w:val="char1"/>
                <w:hyperlink r:id="rId19"/>
              </w:rPr>
              <w:t>8b10b</w:t>
            </w:r>
            <w:r>
              <w:rPr>
                <w:rStyle w:val="char1"/>
                <w:color w:val="000000"/>
              </w:rPr>
              <w:t>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8b10b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128b130b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128b130b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Lanes (Breite)</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x1</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250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500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985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1969 MB/s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x2</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500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1969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3938 MB/s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x4</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3938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7876 MB/s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x8</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2000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4000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7877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15752 MB/s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x16</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4000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8000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15754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31504 MB/s </w:t>
            </w:r>
          </w:p>
        </w:tc>
      </w:tr>
      <w:tr>
        <w:trPr>
          <w:trHeight w:val="0" w:hRule="auto"/>
        </w:trPr>
        <w:tc>
          <w:tcPr>
            <w:tcW w:w="0" w:type="auto"/>
            <w:shd w:val="solid" w:color="FFDDDD" tmshd="1684275456, 14540287, 14540287"/>
            <w:tcMar>
              <w:top w:w="57" w:type="dxa"/>
              <w:left w:w="57" w:type="dxa"/>
              <w:bottom w:w="57" w:type="dxa"/>
              <w:right w:w="57" w:type="dxa"/>
            </w:tcMar>
            <w:tcBorders>
              <w:top w:val="single" w:sz="4" w:space="0" w:color="000000" tmln="10, 20, 20, 0"/>
              <w:left w:val="single" w:sz="8" w:space="0" w:color="000000" tmln="2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(x32)</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8000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16000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31508 MB/s </w:t>
            </w:r>
          </w:p>
        </w:tc>
        <w:tc>
          <w:tcPr>
            <w:tcW w:w="1474" w:type="dxa"/>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8" w:space="0" w:color="000000" tmln="20, 20, 20, 0"/>
              <w:tl2br w:val="nil" w:sz="0" w:space="0" w:color="000000" tmln="20, 20, 20, 0"/>
              <w:tr2bl w:val="nil" w:sz="0" w:space="0" w:color="000000" tmln="20, 20, 20, 0"/>
            </w:tcBorders>
            <w:tmTcPr id="1421619332" protected="0"/>
          </w:tcPr>
          <w:p>
            <w:pPr>
              <w:pStyle w:val="para5"/>
              <w:spacing w:after="0"/>
            </w:pPr>
            <w:r>
              <w:t>63008 MB/s </w:t>
            </w:r>
          </w:p>
        </w:tc>
      </w:tr>
    </w:tbl>
    <w:p>
      <w:pPr>
        <w:pStyle w:val="para5"/>
      </w:pPr>
      <w:r/>
    </w:p>
    <w:p>
      <w:pPr>
        <w:pStyle w:val="para5"/>
      </w:pPr>
      <w:r>
        <w:rPr>
          <w:noProof/>
        </w:rPr>
        <w:drawing>
          <wp:inline distT="89535" distB="89535" distL="89535" distR="89535">
            <wp:extent cx="3810000" cy="2714625"/>
            <wp:effectExtent l="0" t="0" r="0" b="0"/>
            <wp:docPr id="7" name="Grafik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13"/>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sxAAAAAAAAAAAAAAAAAAAA=="/>
                        </a:ext>
                      </a:extLst>
                    </pic:cNvPicPr>
                  </pic:nvPicPr>
                  <pic:blipFill>
                    <a:blip r:embed="rId20"/>
                    <a:stretch>
                      <a:fillRect/>
                    </a:stretch>
                  </pic:blipFill>
                  <pic:spPr>
                    <a:xfrm>
                      <a:off x="0" y="0"/>
                      <a:ext cx="3810000" cy="2714625"/>
                    </a:xfrm>
                    <a:prstGeom prst="rect">
                      <a:avLst/>
                    </a:prstGeom>
                    <a:noFill/>
                    <a:ln w="12700">
                      <a:noFill/>
                    </a:ln>
                  </pic:spPr>
                </pic:pic>
              </a:graphicData>
            </a:graphic>
          </wp:inline>
        </w:drawing>
      </w:r>
      <w:r/>
    </w:p>
    <w:p>
      <w:pPr>
        <w:pStyle w:val="para3"/>
      </w:pPr>
      <w:r>
        <w:t>Slot-Varianten</w:t>
      </w:r>
    </w:p>
    <w:p>
      <w:pPr>
        <w:pStyle w:val="para5"/>
      </w:pPr>
      <w:r>
        <w:t>PCIe- (gelb) und PCI-Slots (weiß)</w:t>
      </w:r>
    </w:p>
    <w:p>
      <w:pPr>
        <w:pStyle w:val="para5"/>
      </w:pPr>
      <w:r>
        <w:rPr>
          <w:rStyle w:val="char1"/>
          <w:hyperlink r:id="rId21"/>
        </w:rPr>
        <w:t>Solid State Drive</w:t>
      </w:r>
      <w:r>
        <w:rPr>
          <w:rStyle w:val="char1"/>
          <w:color w:val="000000"/>
        </w:rPr>
        <w:t xml:space="preserve"> als Mini-PCIe-Steckkarte für </w:t>
      </w:r>
      <w:r>
        <w:rPr>
          <w:rStyle w:val="char1"/>
          <w:u w:color="auto" w:val="single"/>
          <w:hyperlink r:id="rId22"/>
        </w:rPr>
        <w:t>Notebooks</w:t>
      </w:r>
    </w:p>
    <w:p>
      <w:pPr>
        <w:pStyle w:val="para5"/>
      </w:pPr>
      <w:r>
        <w:t>PCI-Express-Karten und PCI-Express-Steckplätze haben zwei Eigenschaften:</w:t>
      </w:r>
    </w:p>
    <w:p>
      <w:pPr>
        <w:pStyle w:val="para5"/>
        <w:numPr>
          <w:ilvl w:val="0"/>
          <w:numId w:val="2"/>
        </w:numPr>
        <w:ind w:left="360"/>
      </w:pPr>
      <w:r>
        <w:t>Die mechanische Länge des Slots: Entsprechend der Länge des Slots oder Steckplatzes von 25 mm, 39 mm, 56 mm oder 89 mm spricht man von PCIe-x1, PCIe-x4, PCIe-x8 oder PCIe-x16. Bei Steckplätzen gibt es weiterhin offene Steckplätze, in die man mechanisch beliebige Karten stecken kann.</w:t>
      </w:r>
    </w:p>
    <w:p>
      <w:pPr>
        <w:pStyle w:val="para5"/>
        <w:numPr>
          <w:ilvl w:val="0"/>
          <w:numId w:val="2"/>
        </w:numPr>
        <w:ind w:left="360"/>
      </w:pPr>
      <w:r>
        <w:t>Die maximal verwendbaren Lanes eines Steckplatzes oder einer PCI-Karte: Häufig entsprechen sie der mechanischen Länge, können aber auch geringer sein, aber niemals größer. Häufig anzutreffen sind mechanische PCIe-x16-Steckplätze, die elektrisch nur PCIe-x4 oder PCIe-x8 sind. Insbesondere ist es oft der Fall, dass bei Boards mit mehreren PCIe-x16-Steckplätzen diese bei gleichzeitiger Verwendung weniger Lanes bereitstellen (s.u.).</w:t>
      </w:r>
    </w:p>
    <w:p>
      <w:pPr>
        <w:pStyle w:val="para5"/>
      </w:pPr>
      <w:r>
        <w:t xml:space="preserve">Im Desktopbereich wird meist PCIe-x1 als Ersatz für den PCI-Bus und PCIe-x16 als Ersatz für den AGP-Bus zur Anbindung von </w:t>
      </w:r>
      <w:r>
        <w:rPr>
          <w:rStyle w:val="char1"/>
          <w:hyperlink r:id="rId23"/>
        </w:rPr>
        <w:t>Grafikkarten</w:t>
      </w:r>
      <w:r>
        <w:rPr>
          <w:rStyle w:val="char1"/>
          <w:color w:val="000000"/>
        </w:rPr>
        <w:t xml:space="preserve"> verwendet. PCIe-x4 sind vor allem im Serverbereich für Karten mit hohem Durchsatz (Festplattencontroller, 10GE-Netzwerkkarten) zu finden.</w:t>
      </w:r>
      <w:r>
        <w:t xml:space="preserve"> </w:t>
      </w:r>
    </w:p>
    <w:p>
      <w:pPr>
        <w:pStyle w:val="para5"/>
      </w:pPr>
      <w:r>
        <w:rPr>
          <w:noProof/>
        </w:rPr>
        <w:drawing>
          <wp:inline distT="89535" distB="89535" distL="89535" distR="89535">
            <wp:extent cx="3810000" cy="2857500"/>
            <wp:effectExtent l="0" t="0" r="0" b="0"/>
            <wp:docPr id="8" name="Grafik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16"/>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lBEAAAAAAAAAAAAAAAAAAA=="/>
                        </a:ext>
                      </a:extLst>
                    </pic:cNvPicPr>
                  </pic:nvPicPr>
                  <pic:blipFill>
                    <a:blip r:embed="rId24"/>
                    <a:stretch>
                      <a:fillRect/>
                    </a:stretch>
                  </pic:blipFill>
                  <pic:spPr>
                    <a:xfrm>
                      <a:off x="0" y="0"/>
                      <a:ext cx="3810000" cy="2857500"/>
                    </a:xfrm>
                    <a:prstGeom prst="rect">
                      <a:avLst/>
                    </a:prstGeom>
                    <a:noFill/>
                    <a:ln w="12700">
                      <a:noFill/>
                    </a:ln>
                  </pic:spPr>
                </pic:pic>
              </a:graphicData>
            </a:graphic>
          </wp:inline>
        </w:drawing>
      </w:r>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
    </w:p>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color w:val="000000"/>
        </w:rPr>
      </w:pPr>
      <w:r>
        <w:rPr>
          <w:noProof/>
        </w:rPr>
        <w:drawing>
          <wp:inline distT="89535" distB="89535" distL="89535" distR="89535">
            <wp:extent cx="3810000" cy="2538095"/>
            <wp:effectExtent l="0" t="0" r="0" b="0"/>
            <wp:docPr id="9" name="Grafik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17"/>
                    <pic:cNvPicPr>
                      <a:picLocks noChangeAspect="1"/>
                      <a:extLst>
                        <a:ext uri="smNativeData">
                          <sm:smNativeData xmlns:sm="smNativeData" val="SMDATA_13_hDC8V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BAAAAAAAAAAAAAAABAAAAAAAAAAAAAABwFwAAnQ8AAAAAAAAAAAAAAAAAAA=="/>
                        </a:ext>
                      </a:extLst>
                    </pic:cNvPicPr>
                  </pic:nvPicPr>
                  <pic:blipFill>
                    <a:blip r:embed="rId25"/>
                    <a:stretch>
                      <a:fillRect/>
                    </a:stretch>
                  </pic:blipFill>
                  <pic:spPr>
                    <a:xfrm>
                      <a:off x="0" y="0"/>
                      <a:ext cx="3810000" cy="2538095"/>
                    </a:xfrm>
                    <a:prstGeom prst="rect">
                      <a:avLst/>
                    </a:prstGeom>
                    <a:noFill/>
                    <a:ln w="12700">
                      <a:noFill/>
                    </a:ln>
                  </pic:spPr>
                </pic:pic>
              </a:graphicData>
            </a:graphic>
          </wp:inline>
        </w:drawing>
      </w:r>
      <w:r>
        <w:rPr>
          <w:rStyle w:val="char1"/>
          <w:color w:val="000000"/>
        </w:rPr>
      </w:r>
    </w:p>
    <w:p>
      <w:pPr>
        <w:pStyle w:val="para5"/>
      </w:pPr>
      <w:r>
        <w:t xml:space="preserve">Möglich ist auch, dass Slots eine von der Bauform abweichende Anbindung der Lanes haben. Oft zu finden ist das etwa bei </w:t>
      </w:r>
      <w:r>
        <w:rPr>
          <w:rStyle w:val="char1"/>
          <w:hyperlink r:id="rId26"/>
        </w:rPr>
        <w:t>SLI</w:t>
      </w:r>
      <w:r>
        <w:rPr>
          <w:rStyle w:val="char1"/>
          <w:color w:val="000000"/>
        </w:rPr>
        <w:t xml:space="preserve"> und </w:t>
      </w:r>
      <w:r>
        <w:rPr>
          <w:rStyle w:val="char1"/>
          <w:u w:color="auto" w:val="single"/>
          <w:hyperlink r:id="rId27"/>
        </w:rPr>
        <w:t>Crossfire</w:t>
      </w:r>
      <w:r>
        <w:rPr>
          <w:rStyle w:val="char1"/>
          <w:color w:val="000000"/>
        </w:rPr>
        <w:t xml:space="preserve">. Denn obwohl die Slots für die Grafikkarten die Größe von x16-Slots haben, werden beim Einsatz von zwei Grafikkarten die 16 Lanes auf beide Slots verteilt, falls die </w:t>
      </w:r>
      <w:r>
        <w:rPr>
          <w:rStyle w:val="char1"/>
          <w:u w:color="auto" w:val="single"/>
          <w:hyperlink r:id="rId28"/>
        </w:rPr>
        <w:t>Hauptplatine</w:t>
      </w:r>
      <w:r>
        <w:rPr>
          <w:rStyle w:val="char1"/>
          <w:color w:val="000000"/>
        </w:rPr>
        <w:t xml:space="preserve"> beziehungsweise der darauf verbaute </w:t>
      </w:r>
      <w:r>
        <w:rPr>
          <w:rStyle w:val="char1"/>
          <w:u w:color="auto" w:val="single"/>
          <w:hyperlink r:id="rId29"/>
        </w:rPr>
        <w:t>Chipsatz</w:t>
      </w:r>
      <w:r>
        <w:rPr>
          <w:rStyle w:val="char1"/>
          <w:color w:val="000000"/>
        </w:rPr>
        <w:t xml:space="preserve"> keine 32 Lanes für beide Grafikkarten bereitstellt, was dann nur noch 8 Lanes pro Karte ergibt. Allerdings findet diese Heruntertaktung nicht nur bei zwei Grafikkarten statt, sondern beispielsweise auch bei Verwendung einer x16-Grafikkarte und einer x1-Karte, sodass die Grafikkarte nur mit PCIe-8x läuft.</w:t>
      </w:r>
    </w:p>
    <w:p>
      <w:pPr>
        <w:pStyle w:val="para5"/>
        <w:rPr>
          <w:rStyle w:val="char1"/>
          <w:color w:val="000000"/>
        </w:rPr>
      </w:pPr>
      <w:r>
        <w:rPr>
          <w:rStyle w:val="char1"/>
          <w:color w:val="000000"/>
        </w:rPr>
        <w:t>Der Steckplatz ist mechanisch in zwei Bereiche unterteilt: Im linken Bereich befinden sich immer 22 Steckkontakte, die hauptsächlich für die Stromversorgung und die Taktgebung verantwortlich sind. Im rechten Bereich befinden sich je nach Anzahl der Verbindungen 14 bis 142 Steckkontakte, die für die eigentliche Datenübertragung konzipiert sind.</w:t>
      </w:r>
    </w:p>
    <w:tbl>
      <w:tblPr>
        <w:name w:val="Tabelle3"/>
        <w:tabOrder w:val="0"/>
        <w:jc w:val="left"/>
        <w:tblInd w:w="0" w:type="dxa"/>
        <w:tblW w:w="9301" w:type="dxa"/>
        <w:pPr>
          <w:pStyle w:val="para5"/>
          <w:rPr>
            <w:rStyle w:val="char1"/>
            <w:color w:val="000000"/>
          </w:rPr>
        </w:pPr>
      </w:tblPr>
      <w:tblGrid>
        <w:gridCol w:w="1329"/>
        <w:gridCol w:w="1329"/>
        <w:gridCol w:w="1329"/>
        <w:gridCol w:w="1328"/>
        <w:gridCol w:w="1329"/>
        <w:gridCol w:w="1329"/>
        <w:gridCol w:w="1328"/>
      </w:tblGrid>
      <w:tr>
        <w:trPr>
          <w:cantSplit/>
          <w:trHeight w:val="0" w:hRule="auto"/>
        </w:trPr>
        <w:tc>
          <w:tcPr>
            <w:tcW w:w="710" w:type="pct"/>
            <w:vMerge w:val="restart"/>
            <w:vAlign w:val="center"/>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12" w:space="0" w:color="000000" tmln="3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Lanes</w:t>
            </w:r>
          </w:p>
        </w:tc>
        <w:tc>
          <w:tcPr>
            <w:tcW w:w="2130" w:type="pct"/>
            <w:gridSpan w:val="3"/>
            <w:tcMar>
              <w:top w:w="56" w:type="dxa"/>
              <w:left w:w="56" w:type="dxa"/>
              <w:bottom w:w="56" w:type="dxa"/>
              <w:right w:w="56" w:type="dxa"/>
            </w:tcMar>
            <w:tcBorders>
              <w:top w:val="single" w:sz="4" w:space="0" w:color="000000" tmln="10, 20, 20, 0"/>
              <w:left w:val="nil" w:sz="0" w:space="0" w:color="000000" tmln="2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Anzahl Steckkontakte</w:t>
            </w:r>
          </w:p>
        </w:tc>
        <w:tc>
          <w:tcPr>
            <w:tcW w:w="2130" w:type="pct"/>
            <w:gridSpan w:val="3"/>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Mechanische Länge</w:t>
            </w:r>
          </w:p>
        </w:tc>
      </w:tr>
      <w:tr>
        <w:trPr>
          <w:cantSplit/>
          <w:trHeight w:val="0" w:hRule="auto"/>
        </w:trPr>
        <w:tc>
          <w:tcPr>
            <w:tcW w:w="710" w:type="pct"/>
            <w:vMerge/>
            <w:vAlign w:val="center"/>
            <w:tcMar>
              <w:top w:w="57" w:type="dxa"/>
              <w:left w:w="57" w:type="dxa"/>
              <w:bottom w:w="57" w:type="dxa"/>
              <w:right w:w="57" w:type="dxa"/>
            </w:tcMar>
            <w:tcBorders>
              <w:top w:val="single" w:sz="4" w:space="0" w:color="000000" tmln="10, 20, 20, 0"/>
              <w:left w:val="single" w:sz="4" w:space="0" w:color="000000" tmln="10, 20, 20, 0"/>
              <w:bottom w:val="single" w:sz="12" w:space="0" w:color="000000" tmln="30, 20, 20, 0"/>
              <w:right w:val="single" w:sz="12" w:space="0" w:color="000000" tmln="30, 20, 20, 0"/>
              <w:tl2br w:val="nil" w:sz="0" w:space="0" w:color="000000" tmln="20, 20, 20, 0"/>
              <w:tr2bl w:val="nil" w:sz="0" w:space="0" w:color="000000" tmln="20, 20, 20, 0"/>
            </w:tcBorders>
            <w:tmTcPr id="1421619332" protected="0"/>
          </w:tcPr>
          <w:p/>
        </w:tc>
        <w:tc>
          <w:tcPr>
            <w:tcW w:w="710" w:type="pct"/>
            <w:tcMar>
              <w:top w:w="56" w:type="dxa"/>
              <w:left w:w="56" w:type="dxa"/>
              <w:bottom w:w="56" w:type="dxa"/>
              <w:right w:w="56" w:type="dxa"/>
            </w:tcMar>
            <w:tcBorders>
              <w:top w:val="single" w:sz="4" w:space="0" w:color="000000" tmln="10, 20, 20, 0"/>
              <w:left w:val="nil" w:sz="0" w:space="0" w:color="000000" tmln="2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rechts</w:t>
            </w:r>
          </w:p>
        </w:tc>
        <w:tc>
          <w:tcPr>
            <w:tcW w:w="71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links</w:t>
            </w:r>
          </w:p>
        </w:tc>
        <w:tc>
          <w:tcPr>
            <w:tcW w:w="71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gesamt</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rechts</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links</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gesamt</w:t>
            </w:r>
          </w:p>
        </w:tc>
      </w:tr>
      <w:tr>
        <w:trPr>
          <w:cantSplit/>
          <w:trHeight w:val="0" w:hRule="auto"/>
        </w:trPr>
        <w:tc>
          <w:tcPr>
            <w:tcW w:w="710" w:type="pct"/>
            <w:tcMar>
              <w:top w:w="56" w:type="dxa"/>
              <w:left w:w="56" w:type="dxa"/>
              <w:bottom w:w="56" w:type="dxa"/>
              <w:right w:w="56" w:type="dxa"/>
            </w:tcMar>
            <w:tcBorders>
              <w:top w:val="nil" w:sz="0" w:space="0" w:color="000000" tmln="2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x1</w:t>
            </w:r>
          </w:p>
        </w:tc>
        <w:tc>
          <w:tcPr>
            <w:tcW w:w="710" w:type="pct"/>
            <w:tcMar>
              <w:top w:w="56" w:type="dxa"/>
              <w:left w:w="56" w:type="dxa"/>
              <w:bottom w:w="56" w:type="dxa"/>
              <w:right w:w="56" w:type="dxa"/>
            </w:tcMar>
            <w:tcBorders>
              <w:top w:val="single" w:sz="12" w:space="0" w:color="000000" tmln="3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14</w:t>
            </w:r>
          </w:p>
        </w:tc>
        <w:tc>
          <w:tcPr>
            <w:tcW w:w="710" w:type="pct"/>
            <w:vMerge w:val="restar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22</w:t>
            </w:r>
          </w:p>
        </w:tc>
        <w:tc>
          <w:tcPr>
            <w:tcW w:w="71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36</w:t>
            </w:r>
          </w:p>
        </w:tc>
        <w:tc>
          <w:tcPr>
            <w:tcW w:w="710" w:type="pct"/>
            <w:shd w:val="solid" w:color="FFFFDE" tmshd="1678573824, 65535,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7,65 mm</w:t>
            </w:r>
          </w:p>
        </w:tc>
        <w:tc>
          <w:tcPr>
            <w:tcW w:w="710" w:type="pct"/>
            <w:vMerge w:val="restart"/>
            <w:shd w:val="solid" w:color="FFFFDE" tmshd="1678573824, 65535,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11,65 mm</w:t>
            </w:r>
          </w:p>
        </w:tc>
        <w:tc>
          <w:tcPr>
            <w:tcW w:w="710" w:type="pct"/>
            <w:shd w:val="solid" w:color="FFFFDE" tmshd="1678573824, 65535,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25 mm</w:t>
            </w:r>
          </w:p>
        </w:tc>
      </w:tr>
      <w:tr>
        <w:trPr>
          <w:cantSplit/>
          <w:trHeight w:val="0" w:hRule="auto"/>
        </w:trPr>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x4</w:t>
            </w:r>
          </w:p>
        </w:tc>
        <w:tc>
          <w:tcPr>
            <w:tcW w:w="710"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42</w:t>
            </w:r>
          </w:p>
        </w:tc>
        <w:tc>
          <w:tcPr>
            <w:tcW w:w="710" w:type="pct"/>
            <w:vMerge/>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64</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21,65 mm</w:t>
            </w:r>
          </w:p>
        </w:tc>
        <w:tc>
          <w:tcPr>
            <w:tcW w:w="710" w:type="pct"/>
            <w:vMerge/>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39 mm</w:t>
            </w:r>
          </w:p>
        </w:tc>
      </w:tr>
      <w:tr>
        <w:trPr>
          <w:cantSplit/>
          <w:trHeight w:val="0" w:hRule="auto"/>
        </w:trPr>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x8</w:t>
            </w:r>
          </w:p>
        </w:tc>
        <w:tc>
          <w:tcPr>
            <w:tcW w:w="710"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76</w:t>
            </w:r>
          </w:p>
        </w:tc>
        <w:tc>
          <w:tcPr>
            <w:tcW w:w="710" w:type="pct"/>
            <w:vMerge/>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98</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38,65 mm</w:t>
            </w:r>
          </w:p>
        </w:tc>
        <w:tc>
          <w:tcPr>
            <w:tcW w:w="710" w:type="pct"/>
            <w:vMerge/>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56 mm</w:t>
            </w:r>
          </w:p>
        </w:tc>
      </w:tr>
      <w:tr>
        <w:trPr>
          <w:cantSplit/>
          <w:trHeight w:val="0" w:hRule="auto"/>
        </w:trPr>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x16</w:t>
            </w:r>
          </w:p>
        </w:tc>
        <w:tc>
          <w:tcPr>
            <w:tcW w:w="710"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142</w:t>
            </w:r>
          </w:p>
        </w:tc>
        <w:tc>
          <w:tcPr>
            <w:tcW w:w="710" w:type="pct"/>
            <w:vMerge/>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164</w:t>
            </w: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71,65 mm</w:t>
            </w:r>
          </w:p>
        </w:tc>
        <w:tc>
          <w:tcPr>
            <w:tcW w:w="710" w:type="pct"/>
            <w:vMerge/>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tc>
        <w:tc>
          <w:tcPr>
            <w:tcW w:w="710" w:type="pct"/>
            <w:shd w:val="solid" w:color="FFFFDE" tmshd="1678573824, 6553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89 mm</w:t>
            </w:r>
          </w:p>
        </w:tc>
      </w:tr>
    </w:tbl>
    <w:p>
      <w:pPr>
        <w:pStyle w:val="para5"/>
      </w:pPr>
      <w:r/>
    </w:p>
    <w:p>
      <w:pPr>
        <w:pStyle w:val="para5"/>
      </w:pPr>
      <w:r>
        <w:t xml:space="preserve">Darüber hinaus gibt es bei </w:t>
      </w:r>
      <w:r>
        <w:rPr>
          <w:rStyle w:val="char1"/>
          <w:hyperlink r:id="rId22"/>
        </w:rPr>
        <w:t>Notebooks</w:t>
      </w:r>
      <w:r>
        <w:rPr>
          <w:rStyle w:val="char1"/>
          <w:color w:val="000000"/>
        </w:rPr>
        <w:t xml:space="preserve"> miniaturisierte Varianten von PCIe, unter Anderem </w:t>
      </w:r>
      <w:r>
        <w:rPr>
          <w:rStyle w:val="char1"/>
          <w:u w:color="auto" w:val="single"/>
          <w:hyperlink r:id="rId30"/>
        </w:rPr>
        <w:t>Mini PCI Express</w:t>
      </w:r>
      <w:r>
        <w:rPr>
          <w:rStyle w:val="char1"/>
          <w:color w:val="000000"/>
        </w:rPr>
        <w:t xml:space="preserve"> für </w:t>
      </w:r>
      <w:r>
        <w:rPr>
          <w:rStyle w:val="char1"/>
          <w:u w:color="auto" w:val="single"/>
          <w:hyperlink r:id="rId31"/>
        </w:rPr>
        <w:t>WLAN</w:t>
      </w:r>
      <w:r>
        <w:rPr>
          <w:rStyle w:val="char1"/>
          <w:color w:val="000000"/>
        </w:rPr>
        <w:t xml:space="preserve"> oder als </w:t>
      </w:r>
      <w:r>
        <w:rPr>
          <w:rStyle w:val="char1"/>
          <w:u w:color="auto" w:val="single"/>
          <w:hyperlink r:id="rId21"/>
        </w:rPr>
        <w:t>SSD</w:t>
      </w:r>
      <w:r>
        <w:rPr>
          <w:rStyle w:val="char1"/>
          <w:color w:val="000000"/>
        </w:rPr>
        <w:t xml:space="preserve"> und das </w:t>
      </w:r>
      <w:r>
        <w:rPr>
          <w:rStyle w:val="char1"/>
          <w:u w:color="auto" w:val="single"/>
          <w:hyperlink r:id="rId32"/>
        </w:rPr>
        <w:t>Mobile PCI Express Module</w:t>
      </w:r>
      <w:r>
        <w:rPr>
          <w:rStyle w:val="char1"/>
          <w:color w:val="000000"/>
        </w:rPr>
        <w:t xml:space="preserve"> für Grafikkarten.</w:t>
      </w:r>
    </w:p>
    <w:p>
      <w:pPr>
        <w:pStyle w:val="para3"/>
      </w:pPr>
      <w:r>
        <w:t>Kompatibilität von Steckplätzen und Karten</w:t>
      </w:r>
    </w:p>
    <w:p>
      <w:pPr>
        <w:pStyle w:val="para5"/>
      </w:pPr>
      <w:r>
        <w:t>Der PCIe-Standard verlangt, dass jede Karte eine Verbindung sowohl mit einer Breite von einer Lane als auch mit der elektrisch von der Karte unterstützten Laneanzahl herstellen kann. Für Slots gilt das Gleiche. Andere Verbindungsbreiten – der Standard sieht 1x, 2x, 4x, 8x, 12x und 16x vor – sind optional. Eine Verbindung kommt dann mit der maximalen Breite zustande die sowohl vom Slot als auch von der Karte unterstützt wird.</w:t>
      </w:r>
    </w:p>
    <w:p>
      <w:pPr>
        <w:pStyle w:val="para5"/>
      </w:pPr>
      <w:r>
        <w:t>Da die elektrische Breite kleiner sein kann als die Bauform und manche Linkbreiten optional sind, ist es nicht offensichtlich, mit welcher Breite eine Karte in einem gegebenen Slot funktionieren wird. Die „PCI Express Label Specification and Usage Guidelines“ von 2006 empfehlen daher, an jedem Slot und auf jeder Karte genau aufzulisten, welche Verbindungsbreiten unterstützt werden. Dies wird jedoch nur selten umgesetzt.</w:t>
      </w:r>
    </w:p>
    <w:tbl>
      <w:tblPr>
        <w:name w:val="Tabelle4"/>
        <w:tabOrder w:val="0"/>
        <w:jc w:val="left"/>
        <w:tblInd w:w="0" w:type="dxa"/>
        <w:tblW w:w="9356" w:type="dxa"/>
        <w:pPr>
          <w:pStyle w:val="para5"/>
        </w:pPr>
      </w:tblPr>
      <w:tblGrid>
        <w:gridCol w:w="1871"/>
        <w:gridCol w:w="1871"/>
        <w:gridCol w:w="1871"/>
        <w:gridCol w:w="1871"/>
        <w:gridCol w:w="1872"/>
      </w:tblGrid>
      <w:tr>
        <w:trPr>
          <w:trHeight w:val="0" w:hRule="auto"/>
        </w:trPr>
        <w:tc>
          <w:tcPr>
            <w:tcW w:w="1000" w:type="pct"/>
            <w:vMerge w:val="restart"/>
            <w:vAlign w:val="center"/>
            <w:tcMar>
              <w:top w:w="57" w:type="dxa"/>
              <w:left w:w="57" w:type="dxa"/>
              <w:bottom w:w="57" w:type="dxa"/>
              <w:right w:w="57" w:type="dxa"/>
            </w:tcMar>
            <w:tcBorders>
              <w:top w:val="single" w:sz="8" w:space="0" w:color="000000" tmln="20, 20, 20, 0"/>
              <w:left w:val="single" w:sz="8" w:space="0" w:color="000000" tmln="20, 20, 20, 0"/>
              <w:bottom w:val="nil" w:sz="0" w:space="0" w:color="000000" tmln="20, 20, 20, 0"/>
              <w:right w:val="single" w:sz="12" w:space="0" w:color="000000" tmln="30, 20, 20, 0"/>
              <w:tl2br w:val="nil" w:sz="0" w:space="0" w:color="000000" tmln="20, 20, 20, 0"/>
              <w:tr2bl w:val="nil" w:sz="0" w:space="0" w:color="000000" tmln="20, 20, 20, 0"/>
            </w:tcBorders>
            <w:tmTcPr id="1421619332" protected="0"/>
          </w:tcPr>
          <w:p>
            <w:pPr>
              <w:pStyle w:val="para5"/>
              <w:spacing w:after="0"/>
              <w:jc w:val="center"/>
            </w:pPr>
            <w:r>
              <w:t>Karte</w:t>
            </w:r>
          </w:p>
        </w:tc>
        <w:tc>
          <w:tcPr>
            <w:tcW w:w="4000" w:type="pct"/>
            <w:gridSpan w:val="4"/>
            <w:vAlign w:val="center"/>
            <w:tcMar>
              <w:top w:w="57" w:type="dxa"/>
              <w:left w:w="57" w:type="dxa"/>
              <w:bottom w:w="57" w:type="dxa"/>
              <w:right w:w="57" w:type="dxa"/>
            </w:tcMar>
            <w:tcBorders>
              <w:top w:val="single" w:sz="8" w:space="0" w:color="000000" tmln="20, 20, 20, 0"/>
              <w:left w:val="nil" w:sz="0" w:space="0" w:color="000000" tmln="2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rPr>
                <w:b/>
                <w:bCs/>
              </w:rPr>
            </w:pPr>
            <w:r>
              <w:rPr>
                <w:b/>
                <w:bCs/>
              </w:rPr>
              <w:t>Steckplatz</w:t>
            </w:r>
          </w:p>
        </w:tc>
      </w:tr>
      <w:tr>
        <w:trPr>
          <w:trHeight w:val="0" w:hRule="auto"/>
        </w:trPr>
        <w:tc>
          <w:tcPr>
            <w:tcW w:w="1000" w:type="pct"/>
            <w:vMerge/>
            <w:vAlign w:val="center"/>
            <w:tcMar>
              <w:top w:w="57" w:type="dxa"/>
              <w:left w:w="57" w:type="dxa"/>
              <w:bottom w:w="57" w:type="dxa"/>
              <w:right w:w="57" w:type="dxa"/>
            </w:tcMar>
            <w:tcBorders>
              <w:top w:val="nil" w:sz="0" w:space="0" w:color="000000" tmln="20, 20, 20, 0"/>
              <w:left w:val="single" w:sz="8" w:space="0" w:color="000000" tmln="20, 20, 20, 0"/>
              <w:bottom w:val="single" w:sz="12" w:space="0" w:color="000000" tmln="30, 20, 20, 0"/>
              <w:right w:val="single" w:sz="12" w:space="0" w:color="000000" tmln="30, 20, 20, 0"/>
              <w:tl2br w:val="nil" w:sz="0" w:space="0" w:color="000000" tmln="20, 20, 20, 0"/>
              <w:tr2bl w:val="nil" w:sz="0" w:space="0" w:color="000000" tmln="20, 20, 20, 0"/>
            </w:tcBorders>
            <w:tmTcPr id="1421619332" protected="0"/>
          </w:tcPr>
          <w:p/>
        </w:tc>
        <w:tc>
          <w:tcPr>
            <w:tcW w:w="1000" w:type="pct"/>
            <w:vAlign w:val="center"/>
            <w:tcMar>
              <w:top w:w="57" w:type="dxa"/>
              <w:left w:w="57" w:type="dxa"/>
              <w:bottom w:w="57" w:type="dxa"/>
              <w:right w:w="57" w:type="dxa"/>
            </w:tcMar>
            <w:tcBorders>
              <w:top w:val="single" w:sz="4" w:space="0" w:color="000000" tmln="10, 20, 20, 0"/>
              <w:left w:val="nil" w:sz="0" w:space="0" w:color="000000" tmln="2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rPr>
                <w:b/>
                <w:bCs/>
              </w:rPr>
            </w:pPr>
            <w:r>
              <w:rPr>
                <w:b/>
                <w:bCs/>
              </w:rPr>
              <w:t>PCIe x1</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rPr>
                <w:b/>
                <w:bCs/>
              </w:rPr>
            </w:pPr>
            <w:r>
              <w:rPr>
                <w:b/>
                <w:bCs/>
              </w:rPr>
              <w:t>PCIe x4</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rPr>
                <w:b/>
                <w:bCs/>
              </w:rPr>
            </w:pPr>
            <w:r>
              <w:rPr>
                <w:b/>
                <w:bCs/>
              </w:rPr>
              <w:t>PCIe x8</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nil" w:sz="0" w:space="0" w:color="000000" tmln="2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rPr>
                <w:b/>
                <w:bCs/>
              </w:rPr>
            </w:pPr>
            <w:r>
              <w:rPr>
                <w:b/>
                <w:bCs/>
              </w:rPr>
              <w:t>PCIe x16</w:t>
            </w:r>
          </w:p>
        </w:tc>
      </w:tr>
      <w:tr>
        <w:trPr>
          <w:trHeight w:val="0" w:hRule="auto"/>
        </w:trPr>
        <w:tc>
          <w:tcPr>
            <w:tcW w:w="1000" w:type="pct"/>
            <w:vAlign w:val="center"/>
            <w:tcMar>
              <w:top w:w="57" w:type="dxa"/>
              <w:left w:w="57" w:type="dxa"/>
              <w:bottom w:w="57" w:type="dxa"/>
              <w:right w:w="57" w:type="dxa"/>
            </w:tcMar>
            <w:tcBorders>
              <w:top w:val="nil" w:sz="0" w:space="0" w:color="000000" tmln="2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pStyle w:val="para5"/>
              <w:spacing w:after="0"/>
              <w:jc w:val="center"/>
            </w:pPr>
            <w:r>
              <w:t>x1</w:t>
            </w:r>
          </w:p>
        </w:tc>
        <w:tc>
          <w:tcPr>
            <w:tcW w:w="1000" w:type="pct"/>
            <w:vAlign w:val="center"/>
            <w:shd w:val="solid" w:color="BFFFBF" tmshd="1679360306, 65280, 16777215"/>
            <w:tcMar>
              <w:top w:w="57" w:type="dxa"/>
              <w:left w:w="57" w:type="dxa"/>
              <w:bottom w:w="57" w:type="dxa"/>
              <w:right w:w="57" w:type="dxa"/>
            </w:tcMar>
            <w:tcBorders>
              <w:top w:val="single" w:sz="12" w:space="0" w:color="000000" tmln="3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ok</w:t>
            </w:r>
          </w:p>
        </w:tc>
        <w:tc>
          <w:tcPr>
            <w:tcW w:w="1000" w:type="pct"/>
            <w:vAlign w:val="center"/>
            <w:shd w:val="solid" w:color="BFFFBF" tmshd="1679360306, 65280, 16777215"/>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ok</w:t>
            </w:r>
          </w:p>
        </w:tc>
        <w:tc>
          <w:tcPr>
            <w:tcW w:w="1000" w:type="pct"/>
            <w:vAlign w:val="center"/>
            <w:shd w:val="solid" w:color="BFFFBF" tmshd="1679360306, 65280, 16777215"/>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ok</w:t>
            </w:r>
          </w:p>
        </w:tc>
        <w:tc>
          <w:tcPr>
            <w:tcW w:w="1000" w:type="pct"/>
            <w:vAlign w:val="center"/>
            <w:shd w:val="solid" w:color="BFFFBF" tmshd="1679360306, 65280, 16777215"/>
            <w:tcMar>
              <w:top w:w="57" w:type="dxa"/>
              <w:left w:w="57" w:type="dxa"/>
              <w:bottom w:w="57" w:type="dxa"/>
              <w:right w:w="57" w:type="dxa"/>
            </w:tcMar>
            <w:tcBorders>
              <w:top w:val="single" w:sz="12" w:space="0" w:color="000000" tmln="3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pPr>
            <w:r>
              <w:t>ok</w:t>
            </w:r>
          </w:p>
        </w:tc>
      </w:tr>
      <w:tr>
        <w:trPr>
          <w:trHeight w:val="0" w:hRule="auto"/>
        </w:trPr>
        <w:tc>
          <w:tcPr>
            <w:tcW w:w="1000" w:type="pct"/>
            <w:vAlign w:val="center"/>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pStyle w:val="para5"/>
              <w:spacing w:after="0"/>
              <w:jc w:val="center"/>
            </w:pPr>
            <w:r>
              <w:t>x4</w:t>
            </w:r>
          </w:p>
        </w:tc>
        <w:tc>
          <w:tcPr>
            <w:tcW w:w="1000" w:type="pct"/>
            <w:vAlign w:val="center"/>
            <w:shd w:val="solid" w:color="FFDEDE" tmshd="1678573874, 255, 16777215"/>
            <w:tcMar>
              <w:top w:w="57" w:type="dxa"/>
              <w:left w:w="57" w:type="dxa"/>
              <w:bottom w:w="57" w:type="dxa"/>
              <w:right w:w="57"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w:t>
            </w:r>
          </w:p>
        </w:tc>
        <w:tc>
          <w:tcPr>
            <w:tcW w:w="1000" w:type="pct"/>
            <w:vAlign w:val="center"/>
            <w:shd w:val="solid" w:color="BFFFBF" tmshd="1679360306, 65280, 16777215"/>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ok</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 ?</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pPr>
            <w:r>
              <w:t> ?</w:t>
            </w:r>
          </w:p>
        </w:tc>
      </w:tr>
      <w:tr>
        <w:trPr>
          <w:trHeight w:val="0" w:hRule="auto"/>
        </w:trPr>
        <w:tc>
          <w:tcPr>
            <w:tcW w:w="1000" w:type="pct"/>
            <w:vAlign w:val="center"/>
            <w:tcMar>
              <w:top w:w="57" w:type="dxa"/>
              <w:left w:w="57" w:type="dxa"/>
              <w:bottom w:w="57" w:type="dxa"/>
              <w:right w:w="57"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pStyle w:val="para5"/>
              <w:spacing w:after="0"/>
              <w:jc w:val="center"/>
            </w:pPr>
            <w:r>
              <w:t>x8</w:t>
            </w:r>
          </w:p>
        </w:tc>
        <w:tc>
          <w:tcPr>
            <w:tcW w:w="2000" w:type="pct"/>
            <w:gridSpan w:val="2"/>
            <w:vAlign w:val="center"/>
            <w:shd w:val="solid" w:color="FFDEDE" tmshd="1678573874, 255, 16777215"/>
            <w:tcMar>
              <w:top w:w="57" w:type="dxa"/>
              <w:left w:w="57" w:type="dxa"/>
              <w:bottom w:w="57" w:type="dxa"/>
              <w:right w:w="57"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w:t>
            </w:r>
          </w:p>
        </w:tc>
        <w:tc>
          <w:tcPr>
            <w:tcW w:w="1000" w:type="pct"/>
            <w:vAlign w:val="center"/>
            <w:shd w:val="solid" w:color="BFFFBF" tmshd="1679360306, 65280, 16777215"/>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ok</w:t>
            </w:r>
          </w:p>
        </w:tc>
        <w:tc>
          <w:tcPr>
            <w:tcW w:w="1000" w:type="pct"/>
            <w:vAlign w:val="center"/>
            <w:tcMar>
              <w:top w:w="57" w:type="dxa"/>
              <w:left w:w="57" w:type="dxa"/>
              <w:bottom w:w="57" w:type="dxa"/>
              <w:right w:w="57"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pPr>
            <w:r>
              <w:t> ?</w:t>
            </w:r>
          </w:p>
        </w:tc>
      </w:tr>
      <w:tr>
        <w:trPr>
          <w:trHeight w:val="0" w:hRule="auto"/>
        </w:trPr>
        <w:tc>
          <w:tcPr>
            <w:tcW w:w="1000" w:type="pct"/>
            <w:vAlign w:val="center"/>
            <w:tcMar>
              <w:top w:w="57" w:type="dxa"/>
              <w:left w:w="57" w:type="dxa"/>
              <w:bottom w:w="57" w:type="dxa"/>
              <w:right w:w="57" w:type="dxa"/>
            </w:tcMar>
            <w:tcBorders>
              <w:top w:val="single" w:sz="4" w:space="0" w:color="000000" tmln="10, 20, 20, 0"/>
              <w:left w:val="single" w:sz="8" w:space="0" w:color="000000" tmln="20, 20, 20, 0"/>
              <w:bottom w:val="single" w:sz="8" w:space="0" w:color="000000" tmln="20, 20, 20, 0"/>
              <w:right w:val="nil" w:sz="0" w:space="0" w:color="000000" tmln="20, 20, 20, 0"/>
              <w:tl2br w:val="nil" w:sz="0" w:space="0" w:color="000000" tmln="20, 20, 20, 0"/>
              <w:tr2bl w:val="nil" w:sz="0" w:space="0" w:color="000000" tmln="20, 20, 20, 0"/>
            </w:tcBorders>
            <w:tmTcPr id="1421619332" protected="0"/>
          </w:tcPr>
          <w:p>
            <w:pPr>
              <w:pStyle w:val="para5"/>
              <w:spacing w:after="0"/>
              <w:jc w:val="center"/>
            </w:pPr>
            <w:r>
              <w:t>x16</w:t>
            </w:r>
          </w:p>
        </w:tc>
        <w:tc>
          <w:tcPr>
            <w:tcW w:w="3000" w:type="pct"/>
            <w:gridSpan w:val="3"/>
            <w:vAlign w:val="center"/>
            <w:shd w:val="solid" w:color="FFDEDE" tmshd="1678573874, 255, 16777215"/>
            <w:tcMar>
              <w:top w:w="57" w:type="dxa"/>
              <w:left w:w="57" w:type="dxa"/>
              <w:bottom w:w="57" w:type="dxa"/>
              <w:right w:w="57" w:type="dxa"/>
            </w:tcMar>
            <w:tcBorders>
              <w:top w:val="single" w:sz="4" w:space="0" w:color="000000" tmln="10, 20, 20, 0"/>
              <w:left w:val="single" w:sz="12" w:space="0" w:color="000000" tmln="3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after="0"/>
              <w:jc w:val="center"/>
            </w:pPr>
            <w:r>
              <w:t>–</w:t>
            </w:r>
          </w:p>
        </w:tc>
        <w:tc>
          <w:tcPr>
            <w:tcW w:w="1000" w:type="pct"/>
            <w:vAlign w:val="center"/>
            <w:shd w:val="solid" w:color="BFFFBF" tmshd="1679360306, 65280, 16777215"/>
            <w:tcMar>
              <w:top w:w="57" w:type="dxa"/>
              <w:left w:w="57" w:type="dxa"/>
              <w:bottom w:w="57" w:type="dxa"/>
              <w:right w:w="57" w:type="dxa"/>
            </w:tcMar>
            <w:tcBorders>
              <w:top w:val="single" w:sz="4" w:space="0" w:color="000000" tmln="10, 20, 20, 0"/>
              <w:left w:val="single" w:sz="4" w:space="0" w:color="000000" tmln="10, 20, 20, 0"/>
              <w:bottom w:val="single" w:sz="8" w:space="0" w:color="000000" tmln="20, 20, 20, 0"/>
              <w:right w:val="single" w:sz="8" w:space="0" w:color="000000" tmln="20, 20, 20, 0"/>
              <w:tl2br w:val="nil" w:sz="0" w:space="0" w:color="000000" tmln="20, 20, 20, 0"/>
              <w:tr2bl w:val="nil" w:sz="0" w:space="0" w:color="000000" tmln="20, 20, 20, 0"/>
            </w:tcBorders>
            <w:tmTcPr id="1421619332" protected="0"/>
          </w:tcPr>
          <w:p>
            <w:pPr>
              <w:pStyle w:val="para5"/>
              <w:spacing w:after="0"/>
              <w:jc w:val="center"/>
            </w:pPr>
            <w:r>
              <w:t>ok</w:t>
            </w:r>
          </w:p>
        </w:tc>
      </w:tr>
    </w:tbl>
    <w:p>
      <w:pPr>
        <w:pStyle w:val="para5"/>
        <w:spacing/>
        <w:jc w:val="center"/>
        <w:rPr>
          <w:b/>
          <w:bCs/>
        </w:rPr>
      </w:pPr>
      <w:r>
        <w:rPr>
          <w:b/>
          <w:bCs/>
        </w:rPr>
        <w:t>Legende</w:t>
      </w:r>
    </w:p>
    <w:tbl>
      <w:tblPr>
        <w:name w:val="Tabelle5"/>
        <w:tabOrder w:val="0"/>
        <w:jc w:val="left"/>
        <w:tblInd w:w="0" w:type="dxa"/>
        <w:tblW w:w="9356" w:type="dxa"/>
        <w:pPr>
          <w:pStyle w:val="para5"/>
        </w:pPr>
      </w:tblPr>
      <w:tblGrid>
        <w:gridCol w:w="468"/>
        <w:gridCol w:w="8888"/>
      </w:tblGrid>
      <w:tr>
        <w:trPr>
          <w:trHeight w:val="0" w:hRule="auto"/>
        </w:trPr>
        <w:tc>
          <w:tcPr>
            <w:tcW w:w="2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ok</w:t>
            </w:r>
          </w:p>
        </w:tc>
        <w:tc>
          <w:tcPr>
            <w:tcW w:w="47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kompatibel</w:t>
            </w:r>
          </w:p>
        </w:tc>
      </w:tr>
      <w:tr>
        <w:trPr>
          <w:trHeight w:val="0" w:hRule="auto"/>
        </w:trPr>
        <w:tc>
          <w:tcPr>
            <w:tcW w:w="2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w:t>
            </w:r>
          </w:p>
        </w:tc>
        <w:tc>
          <w:tcPr>
            <w:tcW w:w="47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teilweise kompatibel: Nur bei Slots die das physikalische Einstecken der Karte nicht verhindern („offene Slots“, ohne Mainboardbauteile dahinter), Transferrate ist auf maximale Slot-Transferrate begrenzt. Dies wird zum Beispiel bei Slots benutzt, die von der Bauweise einem 16x Slot gleichen, aber nur 8 Lanes mit elektrischen Verbindungen haben. Dort funktionieren 16x Karten, allerdings nur mit halber Bandbreite.</w:t>
            </w:r>
          </w:p>
        </w:tc>
      </w:tr>
      <w:tr>
        <w:trPr>
          <w:trHeight w:val="0" w:hRule="auto"/>
        </w:trPr>
        <w:tc>
          <w:tcPr>
            <w:tcW w:w="2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w:t>
            </w:r>
          </w:p>
        </w:tc>
        <w:tc>
          <w:tcPr>
            <w:tcW w:w="475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pPr>
            <w:r>
              <w:t>Verbindung mit 1x garantiert. Optional sind Verbindungen bis zur elektrischen Lane-Anzahl von Karte und Slot möglich. Manche Chipsätze sind in diesem Punkt nicht normkonform und unterstützen auf den 16x-Steckplätzen ausschließlich 16x-Karten.</w:t>
            </w:r>
          </w:p>
        </w:tc>
      </w:tr>
    </w:tbl>
    <w:p>
      <w:pPr>
        <w:pStyle w:val="para5"/>
      </w:pPr>
      <w:r/>
    </w:p>
    <w:p>
      <w:pPr>
        <w:pStyle w:val="para3"/>
      </w:pPr>
      <w:r>
        <w:t>Kompatibilität von Steckplätzen und Karten-PCIe-Versionen</w:t>
      </w:r>
    </w:p>
    <w:tbl>
      <w:tblPr>
        <w:name w:val="Tabelle6"/>
        <w:tabOrder w:val="0"/>
        <w:jc w:val="left"/>
        <w:tblInd w:w="0" w:type="dxa"/>
        <w:tblW w:w="9356" w:type="dxa"/>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tblPr>
      <w:tblGrid>
        <w:gridCol w:w="1244"/>
        <w:gridCol w:w="627"/>
        <w:gridCol w:w="936"/>
        <w:gridCol w:w="936"/>
        <w:gridCol w:w="936"/>
        <w:gridCol w:w="936"/>
        <w:gridCol w:w="936"/>
        <w:gridCol w:w="936"/>
        <w:gridCol w:w="936"/>
        <w:gridCol w:w="933"/>
      </w:tblGrid>
      <w:tr>
        <w:trPr>
          <w:trHeight w:val="0" w:hRule="auto"/>
        </w:trPr>
        <w:tc>
          <w:tcPr>
            <w:tcW w:w="665" w:type="pct"/>
            <w:vMerge w:val="restart"/>
            <w:vAlign w:val="center"/>
            <w:tcMar>
              <w:top w:w="57" w:type="dxa"/>
              <w:left w:w="57" w:type="dxa"/>
              <w:bottom w:w="57" w:type="dxa"/>
              <w:right w:w="57" w:type="dxa"/>
            </w:tcMar>
            <w:tcBorders>
              <w:top w:val="single" w:sz="8" w:space="0" w:color="000000" tmln="20, 20, 20, 0"/>
              <w:left w:val="single" w:sz="8" w:space="0" w:color="000000" tmln="20, 20, 20, 0"/>
              <w:bottom w:val="single" w:sz="4" w:space="0" w:color="000000" tmln="10, 20, 20, 0"/>
              <w:right w:val="single" w:sz="12" w:space="0" w:color="000000" tmln="3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Karte</w:t>
            </w:r>
          </w:p>
        </w:tc>
        <w:tc>
          <w:tcPr>
            <w:tcW w:w="4335" w:type="pct"/>
            <w:gridSpan w:val="9"/>
            <w:tcMar>
              <w:top w:w="56" w:type="dxa"/>
              <w:left w:w="56" w:type="dxa"/>
              <w:bottom w:w="56" w:type="dxa"/>
              <w:right w:w="56" w:type="dxa"/>
            </w:tcMar>
            <w:tcBorders>
              <w:top w:val="single" w:sz="8" w:space="0" w:color="000000" tmln="20, 20, 20, 0"/>
              <w:left w:val="nil" w:sz="0" w:space="0" w:color="000000" tmln="2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Steckplatz</w:t>
            </w:r>
          </w:p>
        </w:tc>
      </w:tr>
      <w:tr>
        <w:trPr>
          <w:trHeight w:val="0" w:hRule="auto"/>
        </w:trPr>
        <w:tc>
          <w:tcPr>
            <w:tcW w:w="665" w:type="pct"/>
            <w:vMerge/>
            <w:vAlign w:val="center"/>
            <w:tcMar>
              <w:top w:w="57" w:type="dxa"/>
              <w:left w:w="57" w:type="dxa"/>
              <w:bottom w:w="57" w:type="dxa"/>
              <w:right w:w="57" w:type="dxa"/>
            </w:tcMar>
            <w:tcBorders>
              <w:top w:val="single" w:sz="4" w:space="0" w:color="000000" tmln="10, 20, 20, 0"/>
              <w:left w:val="single" w:sz="8" w:space="0" w:color="000000" tmln="20, 20, 20, 0"/>
              <w:bottom w:val="single" w:sz="12" w:space="0" w:color="000000" tmln="30, 20, 20, 0"/>
              <w:right w:val="single" w:sz="12" w:space="0" w:color="000000" tmln="30, 20, 20, 0"/>
              <w:tl2br w:val="nil" w:sz="0" w:space="0" w:color="000000" tmln="20, 20, 20, 0"/>
              <w:tr2bl w:val="nil" w:sz="0" w:space="0" w:color="000000" tmln="20, 20, 20, 0"/>
            </w:tcBorders>
            <w:tmTcPr id="1421619332" protected="0"/>
          </w:tcPr>
          <w:p/>
        </w:tc>
        <w:tc>
          <w:tcPr>
            <w:tcW w:w="335" w:type="pct"/>
            <w:tcMar>
              <w:top w:w="56" w:type="dxa"/>
              <w:left w:w="56" w:type="dxa"/>
              <w:bottom w:w="56" w:type="dxa"/>
              <w:right w:w="56" w:type="dxa"/>
            </w:tcMar>
            <w:tcBorders>
              <w:top w:val="single" w:sz="4" w:space="0" w:color="000000" tmln="10, 20, 20, 0"/>
              <w:left w:val="nil" w:sz="0" w:space="0" w:color="000000" tmln="2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1.0</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PCIe 1.0a</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1.1</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2.0</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2.1</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3.0</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3.</w:t>
            </w:r>
            <w:r>
              <w:rPr>
                <w:rStyle w:val="char1"/>
                <w:b/>
                <w:bCs/>
                <w:color w:val="000000"/>
              </w:rPr>
              <w:t>x</w:t>
            </w:r>
            <w:r>
              <w:rPr>
                <w:rStyle w:val="char1"/>
                <w:b/>
                <w:bCs/>
                <w:color w:val="000000"/>
                <w:vertAlign w:val="superscript" ssSize="66" ssDist="15"/>
              </w:rPr>
              <w:t>1</w:t>
            </w:r>
            <w:r>
              <w:rPr>
                <w:rStyle w:val="char1"/>
                <w:b/>
                <w:bCs/>
                <w:color w:val="000000"/>
              </w:rPr>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4" w:space="0" w:color="000000" tmln="1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4.0</w:t>
            </w:r>
          </w:p>
        </w:tc>
        <w:tc>
          <w:tcPr>
            <w:tcW w:w="500" w:type="pct"/>
            <w:tcMar>
              <w:top w:w="56" w:type="dxa"/>
              <w:left w:w="56" w:type="dxa"/>
              <w:bottom w:w="56" w:type="dxa"/>
              <w:right w:w="56" w:type="dxa"/>
            </w:tcMar>
            <w:tcBorders>
              <w:top w:val="single" w:sz="4" w:space="0" w:color="000000" tmln="10, 20, 20, 0"/>
              <w:left w:val="single" w:sz="4" w:space="0" w:color="000000" tmln="10, 20, 20, 0"/>
              <w:bottom w:val="nil" w:sz="0" w:space="0" w:color="000000" tmln="20, 20, 20, 0"/>
              <w:right w:val="single" w:sz="8" w:space="0" w:color="000000" tmln="20, 20, 20, 0"/>
              <w:tl2br w:val="nil" w:sz="0" w:space="0" w:color="000000" tmln="20, 20, 20, 0"/>
              <w:tr2bl w:val="nil" w:sz="0" w:space="0" w:color="000000" tmln="20, 20, 20, 0"/>
            </w:tcBorders>
            <w:tmTcPr id="1421619332" protected="0"/>
          </w:tcPr>
          <w:p>
            <w:pPr>
              <w:pStyle w:val="para5"/>
              <w:spacing/>
              <w:jc w:val="center"/>
              <w:rPr>
                <w:b/>
                <w:bCs/>
              </w:rPr>
            </w:pPr>
            <w:r>
              <w:rPr>
                <w:b/>
                <w:bCs/>
              </w:rPr>
              <w:t xml:space="preserve">PCIe </w:t>
            </w:r>
          </w:p>
          <w:p>
            <w:pPr>
              <w:pStyle w:val="para5"/>
              <w:spacing/>
              <w:jc w:val="center"/>
              <w:rPr>
                <w:b/>
                <w:bCs/>
              </w:rPr>
            </w:pPr>
            <w:r>
              <w:rPr>
                <w:b/>
                <w:bCs/>
              </w:rPr>
              <w:t>4.x</w:t>
            </w:r>
            <w:r>
              <w:rPr>
                <w:b/>
                <w:bCs/>
                <w:vertAlign w:val="superscript" ssSize="66" ssDist="15"/>
              </w:rPr>
              <w:t>1</w:t>
            </w:r>
            <w:r>
              <w:rPr>
                <w:b/>
                <w:bCs/>
              </w:rPr>
            </w:r>
          </w:p>
        </w:tc>
      </w:tr>
      <w:tr>
        <w:trPr>
          <w:trHeight w:val="0" w:hRule="auto"/>
        </w:trPr>
        <w:tc>
          <w:tcPr>
            <w:tcW w:w="665" w:type="pct"/>
            <w:tcMar>
              <w:top w:w="56" w:type="dxa"/>
              <w:left w:w="56" w:type="dxa"/>
              <w:bottom w:w="56" w:type="dxa"/>
              <w:right w:w="56" w:type="dxa"/>
            </w:tcMar>
            <w:tcBorders>
              <w:top w:val="nil" w:sz="0" w:space="0" w:color="000000" tmln="2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1.0</w:t>
            </w:r>
          </w:p>
        </w:tc>
        <w:tc>
          <w:tcPr>
            <w:tcW w:w="335" w:type="pct"/>
            <w:shd w:val="solid" w:color="BFFFBF" tmshd="1679360306, 65280, 16777215"/>
            <w:tcMar>
              <w:top w:w="56" w:type="dxa"/>
              <w:left w:w="56" w:type="dxa"/>
              <w:bottom w:w="56" w:type="dxa"/>
              <w:right w:w="56" w:type="dxa"/>
            </w:tcMar>
            <w:tcBorders>
              <w:top w:val="single" w:sz="12" w:space="0" w:color="000000" tmln="3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FFDEDE" tmshd="1678573874, 255, 16777215"/>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r>
              <w:rPr>
                <w:rFonts w:ascii="Arial" w:hAnsi="Arial" w:eastAsia="Arial" w:cs="Arial"/>
                <w:vertAlign w:val="superscript" ssSize="66" ssDist="15"/>
              </w:rPr>
              <w:t>2</w:t>
            </w:r>
            <w:r>
              <w:rPr>
                <w:rFonts w:ascii="Arial" w:hAnsi="Arial" w:eastAsia="Arial" w:cs="Arial"/>
              </w:rPr>
            </w:r>
          </w:p>
        </w:tc>
        <w:tc>
          <w:tcPr>
            <w:tcW w:w="50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12" w:space="0" w:color="000000" tmln="3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1.0a</w:t>
            </w:r>
          </w:p>
        </w:tc>
        <w:tc>
          <w:tcPr>
            <w:tcW w:w="335" w:type="pct"/>
            <w:shd w:val="solid" w:color="BFFFBF" tmshd="1679360306, 65280, 16777215"/>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FFDEDE" tmshd="1678573874, 25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r>
              <w:rPr>
                <w:rFonts w:ascii="Arial" w:hAnsi="Arial" w:eastAsia="Arial" w:cs="Arial"/>
                <w:vertAlign w:val="superscript" ssSize="66" ssDist="15"/>
              </w:rPr>
              <w:t>2</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1.1</w:t>
            </w:r>
          </w:p>
        </w:tc>
        <w:tc>
          <w:tcPr>
            <w:tcW w:w="335" w:type="pct"/>
            <w:shd w:val="solid" w:color="BFFFBF" tmshd="1679360306, 65280, 16777215"/>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FFDEDE" tmshd="1678573874, 25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r>
              <w:rPr>
                <w:rFonts w:ascii="Arial" w:hAnsi="Arial" w:eastAsia="Arial" w:cs="Arial"/>
                <w:vertAlign w:val="superscript" ssSize="66" ssDist="15"/>
              </w:rPr>
              <w:t>2</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2.0</w:t>
            </w:r>
          </w:p>
        </w:tc>
        <w:tc>
          <w:tcPr>
            <w:tcW w:w="335" w:type="pct"/>
            <w:shd w:val="solid" w:color="BFFFBF" tmshd="1679360306, 65280, 16777215"/>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3</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3</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3</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1 2</w:t>
            </w:r>
            <w:r>
              <w:rPr>
                <w:rFonts w:ascii="Arial" w:hAnsi="Arial" w:eastAsia="Arial" w:cs="Arial"/>
              </w:rPr>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2.1</w:t>
            </w:r>
          </w:p>
        </w:tc>
        <w:tc>
          <w:tcPr>
            <w:tcW w:w="335" w:type="pct"/>
            <w:shd w:val="solid" w:color="FFDEDE" tmshd="1678573874, 255, 16777215"/>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p>
        </w:tc>
        <w:tc>
          <w:tcPr>
            <w:tcW w:w="500" w:type="pct"/>
            <w:shd w:val="solid" w:color="FFDEDE" tmshd="1678573874, 25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r>
              <w:rPr>
                <w:rFonts w:ascii="Arial" w:hAnsi="Arial" w:eastAsia="Arial" w:cs="Arial"/>
                <w:vertAlign w:val="superscript" ssSize="66" ssDist="15"/>
              </w:rPr>
              <w:t>4</w:t>
            </w:r>
            <w:r>
              <w:rPr>
                <w:rFonts w:ascii="Arial" w:hAnsi="Arial" w:eastAsia="Arial" w:cs="Arial"/>
              </w:rPr>
            </w:r>
          </w:p>
        </w:tc>
        <w:tc>
          <w:tcPr>
            <w:tcW w:w="500" w:type="pct"/>
            <w:shd w:val="solid" w:color="FFDEDE" tmshd="1678573874, 255,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xml:space="preserve">~ </w:t>
            </w:r>
            <w:r>
              <w:rPr>
                <w:rFonts w:ascii="Arial" w:hAnsi="Arial" w:eastAsia="Arial" w:cs="Arial"/>
                <w:vertAlign w:val="superscript" ssSize="66" ssDist="15"/>
              </w:rPr>
              <w:t>4</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1 3</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1 2</w:t>
            </w:r>
            <w:r>
              <w:rPr>
                <w:rFonts w:ascii="Arial" w:hAnsi="Arial" w:eastAsia="Arial" w:cs="Arial"/>
              </w:rPr>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3.0</w:t>
            </w:r>
          </w:p>
        </w:tc>
        <w:tc>
          <w:tcPr>
            <w:tcW w:w="335"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1 2</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r>
              <w:rPr>
                <w:rFonts w:ascii="Arial" w:hAnsi="Arial" w:eastAsia="Arial" w:cs="Arial"/>
                <w:vertAlign w:val="superscript" ssSize="66" ssDist="15"/>
              </w:rPr>
              <w:t>1 2</w:t>
            </w:r>
            <w:r>
              <w:rPr>
                <w:rFonts w:ascii="Arial" w:hAnsi="Arial" w:eastAsia="Arial" w:cs="Arial"/>
              </w:rPr>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3.x</w:t>
            </w:r>
          </w:p>
        </w:tc>
        <w:tc>
          <w:tcPr>
            <w:tcW w:w="335"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4" w:space="0" w:color="000000" tmln="1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4.0</w:t>
            </w:r>
          </w:p>
        </w:tc>
        <w:tc>
          <w:tcPr>
            <w:tcW w:w="335" w:type="pct"/>
            <w:tcMar>
              <w:top w:w="56" w:type="dxa"/>
              <w:left w:w="56" w:type="dxa"/>
              <w:bottom w:w="56" w:type="dxa"/>
              <w:right w:w="56" w:type="dxa"/>
            </w:tcMar>
            <w:tcBorders>
              <w:top w:val="single" w:sz="4" w:space="0" w:color="000000" tmln="10, 20, 20, 0"/>
              <w:left w:val="single" w:sz="12" w:space="0" w:color="000000" tmln="3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r>
      <w:tr>
        <w:trPr>
          <w:trHeight w:val="0" w:hRule="auto"/>
        </w:trPr>
        <w:tc>
          <w:tcPr>
            <w:tcW w:w="665" w:type="pct"/>
            <w:tcMar>
              <w:top w:w="56" w:type="dxa"/>
              <w:left w:w="56" w:type="dxa"/>
              <w:bottom w:w="56" w:type="dxa"/>
              <w:right w:w="56" w:type="dxa"/>
            </w:tcMar>
            <w:tcBorders>
              <w:top w:val="single" w:sz="4" w:space="0" w:color="000000" tmln="10, 20, 20, 0"/>
              <w:left w:val="single" w:sz="8" w:space="0" w:color="000000" tmln="20, 20, 20, 0"/>
              <w:bottom w:val="single" w:sz="8" w:space="0" w:color="000000" tmln="20, 20, 20, 0"/>
              <w:right w:val="nil" w:sz="0"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b/>
                <w:bCs/>
              </w:rPr>
            </w:pPr>
            <w:r>
              <w:rPr>
                <w:rFonts w:ascii="Arial" w:hAnsi="Arial" w:eastAsia="Arial" w:cs="Arial"/>
                <w:b/>
                <w:bCs/>
              </w:rPr>
              <w:t>PCIe 4.x</w:t>
            </w:r>
          </w:p>
        </w:tc>
        <w:tc>
          <w:tcPr>
            <w:tcW w:w="335" w:type="pct"/>
            <w:tcMar>
              <w:top w:w="56" w:type="dxa"/>
              <w:left w:w="56" w:type="dxa"/>
              <w:bottom w:w="56" w:type="dxa"/>
              <w:right w:w="56" w:type="dxa"/>
            </w:tcMar>
            <w:tcBorders>
              <w:top w:val="single" w:sz="4" w:space="0" w:color="000000" tmln="10, 20, 20, 0"/>
              <w:left w:val="single" w:sz="12" w:space="0" w:color="000000" tmln="3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4" w:space="0" w:color="000000" tmln="1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 ?</w:t>
            </w:r>
          </w:p>
        </w:tc>
        <w:tc>
          <w:tcPr>
            <w:tcW w:w="500" w:type="pct"/>
            <w:shd w:val="solid" w:color="BFFFBF" tmshd="1679360306, 65280, 16777215"/>
            <w:tcMar>
              <w:top w:w="56" w:type="dxa"/>
              <w:left w:w="56" w:type="dxa"/>
              <w:bottom w:w="56" w:type="dxa"/>
              <w:right w:w="56" w:type="dxa"/>
            </w:tcMar>
            <w:tcBorders>
              <w:top w:val="single" w:sz="4" w:space="0" w:color="000000" tmln="10, 20, 20, 0"/>
              <w:left w:val="single" w:sz="4" w:space="0" w:color="000000" tmln="10, 20, 20, 0"/>
              <w:bottom w:val="single" w:sz="8" w:space="0" w:color="000000" tmln="20, 20, 20, 0"/>
              <w:right w:val="single" w:sz="8" w:space="0" w:color="000000" tmln="20, 20, 20, 0"/>
              <w:tl2br w:val="nil" w:sz="0" w:space="0" w:color="000000" tmln="20, 20, 20, 0"/>
              <w:tr2bl w:val="nil" w:sz="0" w:space="0" w:color="000000" tmln="20, 20, 20, 0"/>
            </w:tcBorders>
            <w:tmTcPr id="1421619332" protected="0"/>
          </w:tcPr>
          <w:p>
            <w:pPr>
              <w:spacing/>
              <w:jc w:val="center"/>
              <w:rPr>
                <w:rFonts w:ascii="Arial" w:hAnsi="Arial" w:eastAsia="Arial" w:cs="Arial"/>
              </w:rPr>
            </w:pPr>
            <w:r>
              <w:rPr>
                <w:rFonts w:ascii="Arial" w:hAnsi="Arial" w:eastAsia="Arial" w:cs="Arial"/>
              </w:rPr>
              <w:t>ok</w:t>
            </w:r>
          </w:p>
        </w:tc>
      </w:tr>
    </w:tbl>
    <w:p>
      <w:pPr>
        <w:pStyle w:val="para5"/>
      </w:pPr>
      <w:r>
        <w:t>Anmerkungen:</w:t>
      </w:r>
    </w:p>
    <w:p>
      <w:pPr>
        <w:pStyle w:val="para5"/>
        <w:numPr>
          <w:ilvl w:val="0"/>
          <w:numId w:val="3"/>
        </w:numPr>
        <w:ind w:left="360"/>
        <w:spacing w:after="0"/>
      </w:pPr>
      <w:r>
        <w:t>Noch nicht existent.</w:t>
      </w:r>
    </w:p>
    <w:p>
      <w:pPr>
        <w:pStyle w:val="para5"/>
        <w:numPr>
          <w:ilvl w:val="0"/>
          <w:numId w:val="3"/>
        </w:numPr>
        <w:ind w:left="360"/>
        <w:spacing w:after="0"/>
      </w:pPr>
      <w:r>
        <w:t>PCI-Express-1.x-Karten sind möglicherweise inkompatibel zu Boards mit PCI-Express-3.0-Slots.</w:t>
      </w:r>
    </w:p>
    <w:p>
      <w:pPr>
        <w:pStyle w:val="para5"/>
        <w:numPr>
          <w:ilvl w:val="0"/>
          <w:numId w:val="3"/>
        </w:numPr>
        <w:ind w:left="360"/>
        <w:spacing w:after="0"/>
      </w:pPr>
      <w:r>
        <w:t>PCI-Express-2.0-Grafikkarten sind vollständig abwärtskompatibel zu Boards mit PCI Express1.0/1.0a/1.1.</w:t>
      </w:r>
    </w:p>
    <w:p>
      <w:pPr>
        <w:pStyle w:val="para5"/>
        <w:numPr>
          <w:ilvl w:val="0"/>
          <w:numId w:val="3"/>
        </w:numPr>
        <w:ind w:left="360"/>
      </w:pPr>
      <w:r>
        <w:t>PCI-Express-2.1-Grafikkarten lehnen sich bereits an den Standard 3.0 an, was zu Inkompatibilitäten mit gewissen älteren Mainboards führt.</w:t>
      </w:r>
    </w:p>
    <w:p>
      <w:pPr>
        <w:pStyle w:val="para5"/>
        <w:spacing/>
        <w:jc w:val="center"/>
        <w:rPr>
          <w:b/>
          <w:bCs/>
        </w:rPr>
      </w:pPr>
      <w:r>
        <w:rPr>
          <w:b/>
          <w:bCs/>
        </w:rPr>
        <w:t>Legende</w:t>
      </w:r>
    </w:p>
    <w:tbl>
      <w:tblPr>
        <w:name w:val="Tabelle7"/>
        <w:tabOrder w:val="0"/>
        <w:jc w:val="left"/>
        <w:tblInd w:w="0" w:type="dxa"/>
        <w:tblW w:w="9356" w:type="dxa"/>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tblPr>
      <w:tblGrid>
        <w:gridCol w:w="571"/>
        <w:gridCol w:w="8785"/>
      </w:tblGrid>
      <w:tr>
        <w:trPr>
          <w:trHeight w:val="0" w:hRule="auto"/>
        </w:trPr>
        <w:tc>
          <w:tcPr>
            <w:tcW w:w="30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 xml:space="preserve"> ok</w:t>
            </w:r>
          </w:p>
        </w:tc>
        <w:tc>
          <w:tcPr>
            <w:tcW w:w="469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kompatibel</w:t>
            </w:r>
          </w:p>
        </w:tc>
      </w:tr>
      <w:tr>
        <w:trPr>
          <w:trHeight w:val="0" w:hRule="auto"/>
        </w:trPr>
        <w:tc>
          <w:tcPr>
            <w:tcW w:w="30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w:t>
            </w:r>
          </w:p>
        </w:tc>
        <w:tc>
          <w:tcPr>
            <w:tcW w:w="469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Nicht kompatibel</w:t>
            </w:r>
          </w:p>
        </w:tc>
      </w:tr>
      <w:tr>
        <w:trPr>
          <w:trHeight w:val="0" w:hRule="auto"/>
        </w:trPr>
        <w:tc>
          <w:tcPr>
            <w:tcW w:w="30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 ?</w:t>
            </w:r>
          </w:p>
        </w:tc>
        <w:tc>
          <w:tcPr>
            <w:tcW w:w="469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Information nicht vorhanden</w:t>
            </w:r>
          </w:p>
        </w:tc>
      </w:tr>
      <w:tr>
        <w:trPr>
          <w:trHeight w:val="0" w:hRule="auto"/>
        </w:trPr>
        <w:tc>
          <w:tcPr>
            <w:tcW w:w="30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w:t>
            </w:r>
          </w:p>
        </w:tc>
        <w:tc>
          <w:tcPr>
            <w:tcW w:w="4695" w:type="pct"/>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421619332" protected="0"/>
          </w:tcPr>
          <w:p>
            <w:pPr>
              <w:pStyle w:val="para5"/>
              <w:spacing w:after="0"/>
            </w:pPr>
            <w:r>
              <w:t>Kann zu Inkompatibilitäten bei gewissen älteren Mainboards bzw. Grafikkarten führen</w:t>
            </w:r>
          </w:p>
        </w:tc>
      </w:tr>
    </w:tbl>
    <w:p>
      <w:pPr>
        <w:pStyle w:val="para5"/>
      </w:pPr>
      <w:r/>
    </w:p>
    <w:p>
      <w:pPr>
        <w:pStyle w:val="para5"/>
      </w:p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headerReference w:type="default" r:id="rId33"/>
      <w:footerReference w:type="default" r:id="rId34"/>
      <w:type w:val="continuous"/>
      <w:pgSz w:h="16839" w:w="11907"/>
      <w:pgMar w:left="1134" w:top="964" w:right="1134" w:bottom="964" w:header="340" w:footer="340" w:gutter="283"/>
      <w:paperSrc w:first="0" w:other="0"/>
      <w:pgNumType w:fmt="decimal"/>
      <w:tmGutter w:val="1"/>
      <w:mirrorMargins w:val="0"/>
      <w:tmSection w:h="-1">
        <w:tmHeader w:id="0" w:h="0" edge="340" text="0">
          <w:shd w:val="none"/>
        </w:tmHeader>
        <w:tmFooter w:id="0" w:h="0" edge="34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Wingdings">
    <w:charset w:val="02"/>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5"/>
      <w:spacing/>
      <w:jc w:val="center"/>
    </w:pPr>
    <w:r>
      <w:fldChar w:fldCharType="begin"/>
      <w:instrText xml:space="preserve"> PAGE \* Arabic </w:instrText>
      <w:fldChar w:fldCharType="separate"/>
      <w:t>1</w:t>
      <w:fldChar w:fldCharType="end"/>
    </w:r>
    <w:r>
      <w:t xml:space="preserve"> / </w:t>
    </w:r>
    <w:r>
      <w:fldChar w:fldCharType="begin"/>
      <w:instrText xml:space="preserve"> NUMPAGES \* Arabic  \A </w:instrText>
      <w:fldChar w:fldCharType="separate"/>
      <w:t>8</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4"/>
    </w:pPr>
    <w:r>
      <w:t>Anschlüsse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rPr/>
    </w:lvl>
    <w:lvl w:ilvl="1">
      <w:numFmt w:val="none"/>
      <w:suff w:val="dxa"/>
      <w:lvlText w:val=""/>
      <w:lvlJc w:val="left"/>
      <w:addIndent w:val="0"/>
      <w:bPr>
        <w:type w:val="none"/>
        <w:position w:dxa="360" w:dya="0"/>
        <w:after w:val="."/>
      </w:bPr>
      <w:rPr/>
    </w:lvl>
    <w:lvl w:ilvl="2">
      <w:numFmt w:val="none"/>
      <w:suff w:val="dxa"/>
      <w:lvlText w:val=""/>
      <w:lvlJc w:val="left"/>
      <w:addIndent w:val="0"/>
      <w:bPr>
        <w:type w:val="none"/>
        <w:position w:dxa="360" w:dya="0"/>
        <w:after w:val="."/>
      </w:bPr>
      <w:rPr/>
    </w:lvl>
    <w:lvl w:ilvl="3">
      <w:numFmt w:val="none"/>
      <w:suff w:val="dxa"/>
      <w:lvlText w:val=""/>
      <w:lvlJc w:val="left"/>
      <w:addIndent w:val="0"/>
      <w:bPr>
        <w:type w:val="none"/>
        <w:position w:dxa="360" w:dya="0"/>
        <w:after w:val="."/>
      </w:bPr>
      <w:rPr/>
    </w:lvl>
    <w:lvl w:ilvl="4">
      <w:numFmt w:val="none"/>
      <w:suff w:val="dxa"/>
      <w:lvlText w:val=""/>
      <w:lvlJc w:val="left"/>
      <w:addIndent w:val="0"/>
      <w:bPr>
        <w:type w:val="none"/>
        <w:position w:dxa="360" w:dya="0"/>
        <w:after w:val="."/>
      </w:bPr>
      <w:rPr/>
    </w:lvl>
    <w:lvl w:ilvl="5">
      <w:numFmt w:val="none"/>
      <w:suff w:val="dxa"/>
      <w:lvlText w:val=""/>
      <w:lvlJc w:val="left"/>
      <w:addIndent w:val="0"/>
      <w:bPr>
        <w:type w:val="none"/>
        <w:position w:dxa="360" w:dya="0"/>
        <w:after w:val="."/>
      </w:bPr>
      <w:rPr/>
    </w:lvl>
    <w:lvl w:ilvl="6">
      <w:numFmt w:val="none"/>
      <w:suff w:val="dxa"/>
      <w:lvlText w:val=""/>
      <w:lvlJc w:val="left"/>
      <w:addIndent w:val="0"/>
      <w:bPr>
        <w:type w:val="none"/>
        <w:position w:dxa="360" w:dya="0"/>
        <w:after w:val="."/>
      </w:bPr>
      <w:rPr/>
    </w:lvl>
    <w:lvl w:ilvl="7">
      <w:numFmt w:val="none"/>
      <w:suff w:val="dxa"/>
      <w:lvlText w:val=""/>
      <w:lvlJc w:val="left"/>
      <w:addIndent w:val="0"/>
      <w:bPr>
        <w:type w:val="none"/>
        <w:position w:dxa="360" w:dya="0"/>
        <w:after w:val="."/>
      </w:bPr>
      <w:rPr/>
    </w:lvl>
    <w:lvl w:ilvl="8">
      <w:numFmt w:val="none"/>
      <w:suff w:val="dxa"/>
      <w:lvlText w:val=""/>
      <w:lvlJc w:val="left"/>
      <w:addIndent w:val="0"/>
      <w:bPr>
        <w:type w:val="none"/>
        <w:position w:dxa="360" w:dya="0"/>
        <w:after w:val="."/>
      </w:bPr>
      <w:rPr/>
    </w:lvl>
  </w:abstractNum>
  <w:abstractNum w:abstractNumId="1">
    <w:multiLevelType w:val="singleLevel"/>
    <w:name w:val="Absatz Nr"/>
    <w:lvl w:ilvl="0">
      <w:start w:val="1"/>
      <w:numFmt w:val="decimal"/>
      <w:suff w:val="dxa"/>
      <w:lvlText w:val="%1"/>
      <w:lvlJc w:val="left"/>
      <w:addIndent w:val="-624"/>
      <w:bPr>
        <w:type w:val="num"/>
        <w:numType w:val="1"/>
        <w:position w:dxa="340" w:dya="40"/>
      </w:bPr>
      <w:rPr>
        <w:rPr>
          <w:rFonts w:ascii="Arial" w:hAnsi="Arial"/>
          <w:sz w:val="16"/>
        </w:rPr>
      </w:rPr>
    </w:lvl>
  </w:abstractNum>
  <w:abstractNum w:abstractNumId="2">
    <w:multiLevelType w:val="singleLevel"/>
    <w:name w:val="Bullet 2"/>
    <w:tmBullet/>
    <w:lvl w:ilvl="0">
      <w:numFmt w:val="bullet"/>
      <w:suff w:val="dxa"/>
      <w:lvlText w:val=""/>
      <w:lvlJc w:val="left"/>
      <w:addIndent w:val="0"/>
      <w:bPr>
        <w:type w:val="round"/>
        <w:position w:dxa="360" w:dya="0"/>
      </w:bPr>
      <w:rPr>
        <w:rPr>
          <w:rFonts w:ascii="Wingdings" w:hAnsi="Wingdings" w:eastAsia="Wingdings" w:cs="Wingdings"/>
        </w:rPr>
      </w:rPr>
    </w:lvl>
  </w:abstractNum>
  <w:abstractNum w:abstractNumId="3">
    <w:multiLevelType w:val="singleLevel"/>
    <w:name w:val="Bullet 3"/>
    <w:tmBullet/>
    <w:lvl w:ilvl="0">
      <w:start w:val="1"/>
      <w:numFmt w:val="decimal"/>
      <w:suff w:val="dxa"/>
      <w:lvlText w:val="%1."/>
      <w:lvlJc w:val="left"/>
      <w:addIndent w:val="0"/>
      <w:bPr>
        <w:type w:val="num"/>
        <w:numType w:val="1"/>
        <w:position w:dxa="360" w:dya="0"/>
        <w:after w:val="."/>
      </w:bPr>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421619332" w:val="924" w:fileVer="341" w:fileVer64="64" w:fileVerOS="3"/>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compat>
    <w:doNotUseHTMLParagraphAutoSpacing w:val="1"/>
  </w:compat>
  <w:shapeDefaults>
    <o:shapedefaults v:ext="edit" spidmax="3073"/>
    <o:shapelayout v:ext="edit">
      <o:rules v:ext="edit"/>
    </o:shapelayout>
  </w:shapeDefaults>
  <w:tmPrefOne w:val="16"/>
  <w:tmPrefTwo w:val="1"/>
  <w:tmFmtPref w:val="145963009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
      <w:tmLastPosIdx w:val="33"/>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numberOfMasterpages="3"/>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after="200"/>
      <w:suppressAutoHyphens/>
      <w:hyphenationLines w:val="0"/>
      <w:keepNext/>
      <w:outlineLvl w:val="0"/>
      <w:keepLines/>
    </w:pPr>
    <w:rPr>
      <w:rFonts w:ascii="Arial" w:hAnsi="Arial" w:eastAsia="Arial" w:cs="Arial"/>
      <w:b/>
      <w:bCs/>
      <w:kern w:val="0"/>
      <w:sz w:val="36"/>
      <w:szCs w:val="36"/>
    </w:rPr>
    <w:key w:val="1073"/>
  </w:style>
  <w:style w:type="paragraph" w:styleId="para2">
    <w:name w:val="heading 2"/>
    <w:qFormat/>
    <w:basedOn w:val="para1"/>
    <w:next w:val="para0"/>
    <w:pPr>
      <w:spacing w:before="200"/>
      <w:outlineLvl w:val="1"/>
    </w:pPr>
    <w:rPr>
      <w:sz w:val="32"/>
      <w:szCs w:val="32"/>
    </w:rPr>
    <w:key w:val="1074"/>
  </w:style>
  <w:style w:type="paragraph" w:styleId="para3">
    <w:name w:val="heading 3"/>
    <w:qFormat/>
    <w:basedOn w:val="para2"/>
    <w:next w:val="para0"/>
    <w:pPr>
      <w:spacing w:after="160"/>
      <w:outlineLvl w:val="2"/>
    </w:pPr>
    <w:rPr>
      <w:sz w:val="28"/>
      <w:szCs w:val="28"/>
    </w:rPr>
    <w:key w:val="1075"/>
  </w:style>
  <w:style w:type="paragraph" w:styleId="para4" w:customStyle="1">
    <w:name w:val="Arial"/>
    <w:qFormat/>
    <w:basedOn w:val="para0"/>
    <w:pPr>
      <w:spacing w:after="120"/>
      <w:jc w:val="both"/>
      <w:widowControl/>
      <w:tabs/>
    </w:pPr>
    <w:rPr>
      <w:rFonts w:ascii="Arial" w:hAnsi="Arial" w:eastAsia="Arial" w:cs="Arial"/>
      <w:kern w:val="0"/>
      <w:sz w:val="22"/>
      <w:szCs w:val="22"/>
    </w:rPr>
  </w:style>
  <w:style w:type="paragraph" w:styleId="para5" w:customStyle="1">
    <w:name w:val="Arial 10"/>
    <w:qFormat/>
    <w:basedOn w:val="para4"/>
    <w:pPr>
      <w:spacing w:after="100"/>
    </w:pPr>
    <w:rPr>
      <w:sz w:val="20"/>
      <w:szCs w:val="20"/>
    </w:rPr>
  </w:style>
  <w:style w:type="paragraph" w:styleId="para6" w:customStyle="1">
    <w:name w:val="Arial 9"/>
    <w:qFormat/>
    <w:basedOn w:val="para4"/>
    <w:pPr>
      <w:spacing w:after="80"/>
    </w:pPr>
    <w:rPr>
      <w:sz w:val="18"/>
      <w:szCs w:val="18"/>
    </w:rPr>
  </w:style>
  <w:style w:type="paragraph" w:styleId="para7" w:customStyle="1">
    <w:name w:val="Roman"/>
    <w:qFormat/>
    <w:basedOn w:val="para0"/>
    <w:pPr>
      <w:spacing w:after="120"/>
      <w:widowControl/>
      <w:tabs/>
    </w:pPr>
    <w:rPr>
      <w:rFonts w:eastAsia="Times New Roman"/>
      <w:i/>
      <w:iCs/>
      <w:kern w:val="0"/>
      <w:sz w:val="24"/>
      <w:szCs w:val="24"/>
    </w:rPr>
  </w:style>
  <w:style w:type="paragraph" w:styleId="para8" w:customStyle="1">
    <w:name w:val="Roman 10"/>
    <w:qFormat/>
    <w:basedOn w:val="para7"/>
    <w:pPr>
      <w:spacing w:after="80"/>
    </w:pPr>
    <w:rPr>
      <w:sz w:val="20"/>
      <w:szCs w:val="20"/>
    </w:rPr>
  </w:style>
  <w:style w:type="paragraph" w:styleId="para9" w:customStyle="1">
    <w:name w:val="Roman 11"/>
    <w:qFormat/>
    <w:basedOn w:val="para7"/>
    <w:pPr>
      <w:spacing w:after="100"/>
    </w:pPr>
    <w:rPr>
      <w:sz w:val="22"/>
      <w:szCs w:val="22"/>
    </w:rPr>
  </w:style>
  <w:style w:type="paragraph" w:styleId="para10">
    <w:name w:val="heading 4"/>
    <w:qFormat/>
    <w:basedOn w:val="para2"/>
    <w:next w:val="para0"/>
    <w:pPr>
      <w:spacing w:after="140"/>
      <w:outlineLvl w:val="3"/>
    </w:pPr>
    <w:rPr>
      <w:sz w:val="24"/>
      <w:szCs w:val="24"/>
    </w:rPr>
    <w:key w:val="1076"/>
  </w:style>
  <w:style w:type="paragraph" w:styleId="para11">
    <w:name w:val="heading 5"/>
    <w:qFormat/>
    <w:basedOn w:val="para2"/>
    <w:next w:val="para0"/>
    <w:pPr>
      <w:spacing w:after="120"/>
      <w:outlineLvl w:val="4"/>
    </w:pPr>
    <w:rPr>
      <w:sz w:val="22"/>
      <w:szCs w:val="22"/>
    </w:rPr>
    <w:key w:val="1077"/>
  </w:style>
  <w:style w:type="paragraph" w:styleId="para12">
    <w:name w:val="heading 6"/>
    <w:qFormat/>
    <w:basedOn w:val="para2"/>
    <w:next w:val="para0"/>
    <w:pPr>
      <w:spacing w:before="160" w:after="100"/>
      <w:outlineLvl w:val="9"/>
    </w:pPr>
    <w:rPr>
      <w:i/>
      <w:iCs/>
      <w:sz w:val="22"/>
      <w:szCs w:val="22"/>
    </w:rPr>
  </w:style>
  <w:style w:type="paragraph" w:styleId="para13">
    <w:name w:val="heading 7"/>
    <w:qFormat/>
    <w:basedOn w:val="para2"/>
    <w:next w:val="para0"/>
    <w:pPr>
      <w:spacing w:before="160" w:after="80"/>
      <w:outlineLvl w:val="9"/>
    </w:pPr>
    <w:rPr>
      <w:i/>
      <w:iCs/>
      <w:sz w:val="20"/>
      <w:szCs w:val="20"/>
    </w:rPr>
  </w:style>
  <w:style w:type="paragraph" w:styleId="para14">
    <w:name w:val="Header"/>
    <w:qFormat/>
    <w:basedOn w:val="para0"/>
    <w:pPr>
      <w:spacing/>
      <w:jc w:val="center"/>
      <w:tabs>
        <w:tab w:val="center" w:pos="4819" w:leader="none"/>
        <w:tab w:val="right" w:pos="9639" w:leader="none"/>
      </w:tabs>
    </w:pPr>
    <w:rPr>
      <w:rFonts w:ascii="Arial" w:hAnsi="Arial" w:eastAsia="Arial" w:cs="Arial"/>
      <w:i/>
      <w:iCs/>
      <w:color w:val="7f7f7f"/>
      <w:sz w:val="18"/>
      <w:szCs w:val="18"/>
    </w:rPr>
  </w:style>
  <w:style w:type="paragraph" w:styleId="para15">
    <w:name w:val="Footer"/>
    <w:qFormat/>
    <w:basedOn w:val="para0"/>
    <w:pPr>
      <w:tabs>
        <w:tab w:val="center" w:pos="4819" w:leader="none"/>
        <w:tab w:val="right" w:pos="9639" w:leader="none"/>
      </w:tabs>
    </w:pPr>
    <w:rPr>
      <w:rFonts w:ascii="Arial" w:hAnsi="Arial" w:eastAsia="Arial" w:cs="Arial"/>
      <w:color w:val="7f7f7f"/>
      <w:sz w:val="18"/>
      <w:szCs w:val="18"/>
    </w:rPr>
  </w:style>
  <w:style w:type="paragraph" w:styleId="para16">
    <w:name w:val="caption"/>
    <w:qFormat/>
    <w:basedOn w:val="para0"/>
    <w:next w:val="para0"/>
    <w:rPr>
      <w:b/>
      <w:bCs/>
    </w:rPr>
  </w:style>
  <w:style w:type="character" w:styleId="char0" w:default="1">
    <w:name w:val="Default Paragraph Font"/>
  </w:style>
  <w:style w:type="character" w:styleId="char1">
    <w:name w:val="Hyperlink"/>
    <w:rPr>
      <w:color w:val="0000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color w:val="000000"/>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after="200"/>
      <w:suppressAutoHyphens/>
      <w:hyphenationLines w:val="0"/>
      <w:keepNext/>
      <w:outlineLvl w:val="0"/>
      <w:keepLines/>
    </w:pPr>
    <w:rPr>
      <w:rFonts w:ascii="Arial" w:hAnsi="Arial" w:eastAsia="Arial" w:cs="Arial"/>
      <w:b/>
      <w:bCs/>
      <w:kern w:val="0"/>
      <w:sz w:val="36"/>
      <w:szCs w:val="36"/>
    </w:rPr>
    <w:key w:val="1073"/>
  </w:style>
  <w:style w:type="paragraph" w:styleId="para2">
    <w:name w:val="heading 2"/>
    <w:qFormat/>
    <w:basedOn w:val="para1"/>
    <w:next w:val="para0"/>
    <w:pPr>
      <w:spacing w:before="200"/>
      <w:outlineLvl w:val="1"/>
    </w:pPr>
    <w:rPr>
      <w:sz w:val="32"/>
      <w:szCs w:val="32"/>
    </w:rPr>
    <w:key w:val="1074"/>
  </w:style>
  <w:style w:type="paragraph" w:styleId="para3">
    <w:name w:val="heading 3"/>
    <w:qFormat/>
    <w:basedOn w:val="para2"/>
    <w:next w:val="para0"/>
    <w:pPr>
      <w:spacing w:after="160"/>
      <w:outlineLvl w:val="2"/>
    </w:pPr>
    <w:rPr>
      <w:sz w:val="28"/>
      <w:szCs w:val="28"/>
    </w:rPr>
    <w:key w:val="1075"/>
  </w:style>
  <w:style w:type="paragraph" w:styleId="para4" w:customStyle="1">
    <w:name w:val="Arial"/>
    <w:qFormat/>
    <w:basedOn w:val="para0"/>
    <w:pPr>
      <w:spacing w:after="120"/>
      <w:jc w:val="both"/>
      <w:widowControl/>
      <w:tabs/>
    </w:pPr>
    <w:rPr>
      <w:rFonts w:ascii="Arial" w:hAnsi="Arial" w:eastAsia="Arial" w:cs="Arial"/>
      <w:kern w:val="0"/>
      <w:sz w:val="22"/>
      <w:szCs w:val="22"/>
    </w:rPr>
  </w:style>
  <w:style w:type="paragraph" w:styleId="para5" w:customStyle="1">
    <w:name w:val="Arial 10"/>
    <w:qFormat/>
    <w:basedOn w:val="para4"/>
    <w:pPr>
      <w:spacing w:after="100"/>
    </w:pPr>
    <w:rPr>
      <w:sz w:val="20"/>
      <w:szCs w:val="20"/>
    </w:rPr>
  </w:style>
  <w:style w:type="paragraph" w:styleId="para6" w:customStyle="1">
    <w:name w:val="Arial 9"/>
    <w:qFormat/>
    <w:basedOn w:val="para4"/>
    <w:pPr>
      <w:spacing w:after="80"/>
    </w:pPr>
    <w:rPr>
      <w:sz w:val="18"/>
      <w:szCs w:val="18"/>
    </w:rPr>
  </w:style>
  <w:style w:type="paragraph" w:styleId="para7" w:customStyle="1">
    <w:name w:val="Roman"/>
    <w:qFormat/>
    <w:basedOn w:val="para0"/>
    <w:pPr>
      <w:spacing w:after="120"/>
      <w:widowControl/>
      <w:tabs/>
    </w:pPr>
    <w:rPr>
      <w:rFonts w:eastAsia="Times New Roman"/>
      <w:i/>
      <w:iCs/>
      <w:kern w:val="0"/>
      <w:sz w:val="24"/>
      <w:szCs w:val="24"/>
    </w:rPr>
  </w:style>
  <w:style w:type="paragraph" w:styleId="para8" w:customStyle="1">
    <w:name w:val="Roman 10"/>
    <w:qFormat/>
    <w:basedOn w:val="para7"/>
    <w:pPr>
      <w:spacing w:after="80"/>
    </w:pPr>
    <w:rPr>
      <w:sz w:val="20"/>
      <w:szCs w:val="20"/>
    </w:rPr>
  </w:style>
  <w:style w:type="paragraph" w:styleId="para9" w:customStyle="1">
    <w:name w:val="Roman 11"/>
    <w:qFormat/>
    <w:basedOn w:val="para7"/>
    <w:pPr>
      <w:spacing w:after="100"/>
    </w:pPr>
    <w:rPr>
      <w:sz w:val="22"/>
      <w:szCs w:val="22"/>
    </w:rPr>
  </w:style>
  <w:style w:type="paragraph" w:styleId="para10">
    <w:name w:val="heading 4"/>
    <w:qFormat/>
    <w:basedOn w:val="para2"/>
    <w:next w:val="para0"/>
    <w:pPr>
      <w:spacing w:after="140"/>
      <w:outlineLvl w:val="3"/>
    </w:pPr>
    <w:rPr>
      <w:sz w:val="24"/>
      <w:szCs w:val="24"/>
    </w:rPr>
    <w:key w:val="1076"/>
  </w:style>
  <w:style w:type="paragraph" w:styleId="para11">
    <w:name w:val="heading 5"/>
    <w:qFormat/>
    <w:basedOn w:val="para2"/>
    <w:next w:val="para0"/>
    <w:pPr>
      <w:spacing w:after="120"/>
      <w:outlineLvl w:val="4"/>
    </w:pPr>
    <w:rPr>
      <w:sz w:val="22"/>
      <w:szCs w:val="22"/>
    </w:rPr>
    <w:key w:val="1077"/>
  </w:style>
  <w:style w:type="paragraph" w:styleId="para12">
    <w:name w:val="heading 6"/>
    <w:qFormat/>
    <w:basedOn w:val="para2"/>
    <w:next w:val="para0"/>
    <w:pPr>
      <w:spacing w:before="160" w:after="100"/>
      <w:outlineLvl w:val="9"/>
    </w:pPr>
    <w:rPr>
      <w:i/>
      <w:iCs/>
      <w:sz w:val="22"/>
      <w:szCs w:val="22"/>
    </w:rPr>
  </w:style>
  <w:style w:type="paragraph" w:styleId="para13">
    <w:name w:val="heading 7"/>
    <w:qFormat/>
    <w:basedOn w:val="para2"/>
    <w:next w:val="para0"/>
    <w:pPr>
      <w:spacing w:before="160" w:after="80"/>
      <w:outlineLvl w:val="9"/>
    </w:pPr>
    <w:rPr>
      <w:i/>
      <w:iCs/>
      <w:sz w:val="20"/>
      <w:szCs w:val="20"/>
    </w:rPr>
  </w:style>
  <w:style w:type="paragraph" w:styleId="para14">
    <w:name w:val="Header"/>
    <w:qFormat/>
    <w:basedOn w:val="para0"/>
    <w:pPr>
      <w:spacing/>
      <w:jc w:val="center"/>
      <w:tabs>
        <w:tab w:val="center" w:pos="4819" w:leader="none"/>
        <w:tab w:val="right" w:pos="9639" w:leader="none"/>
      </w:tabs>
    </w:pPr>
    <w:rPr>
      <w:rFonts w:ascii="Arial" w:hAnsi="Arial" w:eastAsia="Arial" w:cs="Arial"/>
      <w:i/>
      <w:iCs/>
      <w:color w:val="7f7f7f"/>
      <w:sz w:val="18"/>
      <w:szCs w:val="18"/>
    </w:rPr>
  </w:style>
  <w:style w:type="paragraph" w:styleId="para15">
    <w:name w:val="Footer"/>
    <w:qFormat/>
    <w:basedOn w:val="para0"/>
    <w:pPr>
      <w:tabs>
        <w:tab w:val="center" w:pos="4819" w:leader="none"/>
        <w:tab w:val="right" w:pos="9639" w:leader="none"/>
      </w:tabs>
    </w:pPr>
    <w:rPr>
      <w:rFonts w:ascii="Arial" w:hAnsi="Arial" w:eastAsia="Arial" w:cs="Arial"/>
      <w:color w:val="7f7f7f"/>
      <w:sz w:val="18"/>
      <w:szCs w:val="18"/>
    </w:rPr>
  </w:style>
  <w:style w:type="paragraph" w:styleId="para16">
    <w:name w:val="caption"/>
    <w:qFormat/>
    <w:basedOn w:val="para0"/>
    <w:next w:val="para0"/>
    <w:rPr>
      <w:b/>
      <w:bCs/>
    </w:rPr>
  </w:style>
  <w:style w:type="character" w:styleId="char0" w:default="1">
    <w:name w:val="Default Paragraph Font"/>
  </w:style>
  <w:style w:type="character" w:styleId="char1">
    <w:name w:val="Hyperlink"/>
    <w:rPr>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hyperlink" Target="https://de.wikipedia.org/wiki/Millimeter" TargetMode="External"/><Relationship Id="rId16" Type="http://schemas.openxmlformats.org/officeDocument/2006/relationships/image" Target="media/image8.png"/><Relationship Id="rId17" Type="http://schemas.openxmlformats.org/officeDocument/2006/relationships/hyperlink" Target="https://de.wikipedia.org/wiki/PCI_Express#cite_note-1" TargetMode="External"/><Relationship Id="rId18" Type="http://schemas.openxmlformats.org/officeDocument/2006/relationships/hyperlink" Target="https://de.wikipedia.org/wiki/PCI_Express#cite_note-2" TargetMode="External"/><Relationship Id="rId19" Type="http://schemas.openxmlformats.org/officeDocument/2006/relationships/hyperlink" Target="https://de.wikipedia.org/wiki/8b10b-Code" TargetMode="External"/><Relationship Id="rId20" Type="http://schemas.openxmlformats.org/officeDocument/2006/relationships/image" Target="media/image9.jpeg"/><Relationship Id="rId21" Type="http://schemas.openxmlformats.org/officeDocument/2006/relationships/hyperlink" Target="https://de.wikipedia.org/wiki/Solid_State_Drive" TargetMode="External"/><Relationship Id="rId22" Type="http://schemas.openxmlformats.org/officeDocument/2006/relationships/hyperlink" Target="https://de.wikipedia.org/wiki/Notebook" TargetMode="External"/><Relationship Id="rId23" Type="http://schemas.openxmlformats.org/officeDocument/2006/relationships/hyperlink" Target="https://de.wikipedia.org/wiki/Grafikkarte" TargetMode="External"/><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hyperlink" Target="https://de.wikipedia.org/wiki/Scalable_Link_Interface" TargetMode="External"/><Relationship Id="rId27" Type="http://schemas.openxmlformats.org/officeDocument/2006/relationships/hyperlink" Target="https://de.wikipedia.org/wiki/ATI_Crossfire" TargetMode="External"/><Relationship Id="rId28" Type="http://schemas.openxmlformats.org/officeDocument/2006/relationships/hyperlink" Target="https://de.wikipedia.org/wiki/Hauptplatine" TargetMode="External"/><Relationship Id="rId29" Type="http://schemas.openxmlformats.org/officeDocument/2006/relationships/hyperlink" Target="https://de.wikipedia.org/wiki/Chipsatz" TargetMode="External"/><Relationship Id="rId30" Type="http://schemas.openxmlformats.org/officeDocument/2006/relationships/hyperlink" Target="https://de.wikipedia.org/wiki/Mini_PCI_Express" TargetMode="External"/><Relationship Id="rId31" Type="http://schemas.openxmlformats.org/officeDocument/2006/relationships/hyperlink" Target="https://de.wikipedia.org/wiki/Wireless_Local_Area_Network" TargetMode="External"/><Relationship Id="rId32" Type="http://schemas.openxmlformats.org/officeDocument/2006/relationships/hyperlink" Target="https://de.wikipedia.org/wiki/Mobile_PCI_Express_Module" TargetMode="External"/><Relationship Id="rId33" Type="http://schemas.openxmlformats.org/officeDocument/2006/relationships/header" Target="header1.xml"/><Relationship Id="rId3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2015-01-18T16:01:05Z</dcterms:created>
  <dcterms:modified xsi:type="dcterms:W3CDTF">2015-01-18T22:15:32Z</dcterms:modified>
</cp:coreProperties>
</file>