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numPr>
          <w:ilvl w:val="1"/>
          <w:numId w:val="43"/>
        </w:numPr>
        <w:ind w:left="576" w:hanging="576"/>
      </w:pPr>
      <w:bookmarkStart w:id="0" w:name="_Toc367795324"/>
      <w:r/>
      <w:bookmarkEnd w:id="0"/>
      <w:r/>
      <w:r/>
      <w:bookmarkStart w:id="1" w:name="_TOC002122"/>
      <w:r/>
      <w:bookmarkEnd w:id="2"/>
      <w:r/>
      <w:bookmarkEnd w:id="1"/>
      <w:r/>
      <w:r>
        <w:rPr>
          <w:sz w:val="28"/>
          <w:szCs w:val="28"/>
        </w:rPr>
        <w:t>Coachender Führungsstil</w:t>
      </w:r>
      <w:r/>
    </w:p>
    <w:p>
      <w:pPr>
        <w:spacing w:line="288" w:lineRule="auto"/>
        <w:rPr>
          <w:rFonts w:eastAsia="Cambria" w:cs="Basic Roman"/>
          <w:sz w:val="16"/>
          <w:szCs w:val="16"/>
        </w:rPr>
      </w:pPr>
      <w:r>
        <w:rPr>
          <w:rFonts w:eastAsia="Cambria" w:cs="Basic Roman"/>
          <w:sz w:val="16"/>
          <w:szCs w:val="16"/>
        </w:rPr>
        <w:t>Auszüge aus:</w:t>
      </w:r>
    </w:p>
    <w:p>
      <w:pPr>
        <w:spacing w:line="288" w:lineRule="auto"/>
        <w:rPr>
          <w:rFonts w:eastAsia="Cambria" w:cs="Basic Roman"/>
          <w:sz w:val="14"/>
          <w:szCs w:val="14"/>
        </w:rPr>
      </w:pPr>
      <w:r>
        <w:rPr>
          <w:rStyle w:val="char19"/>
          <w:rFonts w:eastAsia="Tahoma" w:cs="Tahoma"/>
          <w:sz w:val="14"/>
          <w:szCs w:val="14"/>
        </w:rPr>
        <w:t>https://www.marcus-hein.de/coachender-fuehrungsstil/</w:t>
      </w:r>
      <w:r>
        <w:rPr>
          <w:rFonts w:eastAsia="Cambria" w:cs="Basic Roman"/>
          <w:sz w:val="14"/>
          <w:szCs w:val="14"/>
        </w:rPr>
        <w:t>, 26.07.2026</w:t>
      </w:r>
    </w:p>
    <w:p>
      <w:pPr>
        <w:rPr>
          <w:sz w:val="16"/>
          <w:szCs w:val="16"/>
        </w:rPr>
      </w:pPr>
      <w:r>
        <w:rPr>
          <w:color w:val="0000FF"/>
          <w:sz w:val="16"/>
          <w:szCs w:val="16"/>
        </w:rPr>
        <w:t>Laxy, René; Das systemische Mitarbeitergespräch</w:t>
      </w:r>
      <w:r>
        <w:rPr>
          <w:sz w:val="16"/>
          <w:szCs w:val="16"/>
        </w:rPr>
        <w:t>; Edition managerSeminare, 2026, ISBN 978-3-949611-48-3, S. 26</w:t>
      </w:r>
    </w:p>
    <w:p>
      <w:r>
        <w:t>Coaching und Führung sind zwei grundlegend verschiedene Rollen – mit unterschiedlichen Zielen, Verantwortlichkeiten und Grenzen. Trotzdem gibt es gute Gründe, Coaching-Skills in der Führung zu nutzen. Entscheidend ist, zu verstehen, wo und wie das sinnvoll ist – und wann Führung einfach Führung bleiben muss.</w:t>
      </w:r>
    </w:p>
    <w:p>
      <w:pPr>
        <w:pStyle w:val="para3"/>
        <w:numPr>
          <w:ilvl w:val="2"/>
          <w:numId w:val="43"/>
        </w:numPr>
        <w:ind w:left="720" w:hanging="720"/>
      </w:pPr>
      <w:bookmarkStart w:id="3" w:name="_TOC000009"/>
      <w:r/>
      <w:r/>
      <w:bookmarkStart w:id="4" w:name="_TOC000021"/>
      <w:r>
        <w:t>Führung ist nicht Coaching – zwei Rollen, zwei Logiken.</w:t>
      </w:r>
      <w:bookmarkEnd w:id="3"/>
      <w:r/>
      <w:bookmarkEnd w:id="4"/>
      <w:r/>
    </w:p>
    <w:p>
      <w:r>
        <w:t>Viele Unternehmen propagieren heute: „Führungskräfte müssen Coaches sein.“ Doch Coaching folgt einer völlig anderen Logik als Führung.</w:t>
      </w:r>
    </w:p>
    <w:p>
      <w:r>
        <w:t>Fazit: Eine Führungskraft kann Coaching-Techniken nutzen – aber sie ist kein Coach.</w:t>
      </w:r>
    </w:p>
    <w:p>
      <w:r>
        <w:t>Coaching bedeutet: der Mitarbeitende bestimmt Thema, Ziel und Tempo. Führung bedeutet: die Führungskraft trägt Verantwortung für Richtung, Ergebnisse und Rahmenbedingungen.</w:t>
      </w:r>
    </w:p>
    <w:p>
      <w:pPr>
        <w:ind w:left="737" w:hanging="737"/>
      </w:pPr>
      <w:r/>
    </w:p>
    <w:p>
      <w:pPr>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cols w:num="2" w:equalWidth="1" w:space="340"/>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tbl>
      <w:tblPr>
        <w:tblStyle w:val="TableGrid"/>
        <w:name w:val="Tabelle208"/>
        <w:tabOrder w:val="0"/>
        <w:jc w:val="left"/>
        <w:tblInd w:w="0" w:type="dxa"/>
        <w:tblW w:w="8921" w:type="dxa"/>
        <w:pPr>
          <w:spacing/>
          <w:jc w:val="left"/>
        </w:pPr>
        <w:tblLook w:val="04A0" w:firstRow="1" w:lastRow="0" w:firstColumn="1" w:lastColumn="0" w:noHBand="0" w:noVBand="1"/>
      </w:tblPr>
      <w:tblGrid>
        <w:gridCol w:w="1600"/>
        <w:gridCol w:w="3385"/>
        <w:gridCol w:w="3936"/>
      </w:tblGrid>
      <w:tr>
        <w:trPr>
          <w:tblHeader w:val="0"/>
          <w:cantSplit w:val="0"/>
          <w:trHeight w:val="0" w:hRule="auto"/>
        </w:trPr>
        <w:tc>
          <w:tcPr>
            <w:tcW w:w="1600" w:type="dxa"/>
            <w:tcMar>
              <w:top w:w="57" w:type="dxa"/>
              <w:left w:w="57" w:type="dxa"/>
              <w:bottom w:w="57" w:type="dxa"/>
              <w:right w:w="57" w:type="dxa"/>
            </w:tcMar>
            <w:tmTcPr id="1793263015" protected="0"/>
          </w:tcPr>
          <w:p>
            <w:pPr>
              <w:spacing/>
              <w:jc w:val="left"/>
            </w:pPr>
            <w:r/>
          </w:p>
        </w:tc>
        <w:tc>
          <w:tcPr>
            <w:tcW w:w="3385" w:type="dxa"/>
            <w:tcMar>
              <w:top w:w="57" w:type="dxa"/>
              <w:left w:w="57" w:type="dxa"/>
              <w:bottom w:w="57" w:type="dxa"/>
              <w:right w:w="57" w:type="dxa"/>
            </w:tcMar>
            <w:tmTcPr id="1793263015" protected="0"/>
          </w:tcPr>
          <w:p>
            <w:pPr>
              <w:pStyle w:val="para0"/>
              <w:spacing w:after="0" w:line="240" w:lineRule="auto"/>
              <w:jc w:val="left"/>
            </w:pPr>
            <w:r>
              <w:t>Coaching</w:t>
            </w:r>
          </w:p>
        </w:tc>
        <w:tc>
          <w:tcPr>
            <w:tcW w:w="3936" w:type="dxa"/>
            <w:tcMar>
              <w:top w:w="57" w:type="dxa"/>
              <w:left w:w="57" w:type="dxa"/>
              <w:bottom w:w="57" w:type="dxa"/>
              <w:right w:w="57" w:type="dxa"/>
            </w:tcMar>
            <w:tmTcPr id="1793263015" protected="0"/>
          </w:tcPr>
          <w:p>
            <w:pPr>
              <w:pStyle w:val="para0"/>
              <w:spacing w:after="0" w:line="240" w:lineRule="auto"/>
              <w:jc w:val="left"/>
            </w:pPr>
            <w:r>
              <w:t>Führung</w:t>
            </w:r>
          </w:p>
        </w:tc>
      </w:tr>
      <w:tr>
        <w:trPr>
          <w:tblHeader w:val="0"/>
          <w:cantSplit w:val="0"/>
          <w:trHeight w:val="0" w:hRule="auto"/>
        </w:trPr>
        <w:tc>
          <w:tcPr>
            <w:tcW w:w="1600" w:type="dxa"/>
            <w:tcMar>
              <w:top w:w="57" w:type="dxa"/>
              <w:left w:w="57" w:type="dxa"/>
              <w:bottom w:w="57" w:type="dxa"/>
              <w:right w:w="57" w:type="dxa"/>
            </w:tcMar>
            <w:tmTcPr id="1793263015" protected="0"/>
          </w:tcPr>
          <w:p>
            <w:pPr>
              <w:pStyle w:val="para0"/>
              <w:spacing w:after="0" w:line="240" w:lineRule="auto"/>
              <w:jc w:val="left"/>
            </w:pPr>
            <w:r>
              <w:t>Thema</w:t>
            </w:r>
          </w:p>
        </w:tc>
        <w:tc>
          <w:tcPr>
            <w:tcW w:w="3385" w:type="dxa"/>
            <w:tcMar>
              <w:top w:w="57" w:type="dxa"/>
              <w:left w:w="57" w:type="dxa"/>
              <w:bottom w:w="57" w:type="dxa"/>
              <w:right w:w="57" w:type="dxa"/>
            </w:tcMar>
            <w:tmTcPr id="1793263015" protected="0"/>
          </w:tcPr>
          <w:p>
            <w:pPr>
              <w:pStyle w:val="para0"/>
              <w:spacing w:after="0" w:line="240" w:lineRule="auto"/>
              <w:jc w:val="left"/>
            </w:pPr>
            <w:r>
              <w:t>Thema des Klienten</w:t>
            </w:r>
          </w:p>
        </w:tc>
        <w:tc>
          <w:tcPr>
            <w:tcW w:w="3936" w:type="dxa"/>
            <w:tcMar>
              <w:top w:w="57" w:type="dxa"/>
              <w:left w:w="57" w:type="dxa"/>
              <w:bottom w:w="57" w:type="dxa"/>
              <w:right w:w="57" w:type="dxa"/>
            </w:tcMar>
            <w:tmTcPr id="1793263015" protected="0"/>
          </w:tcPr>
          <w:p>
            <w:pPr>
              <w:pStyle w:val="para0"/>
              <w:spacing w:after="0" w:line="240" w:lineRule="auto"/>
              <w:jc w:val="left"/>
            </w:pPr>
            <w:r>
              <w:t>Thema des Unternehmens und/oder der Führungskraft bzw. Verantwortungsbereichs</w:t>
            </w:r>
          </w:p>
        </w:tc>
      </w:tr>
      <w:tr>
        <w:trPr>
          <w:tblHeader w:val="0"/>
          <w:cantSplit w:val="0"/>
          <w:trHeight w:val="0" w:hRule="auto"/>
        </w:trPr>
        <w:tc>
          <w:tcPr>
            <w:tcW w:w="1600" w:type="dxa"/>
            <w:tcMar>
              <w:top w:w="57" w:type="dxa"/>
              <w:left w:w="57" w:type="dxa"/>
              <w:bottom w:w="57" w:type="dxa"/>
              <w:right w:w="57" w:type="dxa"/>
            </w:tcMar>
            <w:tmTcPr id="1793263015" protected="0"/>
          </w:tcPr>
          <w:p>
            <w:pPr>
              <w:pStyle w:val="para0"/>
              <w:spacing w:after="0" w:line="240" w:lineRule="auto"/>
              <w:jc w:val="left"/>
            </w:pPr>
            <w:r>
              <w:t>Ziel</w:t>
            </w:r>
          </w:p>
        </w:tc>
        <w:tc>
          <w:tcPr>
            <w:tcW w:w="3385" w:type="dxa"/>
            <w:tcMar>
              <w:top w:w="57" w:type="dxa"/>
              <w:left w:w="57" w:type="dxa"/>
              <w:bottom w:w="57" w:type="dxa"/>
              <w:right w:w="57" w:type="dxa"/>
            </w:tcMar>
            <w:tmTcPr id="1793263015" protected="0"/>
          </w:tcPr>
          <w:p>
            <w:pPr>
              <w:pStyle w:val="para0"/>
              <w:spacing w:after="0" w:line="240" w:lineRule="auto"/>
              <w:jc w:val="left"/>
            </w:pPr>
            <w:r>
              <w:t>Selbstreflexion &amp; Selbstverantwortung</w:t>
            </w:r>
          </w:p>
        </w:tc>
        <w:tc>
          <w:tcPr>
            <w:tcW w:w="3936" w:type="dxa"/>
            <w:tcMar>
              <w:top w:w="57" w:type="dxa"/>
              <w:left w:w="57" w:type="dxa"/>
              <w:bottom w:w="57" w:type="dxa"/>
              <w:right w:w="57" w:type="dxa"/>
            </w:tcMar>
            <w:tmTcPr id="1793263015" protected="0"/>
          </w:tcPr>
          <w:p>
            <w:pPr>
              <w:pStyle w:val="para0"/>
              <w:spacing w:after="0" w:line="240" w:lineRule="auto"/>
              <w:jc w:val="left"/>
            </w:pPr>
            <w:r>
              <w:t>Zielerreichung &amp; Ergebnisverantwortung</w:t>
            </w:r>
          </w:p>
        </w:tc>
      </w:tr>
      <w:tr>
        <w:trPr>
          <w:tblHeader w:val="0"/>
          <w:cantSplit w:val="0"/>
          <w:trHeight w:val="0" w:hRule="auto"/>
        </w:trPr>
        <w:tc>
          <w:tcPr>
            <w:tcW w:w="1600" w:type="dxa"/>
            <w:tcMar>
              <w:top w:w="57" w:type="dxa"/>
              <w:left w:w="57" w:type="dxa"/>
              <w:bottom w:w="57" w:type="dxa"/>
              <w:right w:w="57" w:type="dxa"/>
            </w:tcMar>
            <w:tmTcPr id="1793263015" protected="0"/>
          </w:tcPr>
          <w:p>
            <w:pPr>
              <w:pStyle w:val="para0"/>
              <w:spacing w:after="0" w:line="240" w:lineRule="auto"/>
              <w:jc w:val="left"/>
            </w:pPr>
            <w:r>
              <w:t>Rolle</w:t>
            </w:r>
          </w:p>
        </w:tc>
        <w:tc>
          <w:tcPr>
            <w:tcW w:w="3385" w:type="dxa"/>
            <w:tcMar>
              <w:top w:w="57" w:type="dxa"/>
              <w:left w:w="57" w:type="dxa"/>
              <w:bottom w:w="57" w:type="dxa"/>
              <w:right w:w="57" w:type="dxa"/>
            </w:tcMar>
            <w:tmTcPr id="1793263015" protected="0"/>
          </w:tcPr>
          <w:p>
            <w:pPr>
              <w:pStyle w:val="para0"/>
              <w:spacing w:after="0" w:line="240" w:lineRule="auto"/>
              <w:jc w:val="left"/>
            </w:pPr>
            <w:r>
              <w:t>Prozessbegleiter, neutral, ergebnisoffen</w:t>
            </w:r>
          </w:p>
        </w:tc>
        <w:tc>
          <w:tcPr>
            <w:tcW w:w="3936" w:type="dxa"/>
            <w:tcMar>
              <w:top w:w="57" w:type="dxa"/>
              <w:left w:w="57" w:type="dxa"/>
              <w:bottom w:w="57" w:type="dxa"/>
              <w:right w:w="57" w:type="dxa"/>
            </w:tcMar>
            <w:tmTcPr id="1793263015" protected="0"/>
          </w:tcPr>
          <w:p>
            <w:pPr>
              <w:pStyle w:val="para0"/>
              <w:spacing w:after="0" w:line="240" w:lineRule="auto"/>
              <w:jc w:val="left"/>
            </w:pPr>
            <w:r>
              <w:t>Gestalter, Entscheider, Richtungsgeber</w:t>
            </w:r>
          </w:p>
        </w:tc>
      </w:tr>
      <w:tr>
        <w:trPr>
          <w:tblHeader w:val="0"/>
          <w:cantSplit w:val="0"/>
          <w:trHeight w:val="0" w:hRule="auto"/>
        </w:trPr>
        <w:tc>
          <w:tcPr>
            <w:tcW w:w="1600" w:type="dxa"/>
            <w:tcMar>
              <w:top w:w="57" w:type="dxa"/>
              <w:left w:w="57" w:type="dxa"/>
              <w:bottom w:w="57" w:type="dxa"/>
              <w:right w:w="57" w:type="dxa"/>
            </w:tcMar>
            <w:tmTcPr id="1793263015" protected="0"/>
          </w:tcPr>
          <w:p>
            <w:pPr>
              <w:pStyle w:val="para0"/>
              <w:spacing w:after="0" w:line="240" w:lineRule="auto"/>
              <w:jc w:val="left"/>
            </w:pPr>
            <w:r>
              <w:t>Machtverhältnis</w:t>
            </w:r>
          </w:p>
        </w:tc>
        <w:tc>
          <w:tcPr>
            <w:tcW w:w="3385" w:type="dxa"/>
            <w:tcMar>
              <w:top w:w="57" w:type="dxa"/>
              <w:left w:w="57" w:type="dxa"/>
              <w:bottom w:w="57" w:type="dxa"/>
              <w:right w:w="57" w:type="dxa"/>
            </w:tcMar>
            <w:tmTcPr id="1793263015" protected="0"/>
          </w:tcPr>
          <w:p>
            <w:pPr>
              <w:pStyle w:val="para0"/>
              <w:spacing w:after="0" w:line="240" w:lineRule="auto"/>
              <w:jc w:val="left"/>
            </w:pPr>
            <w:r>
              <w:t>Beziehung auf Augenhöhe</w:t>
            </w:r>
          </w:p>
        </w:tc>
        <w:tc>
          <w:tcPr>
            <w:tcW w:w="3936" w:type="dxa"/>
            <w:tcMar>
              <w:top w:w="57" w:type="dxa"/>
              <w:left w:w="57" w:type="dxa"/>
              <w:bottom w:w="57" w:type="dxa"/>
              <w:right w:w="57" w:type="dxa"/>
            </w:tcMar>
            <w:tmTcPr id="1793263015" protected="0"/>
          </w:tcPr>
          <w:p>
            <w:pPr>
              <w:pStyle w:val="para0"/>
              <w:spacing w:after="0" w:line="240" w:lineRule="auto"/>
              <w:jc w:val="left"/>
            </w:pPr>
            <w:r>
              <w:t>Hierarchisches Verhältnis (auch wenn auf Augenhöhe miteinander spricht)</w:t>
            </w:r>
          </w:p>
        </w:tc>
      </w:tr>
      <w:tr>
        <w:trPr>
          <w:tblHeader w:val="0"/>
          <w:cantSplit w:val="0"/>
          <w:trHeight w:val="0" w:hRule="auto"/>
        </w:trPr>
        <w:tc>
          <w:tcPr>
            <w:tcW w:w="1600" w:type="dxa"/>
            <w:tcMar>
              <w:top w:w="57" w:type="dxa"/>
              <w:left w:w="57" w:type="dxa"/>
              <w:bottom w:w="57" w:type="dxa"/>
              <w:right w:w="57" w:type="dxa"/>
            </w:tcMar>
            <w:tmTcPr id="1793263015" protected="0"/>
          </w:tcPr>
          <w:p>
            <w:pPr>
              <w:pStyle w:val="para0"/>
              <w:spacing w:after="0" w:line="240" w:lineRule="auto"/>
              <w:jc w:val="left"/>
            </w:pPr>
            <w:r>
              <w:t>Fokus</w:t>
            </w:r>
          </w:p>
        </w:tc>
        <w:tc>
          <w:tcPr>
            <w:tcW w:w="3385" w:type="dxa"/>
            <w:tcMar>
              <w:top w:w="57" w:type="dxa"/>
              <w:left w:w="57" w:type="dxa"/>
              <w:bottom w:w="57" w:type="dxa"/>
              <w:right w:w="57" w:type="dxa"/>
            </w:tcMar>
            <w:tmTcPr id="1793263015" protected="0"/>
          </w:tcPr>
          <w:p>
            <w:pPr>
              <w:pStyle w:val="para0"/>
              <w:spacing w:after="0" w:line="240" w:lineRule="auto"/>
              <w:jc w:val="left"/>
            </w:pPr>
            <w:r>
              <w:t>Entwicklung im Interesse des Klienten</w:t>
            </w:r>
          </w:p>
        </w:tc>
        <w:tc>
          <w:tcPr>
            <w:tcW w:w="3936" w:type="dxa"/>
            <w:tcMar>
              <w:top w:w="57" w:type="dxa"/>
              <w:left w:w="57" w:type="dxa"/>
              <w:bottom w:w="57" w:type="dxa"/>
              <w:right w:w="57" w:type="dxa"/>
            </w:tcMar>
            <w:tmTcPr id="1793263015" protected="0"/>
          </w:tcPr>
          <w:p>
            <w:pPr>
              <w:pStyle w:val="para0"/>
              <w:spacing w:after="0" w:line="240" w:lineRule="auto"/>
              <w:jc w:val="left"/>
            </w:pPr>
            <w:r>
              <w:t>Entwicklung im Interesse und Einklang mit Unternehmenszielen</w:t>
            </w:r>
          </w:p>
        </w:tc>
      </w:tr>
    </w:tbl>
    <w:p>
      <w:r>
        <w:t>Die Unterschiede von Führung und Coaching</w:t>
      </w:r>
    </w:p>
    <w:p>
      <w:pPr>
        <w:spacing w:after="0" w:line="240" w:lineRule="auto"/>
        <w:tabs defTabSz="708">
          <w:tab w:val="left" w:pos="2324" w:leader="none"/>
          <w:tab w:val="left" w:pos="6180" w:leader="none"/>
        </w:tabs>
        <w:rPr>
          <w:sz w:val="12"/>
          <w:szCs w:val="12"/>
        </w:rPr>
      </w:pPr>
      <w:r>
        <w:rPr>
          <w:sz w:val="12"/>
          <w:szCs w:val="12"/>
        </w:rPr>
        <w:tab/>
        <w:tab/>
      </w:r>
      <w:r>
        <w:rPr>
          <w:sz w:val="12"/>
          <w:szCs w:val="12"/>
          <w:u w:color="auto" w:val="single"/>
        </w:rPr>
        <w:tab/>
      </w:r>
      <w:r>
        <w:rPr>
          <w:sz w:val="12"/>
          <w:szCs w:val="12"/>
        </w:rPr>
      </w:r>
    </w:p>
    <w:p>
      <w:pPr>
        <w:spacing w:after="0" w:line="240" w:lineRule="auto"/>
        <w:rPr>
          <w:sz w:val="12"/>
          <w:szCs w:val="12"/>
        </w:rPr>
      </w:pPr>
      <w:r>
        <w:rPr>
          <w:sz w:val="12"/>
          <w:szCs w:val="12"/>
        </w:rPr>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417" w:top="1417" w:right="1417" w:bottom="1134" w:header="709" w:footer="708"/>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43"/>
        </w:numPr>
        <w:ind w:left="720" w:hanging="720"/>
      </w:pPr>
      <w:bookmarkStart w:id="5" w:name="_TOC000012"/>
      <w:r>
        <w:t>Rollenkonflikt - Führungskraft oder Coach?</w:t>
      </w:r>
    </w:p>
    <w:p>
      <w:r>
        <w:t>„Die Führungskraft als Coach" ist ein beliebtes Konzept, birgt aber einen nicht auflösbaren Rollenkonflikt. Denn auch in der Coaching-Rolle bleiben Sie die Führungskraft und vertreten die Interessen des Unternehmens.</w:t>
      </w:r>
    </w:p>
    <w:p>
      <w:r>
        <w:t>Stellen Sie sich vor: Sie haben dem Mitarbeitenden volle Vertraulichkeit zugesichert. Nun erfahren Sie von einem Verhalten, bei dem Sie als Führungskraft eine Abmahnung aussprechen müssten. Würden Sie die Vertraulichkeit brechen oder keine Konsequenz folgen lassen? Beides ist problematisch.</w:t>
      </w:r>
    </w:p>
    <w:p>
      <w:r>
        <w:t>Der entscheidende Unterschied:</w:t>
      </w:r>
    </w:p>
    <w:p>
      <w:pPr>
        <w:pStyle w:val="para17"/>
        <w:numPr>
          <w:ilvl w:val="1"/>
          <w:numId w:val="60"/>
        </w:numPr>
        <w:ind w:left="397" w:hanging="197"/>
        <w:rPr>
          <w:sz w:val="18"/>
          <w:szCs w:val="18"/>
        </w:rPr>
      </w:pPr>
      <w:r>
        <w:rPr>
          <w:sz w:val="18"/>
          <w:szCs w:val="18"/>
        </w:rPr>
        <w:t>Problematisch ist es, sich als „Coach" zu positionieren.</w:t>
      </w:r>
    </w:p>
    <w:p>
      <w:pPr>
        <w:pStyle w:val="para17"/>
        <w:numPr>
          <w:ilvl w:val="1"/>
          <w:numId w:val="60"/>
        </w:numPr>
        <w:ind w:left="397" w:hanging="197"/>
        <w:rPr>
          <w:sz w:val="18"/>
          <w:szCs w:val="18"/>
        </w:rPr>
      </w:pPr>
      <w:r>
        <w:rPr>
          <w:sz w:val="18"/>
          <w:szCs w:val="18"/>
        </w:rPr>
        <w:t>Legitim und wirkungsstark: Elemente und Techniken des Coachings als Führungsinstrument nutzen - bei klarer Positionierung als Führungskraft.</w:t>
      </w:r>
    </w:p>
    <w:p>
      <w:r>
        <w:t>Seien Sie daher transparent in Ihrer Rolle: „Ich bin deine Führungskraft, nicht dein Coach. Meine Aufgabe ist es, dich zu unterstützen und gleichzeitig die Ziele unserer Abteilung im Blick zu haben." Diese Klarheit schafft Vertrauen und schützt beide Seiten vor falschen Erwartungen.</w:t>
      </w:r>
    </w:p>
    <w:p>
      <w:pPr>
        <w:pStyle w:val="para3"/>
        <w:numPr>
          <w:ilvl w:val="2"/>
          <w:numId w:val="43"/>
        </w:numPr>
        <w:ind w:left="720" w:hanging="720"/>
      </w:pPr>
      <w:r>
        <w:br w:type="column"/>
      </w:r>
      <w:r>
        <w:t>Die „lethologische Begabung“ – warum Coaches „nicht wissen“</w:t>
      </w:r>
      <w:bookmarkEnd w:id="5"/>
      <w:r/>
    </w:p>
    <w:p>
      <w:r>
        <w:rPr>
          <w:noProof/>
        </w:rPr>
        <mc:AlternateContent>
          <mc:Choice Requires="wps">
            <w:drawing>
              <wp:anchor distT="36195" distB="36195" distL="107950" distR="107950" simplePos="0" relativeHeight="251658241" behindDoc="0" locked="0" layoutInCell="0" hidden="0" allowOverlap="1">
                <wp:simplePos x="0" y="0"/>
                <wp:positionH relativeFrom="column">
                  <wp:posOffset>1403350</wp:posOffset>
                </wp:positionH>
                <wp:positionV relativeFrom="paragraph">
                  <wp:posOffset>356235</wp:posOffset>
                </wp:positionV>
                <wp:extent cx="1351915" cy="2029460"/>
                <wp:effectExtent l="12700" t="12700" r="12700" b="12700"/>
                <wp:wrapSquare wrapText="bothSides"/>
                <wp:docPr id="1" name="Rechteck1"/>
                <wp:cNvGraphicFramePr/>
                <a:graphic xmlns:a="http://schemas.openxmlformats.org/drawingml/2006/main">
                  <a:graphicData uri="http://schemas.microsoft.com/office/word/2010/wordprocessingShape">
                    <wps:wsp>
                      <wps:cNvSpPr/>
                      <wps:spPr>
                        <a:xfrm>
                          <a:off x="0" y="0"/>
                          <a:ext cx="1351915" cy="2029460"/>
                        </a:xfrm>
                        <a:prstGeom prst="rect">
                          <a:avLst/>
                        </a:prstGeom>
                        <a:noFill/>
                        <a:ln w="12700">
                          <a:solidFill>
                            <a:srgbClr val="000000"/>
                          </a:solidFill>
                        </a:ln>
                      </wps:spPr>
                      <wps:txbx>
                        <w:txbxContent>
                          <w:p>
                            <w:pPr>
                              <w:ind w:hanging="9"/>
                              <w:spacing w:after="0"/>
                              <w:jc w:val="lef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b/>
                                <w:bCs/>
                                <w:kern w:val="1"/>
                              </w:rPr>
                              <w:t>Lethologisch</w:t>
                            </w:r>
                            <w:r>
                              <w:rPr>
                                <w:rFonts w:eastAsia="Tahoma" w:cs="Tahoma"/>
                                <w:kern w:val="1"/>
                              </w:rPr>
                              <w:t xml:space="preserve"> leitet sich von der Lethologie ab – der „Lehre vom Nichtwissen“. Es beschreibt eine bewusste Haltung der Offenheit und des bewussten Nicht-Wissens, die besonders in der Pädagogik, der Philosophie und der systemischen Beratung genutzt wird.</w:t>
                            </w:r>
                          </w:p>
                        </w:txbxContent>
                      </wps:txbx>
                      <wps:bodyPr spcFirstLastPara="1" vertOverflow="clip" horzOverflow="clip" lIns="71755" tIns="71755" rIns="71755" bIns="71755" upright="1">
                        <a:prstTxWarp prst="textNoShape">
                          <a:avLst/>
                        </a:prstTxWarp>
                        <a:noAutofit/>
                      </wps:bodyPr>
                    </wps:wsp>
                  </a:graphicData>
                </a:graphic>
              </wp:anchor>
            </w:drawing>
          </mc:Choice>
          <mc:Fallback>
            <w:pict>
              <v:rect id="Rechteck1" o:spid="_x0000_s1026" style="position:absolute;margin-left:110.50pt;margin-top:28.05pt;width:106.45pt;height:159.80pt;z-index:251658241;mso-wrap-distance-left:8.50pt;mso-wrap-distance-top:2.85pt;mso-wrap-distance-right:8.50pt;mso-wrap-distance-bottom:2.85pt;mso-wrap-style:square" strokeweight="1.00pt" filled="f" o:insetmode="custom">
                <w10:wrap type="square" anchorx="text" anchory="text"/>
                <v:textbox inset="5.7pt,5.7pt,5.7pt,5.7pt">
                  <w:txbxContent>
                    <w:p>
                      <w:pPr>
                        <w:ind w:hanging="9"/>
                        <w:spacing w:after="0"/>
                        <w:jc w:val="lef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b/>
                          <w:bCs/>
                          <w:kern w:val="1"/>
                        </w:rPr>
                        <w:t>Lethologisch</w:t>
                      </w:r>
                      <w:r>
                        <w:rPr>
                          <w:rFonts w:eastAsia="Tahoma" w:cs="Tahoma"/>
                          <w:kern w:val="1"/>
                        </w:rPr>
                        <w:t xml:space="preserve"> leitet sich von der Lethologie ab – der „Lehre vom Nichtwissen“. Es beschreibt eine bewusste Haltung der Offenheit und des bewussten Nicht-Wissens, die besonders in der Pädagogik, der Philosophie und der systemischen Beratung genutzt wird.</w:t>
                      </w:r>
                    </w:p>
                  </w:txbxContent>
                </v:textbox>
              </v:rect>
            </w:pict>
          </mc:Fallback>
        </mc:AlternateContent>
      </w:r>
      <w:r>
        <w:t xml:space="preserve">Sonja Radatz ist Coaching-Expertin, nennt sieben Voraussetzungen für eine systemische Coachinghaltung, darunter die </w:t>
      </w:r>
      <w:r>
        <w:rPr>
          <w:b/>
          <w:bCs/>
        </w:rPr>
        <w:t>lethologische Begabung</w:t>
      </w:r>
      <w:r>
        <w:t>. Sie beschreibt nach Heinz von Foerster die Fähigkeit, „nicht zu wissen“ – also ohne Hypothesen, Ratschläge oder Bewertungen in ein Gespräch zu gehen.</w:t>
      </w:r>
    </w:p>
    <w:p>
      <w:r>
        <w:t>Für Coaches ist diese Haltung essenziell. Sie stellen Fragen, hören zu, öffnen Perspektiven – aber sie geben keine Lösungen oder Lösungsideen vor. Dadurch wird der Klient befähigt, eigene Antworten und Lösungen zu entwickeln, die in sein System passen.</w:t>
      </w:r>
    </w:p>
    <w:p>
      <w:r/>
    </w:p>
    <w:sectPr>
      <w:footnotePr>
        <w:pos w:val="pageBottom"/>
        <w:numFmt w:val="decimal"/>
        <w:numStart w:val="1"/>
        <w:numRestart w:val="continuous"/>
      </w:footnotePr>
      <w:endnotePr>
        <w:pos w:val="docEnd"/>
        <w:numFmt w:val="decimal"/>
        <w:numStart w:val="1"/>
        <w:numRestart w:val="continuous"/>
      </w:endnotePr>
      <w:type w:val="continuous"/>
      <w:pgSz w:h="16840" w:w="11900"/>
      <w:pgMar w:left="1417" w:top="1417" w:right="1417" w:bottom="1134" w:header="709" w:footer="708"/>
      <w:paperSrc w:first="0" w:other="0" a="0" b="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tmUseOutlineLevel val="0"/>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
    <w:multiLevelType w:val="singleLevel"/>
    <w:name w:val="Bullet 42"/>
    <w:lvl w:ilvl="0">
      <w:start w:val="1"/>
      <w:numFmt w:val="decimal"/>
      <w:suff w:val="tab"/>
      <w:lvlText w:val="%1."/>
      <w:lvlJc w:val="left"/>
      <w:pPr>
        <w:ind w:left="0" w:hanging="0"/>
      </w:pPr>
    </w:lvl>
    <w:tmUseOutlineLevel val="0"/>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tmUseOutlineLevel val="0"/>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tmUseOutlineLevel val="0"/>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tmUseOutlineLevel val="0"/>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tmUseOutlineLevel val="0"/>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tmUseOutlineLevel val="0"/>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4">
    <w:multiLevelType w:val="singleLevel"/>
    <w:name w:val="Bullet 48"/>
    <w:lvl w:ilvl="0">
      <w:start w:val="1"/>
      <w:numFmt w:val="decimal"/>
      <w:suff w:val="tab"/>
      <w:lvlText w:val="%1."/>
      <w:lvlJc w:val="left"/>
      <w:pPr>
        <w:ind w:left="0" w:hanging="0"/>
      </w:pPr>
    </w:lvl>
    <w:tmUseOutlineLevel val="0"/>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tmUseOutlineLevel val="0"/>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tmUseOutlineLevel val="0"/>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tmUseOutlineLevel val="0"/>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1">
    <w:multiLevelType w:val="singleLevel"/>
    <w:name w:val="Bullet 41"/>
    <w:lvl w:ilvl="0">
      <w:start w:val="1"/>
      <w:numFmt w:val="decimal"/>
      <w:suff w:val="tab"/>
      <w:lvlText w:val="%1."/>
      <w:lvlJc w:val="left"/>
      <w:pPr>
        <w:ind w:left="0" w:hanging="0"/>
      </w:pPr>
    </w:lvl>
    <w:tmUseOutlineLevel val="0"/>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1"/>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tmUseOutlineLevel val="0"/>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8">
    <w:multiLevelType w:val="singleLevel"/>
    <w:name w:val="Bullet 43"/>
    <w:lvl w:ilvl="0">
      <w:start w:val="1"/>
      <w:numFmt w:val="decimal"/>
      <w:suff w:val="tab"/>
      <w:lvlText w:val="%1."/>
      <w:lvlJc w:val="left"/>
      <w:pPr>
        <w:ind w:left="0" w:hanging="0"/>
      </w:pPr>
    </w:lvl>
    <w:tmUseOutlineLevel val="0"/>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3">
    <w:multiLevelType w:val="singleLevel"/>
    <w:name w:val="Bullet 44"/>
    <w:lvl w:ilvl="0">
      <w:start w:val="1"/>
      <w:numFmt w:val="decimal"/>
      <w:suff w:val="tab"/>
      <w:lvlText w:val="%1."/>
      <w:lvlJc w:val="left"/>
      <w:pPr>
        <w:ind w:left="0" w:hanging="0"/>
      </w:pPr>
    </w:lvl>
    <w:tmUseOutlineLevel val="0"/>
  </w:abstractNum>
  <w:abstractNum w:abstractNumId="54">
    <w:multiLevelType w:val="singleLevel"/>
    <w:name w:val="Bullet 49"/>
    <w:lvl w:ilvl="0">
      <w:start w:val="1"/>
      <w:numFmt w:val="decimal"/>
      <w:suff w:val="tab"/>
      <w:lvlText w:val="%1."/>
      <w:lvlJc w:val="left"/>
      <w:pPr>
        <w:ind w:left="0" w:hanging="0"/>
      </w:pPr>
    </w:lvl>
    <w:tmUseOutlineLevel val="0"/>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tmUseOutlineLevel val="0"/>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tmUseOutlineLevel val="0"/>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tmUseOutlineLevel val="0"/>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tmUseOutlineLevel val="0"/>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tmUseOutlineLevel val="0"/>
  </w:abstractNum>
  <w:abstractNum w:abstractNumId="62">
    <w:multiLevelType w:val="singleLevel"/>
    <w:name w:val="Bullet 63"/>
    <w:lvl w:ilvl="0">
      <w:start w:val="1"/>
      <w:numFmt w:val="decimal"/>
      <w:pStyle w:val="para30"/>
      <w:suff w:val="tab"/>
      <w:lvlText w:val="%1."/>
      <w:lvlJc w:val="left"/>
      <w:pPr>
        <w:ind w:left="0" w:hanging="0"/>
      </w:pPr>
    </w:lvl>
    <w:tmUseOutlineLevel val="0"/>
  </w:abstractNum>
  <w:abstractNum w:abstractNumId="63">
    <w:multiLevelType w:val="singleLevel"/>
    <w:name w:val="Bullet 63_1"/>
    <w:lvl w:ilvl="0">
      <w:start w:val="1"/>
      <w:numFmt w:val="decimal"/>
      <w:pStyle w:val="para29"/>
      <w:suff w:val="tab"/>
      <w:lvlText w:val="%1."/>
      <w:lvlJc w:val="left"/>
      <w:pPr>
        <w:ind w:left="0" w:hanging="0"/>
      </w:pPr>
    </w:lvl>
    <w:tmUseOutlineLevel val="0"/>
  </w:abstractNum>
  <w:abstractNum w:abstractNumId="64">
    <w:multiLevelType w:val="singleLevel"/>
    <w:name w:val="Bullet 64"/>
    <w:lvl w:ilvl="0">
      <w:start w:val="1"/>
      <w:numFmt w:val="decimal"/>
      <w:suff w:val="tab"/>
      <w:lvlText w:val="%1."/>
      <w:lvlJc w:val="left"/>
      <w:pPr>
        <w:ind w:left="0" w:hanging="0"/>
      </w:pPr>
    </w:lvl>
    <w:tmUseOutlineLevel val="0"/>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4"/>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8"/>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14"/>
    <w:tmLastPosCaret>
      <w:tmLastPosPgfIdx w:val="0"/>
      <w:tmLastPosIdx w:val="23"/>
    </w:tmLastPosCaret>
    <w:tmLastPosAnchor>
      <w:tmLastPosPgfIdx w:val="0"/>
      <w:tmLastPosIdx w:val="0"/>
    </w:tmLastPosAnchor>
    <w:tmLastPosTblRect w:left="0" w:top="0" w:right="0" w:bottom="0"/>
  </w:tmLastPos>
  <w:tmAppRevision w:date="1793263015" w:val="1504" w:fileVer="343"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after="100" w:line="264" w:lineRule="auto"/>
      <w:jc w:val="left"/>
    </w:pPr>
    <w:rPr>
      <w:rFonts w:eastAsia="Times New Roman" w:cs="Tahoma"/>
      <w:color w:val="000000"/>
      <w:sz w:val="22"/>
      <w:szCs w:val="22"/>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68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after="100" w:line="264" w:lineRule="auto"/>
      <w:jc w:val="left"/>
    </w:pPr>
    <w:rPr>
      <w:rFonts w:eastAsia="Times New Roman" w:cs="Tahoma"/>
      <w:color w:val="000000"/>
      <w:sz w:val="22"/>
      <w:szCs w:val="22"/>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68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228</cp:revision>
  <dcterms:created xsi:type="dcterms:W3CDTF">2026-10-29T08:11:23Z</dcterms:created>
  <dcterms:modified xsi:type="dcterms:W3CDTF">2026-10-29T08:36:55Z</dcterms:modified>
</cp:coreProperties>
</file>