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anchor distT="0" distB="0" distL="114300" distR="114300" simplePos="0" relativeHeight="251658241" behindDoc="0" locked="0" layoutInCell="0" hidden="0" allowOverlap="1">
            <wp:simplePos x="0" y="0"/>
            <wp:positionH relativeFrom="column">
              <wp:posOffset>4509770</wp:posOffset>
            </wp:positionH>
            <wp:positionV relativeFrom="paragraph">
              <wp:posOffset>-182245</wp:posOffset>
            </wp:positionV>
            <wp:extent cx="1068705" cy="1065530"/>
            <wp:effectExtent l="0" t="0" r="0" b="0"/>
            <wp:wrapNone/>
            <wp:docPr id="1" name="Grafik301" descr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301" descr="Grafik 4"/>
                    <pic:cNvPicPr>
                      <a:picLocks noChangeAspect="1"/>
                    </pic:cNvPicPr>
                  </pic:nvPicPr>
                  <pic:blipFill>
                    <a:blip r:embed="rId8">
                      <a:colorize val="10" sat="100" blend="0">
                        <a:clrTo>
                          <a:srgbClr val="7F7F7F"/>
                        </a:clrTo>
                      </a:coloriz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705" cy="10655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hidden="0" allowOverlap="1">
                <wp:simplePos x="0" y="0"/>
                <wp:positionH relativeFrom="page">
                  <wp:posOffset>5472430</wp:posOffset>
                </wp:positionH>
                <wp:positionV relativeFrom="page">
                  <wp:posOffset>720090</wp:posOffset>
                </wp:positionV>
                <wp:extent cx="1188085" cy="1188085"/>
                <wp:effectExtent l="0" t="0" r="0" b="0"/>
                <wp:wrapNone/>
                <wp:docPr id="2" name="Rechteck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/>
                      </wps:cNvSpPr>
                      <wps:spPr>
                        <a:xfrm>
                          <a:off x="0" y="0"/>
                          <a:ext cx="1188085" cy="1188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2" o:spid="_x0000_s1026" style="position:absolute;margin-left:430.90pt;margin-top:56.70pt;mso-position-horizontal-relative:page;mso-position-vertical-relative:page;width:93.55pt;height:93.55pt;z-index:251658242;mso-wrap-distance-left:9.00pt;mso-wrap-distance-top:0.00pt;mso-wrap-distance-right:9.00pt;mso-wrap-distance-bottom:0.00pt;mso-wrap-style:square" stroked="f" fillcolor="#ffffff">
                <v:fill color2="#000000" type="solid" angle="90"/>
                <w10:wrap type="none" anchorx="page" anchory="pag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3" behindDoc="1" locked="0" layoutInCell="0" hidden="0" allowOverlap="1">
            <wp:simplePos x="0" y="0"/>
            <wp:positionH relativeFrom="page">
              <wp:posOffset>1079500</wp:posOffset>
            </wp:positionH>
            <wp:positionV relativeFrom="page">
              <wp:posOffset>718185</wp:posOffset>
            </wp:positionV>
            <wp:extent cx="5575300" cy="5587365"/>
            <wp:effectExtent l="0" t="0" r="0" b="0"/>
            <wp:wrapNone/>
            <wp:docPr id="3" name="Grafik302" descr="Bild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302" descr="Bild 7"/>
                    <pic:cNvPicPr>
                      <a:picLocks noChangeAspect="1"/>
                    </pic:cNvPicPr>
                  </pic:nvPicPr>
                  <pic:blipFill>
                    <a:blip r:embed="rId9">
                      <a:duotone>
                        <a:srgbClr val="000000"/>
                        <a:srgbClr val="CED9D8">
                          <a:tint val="40000"/>
                          <a:satMod val="400000"/>
                        </a:srgbClr>
                      </a:duotone>
                      <a:colorize val="10" sat="100" blend="100">
                        <a:clrTo>
                          <a:srgbClr val="CED9D8"/>
                        </a:clrTo>
                      </a:coloriz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5300" cy="558736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bookmarkStart w:id="0" w:name="_Toc367795324"/>
      <w:r/>
      <w:bookmarkEnd w:id="0"/>
      <w:r/>
    </w:p>
    <w:p>
      <w:r/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after="160" w:line="360" w:lineRule="auto"/>
        <w:jc w:val="left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ahoma" w:hAnsi="Tahoma" w:eastAsia="Tahoma" w:cs="Tahoma"/>
          <w:kern w:val="1"/>
          <w:sz w:val="32"/>
          <w:szCs w:val="32"/>
          <w:u w:color="auto" w:val="none"/>
        </w:rPr>
      </w:pPr>
      <w:r>
        <w:rPr>
          <w:rFonts w:ascii="Tahoma" w:hAnsi="Tahoma" w:eastAsia="Tahoma" w:cs="Tahoma"/>
          <w:kern w:val="1"/>
          <w:sz w:val="32"/>
          <w:szCs w:val="32"/>
          <w:u w:color="auto" w:val="none"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tabs defTabSz="708">
          <w:tab w:val="left" w:pos="3742" w:leader="none"/>
        </w:tabs>
        <w:rPr>
          <w:b/>
          <w:color w:val="007F7F"/>
        </w:rPr>
      </w:pPr>
      <w:r>
        <w:rPr>
          <w:b/>
          <w:color w:val="007F7F"/>
        </w:rPr>
      </w:r>
    </w:p>
    <w:p>
      <w:pPr>
        <w:spacing w:line="276" w:lineRule="auto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0" hidden="0" allowOverlap="1">
                <wp:simplePos x="0" y="0"/>
                <wp:positionH relativeFrom="column">
                  <wp:posOffset>-459105</wp:posOffset>
                </wp:positionH>
                <wp:positionV relativeFrom="paragraph">
                  <wp:posOffset>882015</wp:posOffset>
                </wp:positionV>
                <wp:extent cx="6033770" cy="1911350"/>
                <wp:effectExtent l="0" t="0" r="0" b="0"/>
                <wp:wrapNone/>
                <wp:docPr id="4" name="Rechteck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/>
                      </wps:cNvSpPr>
                      <wps:spPr>
                        <a:xfrm>
                          <a:off x="0" y="0"/>
                          <a:ext cx="6033770" cy="1911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34"/>
                            </w:pPr>
                            <w:r/>
                          </w:p>
                          <w:p>
                            <w:pPr>
                              <w:pStyle w:val="para34"/>
                            </w:pPr>
                            <w:r>
                              <w:t>Psychologische</w:t>
                              <w:br w:type="textWrapping"/>
                              <w:t xml:space="preserve"> Handlungskompetenz</w:t>
                            </w:r>
                          </w:p>
                          <w:p>
                            <w:pPr>
                              <w:spacing w:after="100" w:line="312" w:lineRule="auto"/>
                              <w:jc w:val="right"/>
                              <w:rPr>
                                <w:rFonts w:ascii="Arial" w:hAnsi="Arial" w:eastAsia="Arial" w:cs="Arial"/>
                                <w:b/>
                                <w:color w:val="717D87"/>
                                <w:sz w:val="24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color w:val="717D87"/>
                                <w:sz w:val="24"/>
                                <w:szCs w:val="22"/>
                              </w:rPr>
                              <w:t>Dr. Gerhard H. Peise</w:t>
                            </w:r>
                          </w:p>
                          <w:p>
                            <w:pPr>
                              <w:spacing w:after="100" w:line="312" w:lineRule="auto"/>
                              <w:jc w:val="right"/>
                              <w:rPr>
                                <w:rFonts w:ascii="Arial" w:hAnsi="Arial" w:eastAsia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z w:val="22"/>
                                <w:szCs w:val="22"/>
                              </w:rPr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1" o:spid="_x0000_s1027" style="position:absolute;margin-left:-36.15pt;margin-top:69.45pt;width:475.10pt;height:150.50pt;z-index:251658244;mso-wrap-distance-left:9.00pt;mso-wrap-distance-top:0.00pt;mso-wrap-distance-right:9.00pt;mso-wrap-distance-bottom:0.00pt;mso-wrap-style:square" stroked="f" filled="f" o:insetmode="custom">
                <w10:wrap type="none" anchorx="text" anchory="text"/>
                <v:textbox inset="7.2pt,3.6pt,7.2pt,3.6pt">
                  <w:txbxContent>
                    <w:p>
                      <w:pPr>
                        <w:pStyle w:val="para34"/>
                      </w:pPr>
                      <w:r/>
                    </w:p>
                    <w:p>
                      <w:pPr>
                        <w:pStyle w:val="para34"/>
                      </w:pPr>
                      <w:r>
                        <w:t>Psychologische</w:t>
                        <w:br w:type="textWrapping"/>
                        <w:t xml:space="preserve"> Handlungskompetenz</w:t>
                      </w:r>
                    </w:p>
                    <w:p>
                      <w:pPr>
                        <w:spacing w:after="100" w:line="312" w:lineRule="auto"/>
                        <w:jc w:val="right"/>
                        <w:rPr>
                          <w:rFonts w:ascii="Arial" w:hAnsi="Arial" w:eastAsia="Arial" w:cs="Arial"/>
                          <w:b/>
                          <w:color w:val="717D87"/>
                          <w:sz w:val="24"/>
                          <w:szCs w:val="22"/>
                        </w:rPr>
                      </w:pPr>
                      <w:r>
                        <w:rPr>
                          <w:rFonts w:ascii="Arial" w:hAnsi="Arial" w:eastAsia="Arial" w:cs="Arial"/>
                          <w:b/>
                          <w:color w:val="717D87"/>
                          <w:sz w:val="24"/>
                          <w:szCs w:val="22"/>
                        </w:rPr>
                        <w:t>Dr. Gerhard H. Peise</w:t>
                      </w:r>
                    </w:p>
                    <w:p>
                      <w:pPr>
                        <w:spacing w:after="100" w:line="312" w:lineRule="auto"/>
                        <w:jc w:val="right"/>
                        <w:rPr>
                          <w:rFonts w:ascii="Arial" w:hAnsi="Arial" w:eastAsia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eastAsia="Arial" w:cs="Arial"/>
                          <w:sz w:val="22"/>
                          <w:szCs w:val="22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headerReference w:type="default" r:id="rId10"/>
          <w:footerReference w:type="default" r:id="rId11"/>
          <w:headerReference w:type="even" r:id="rId12"/>
          <w:footerReference w:type="even" r:id="rId13"/>
          <w:type w:val="continuous"/>
          <w:pgSz w:h="16840" w:w="11900"/>
          <w:pgMar w:left="1417" w:top="1417" w:right="1417" w:bottom="1134" w:header="709" w:footer="708"/>
          <w:paperSrc w:first="0" w:other="0" a="0" b="0"/>
          <w:pgNumType w:fmt="decimal"/>
          <w:tmGutter w:val="3"/>
          <w:mirrorMargins w:val="0"/>
          <w:tmSection w:h="-1">
            <w:tmHeader w:id="0" w:h="0" edge="709" text="0">
              <w:shd w:val="none"/>
            </w:tmHeader>
            <w:tmFooter w:id="0" w:h="0" edge="708" text="0">
              <w:shd w:val="none"/>
            </w:tmFooter>
            <w:tmHeader w:id="1" w:h="0" edge="709" text="0">
              <w:shd w:val="none"/>
            </w:tmHeader>
            <w:tmFooter w:id="1" w:h="0" edge="708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spacing w:line="276" w:lineRule="auto"/>
        <w:jc w:val="left"/>
      </w:pPr>
      <w:r>
        <w:br w:type="page"/>
      </w:r>
      <w:r>
        <w:rPr>
          <w:b/>
          <w:bCs/>
          <w:color w:val="00998A"/>
          <w:sz w:val="32"/>
          <w:szCs w:val="28"/>
        </w:rPr>
        <w:t>Inhaltsverzeichnis</w:t>
      </w:r>
      <w:r/>
    </w:p>
    <w:p>
      <w:pPr>
        <w:pStyle w:val="para19"/>
      </w:pPr>
      <w:r>
        <w:fldChar w:fldCharType="begin"/>
      </w:r>
      <w:r>
        <w:instrText xml:space="preserve"> TOC \o "1 - 1" \z </w:instrText>
      </w:r>
      <w:r>
        <w:fldChar w:fldCharType="separate"/>
      </w:r>
      <w:hyperlink w:anchor="_TOC000828" w:history="1">
        <w:r>
          <w:t>1</w:t>
          <w:tab/>
          <w:t xml:space="preserve"> Psychologische Handlungskompetenz - eine Übersicht</w:t>
          <w:tab/>
          <w:t>1</w:t>
        </w:r>
      </w:hyperlink>
    </w:p>
    <w:p>
      <w:pPr>
        <w:pStyle w:val="para20"/>
        <w:rPr>
          <w:color w:val="auto"/>
        </w:rPr>
      </w:pPr>
      <w:hyperlink w:anchor="_TOC000232" w:history="1">
        <w:r>
          <w:rPr>
            <w:color w:val="auto"/>
          </w:rPr>
          <w:t>1.1</w:t>
          <w:tab/>
          <w:t xml:space="preserve"> Organisatorisches</w:t>
          <w:tab/>
          <w:t>1</w:t>
        </w:r>
      </w:hyperlink>
    </w:p>
    <w:p>
      <w:pPr>
        <w:pStyle w:val="para20"/>
      </w:pPr>
      <w:hyperlink w:anchor="_TOC000657" w:history="1">
        <w:r>
          <w:t>1.2</w:t>
          <w:tab/>
          <w:t xml:space="preserve"> Wie hat man den größten Lerneffekt?</w:t>
          <w:tab/>
          <w:t>2</w:t>
        </w:r>
      </w:hyperlink>
    </w:p>
    <w:p>
      <w:pPr>
        <w:pStyle w:val="para21"/>
      </w:pPr>
      <w:hyperlink w:anchor="_TOC001011" w:history="1">
        <w:r>
          <w:t>1.2.1</w:t>
          <w:tab/>
          <w:t xml:space="preserve"> Mitteilung des Rektorats vom 01.04.2026</w:t>
          <w:tab/>
          <w:t>2</w:t>
        </w:r>
      </w:hyperlink>
    </w:p>
    <w:p>
      <w:pPr>
        <w:pStyle w:val="para20"/>
        <w:rPr>
          <w:color w:val="auto"/>
        </w:rPr>
      </w:pPr>
      <w:hyperlink w:anchor="_TOC000234" w:history="1">
        <w:r>
          <w:rPr>
            <w:color w:val="auto"/>
          </w:rPr>
          <w:t>1.3</w:t>
          <w:tab/>
          <w:t xml:space="preserve"> Prüfungsablauf</w:t>
          <w:tab/>
          <w:t>3</w:t>
        </w:r>
      </w:hyperlink>
    </w:p>
    <w:p>
      <w:pPr>
        <w:pStyle w:val="para20"/>
        <w:rPr>
          <w:color w:val="auto"/>
        </w:rPr>
      </w:pPr>
      <w:hyperlink w:anchor="_TOC000235" w:history="1">
        <w:r>
          <w:rPr>
            <w:color w:val="auto"/>
          </w:rPr>
          <w:t>1.4</w:t>
          <w:tab/>
          <w:t xml:space="preserve"> Literatur</w:t>
          <w:tab/>
          <w:t>3</w:t>
        </w:r>
      </w:hyperlink>
    </w:p>
    <w:p>
      <w:pPr>
        <w:pStyle w:val="para19"/>
      </w:pPr>
      <w:hyperlink w:anchor="_TOC000391" w:history="1">
        <w:r>
          <w:t>2</w:t>
          <w:tab/>
          <w:t xml:space="preserve"> Grundlagen menschlicher Kommunikation</w:t>
          <w:tab/>
          <w:t>4</w:t>
        </w:r>
      </w:hyperlink>
    </w:p>
    <w:p>
      <w:pPr>
        <w:pStyle w:val="para20"/>
      </w:pPr>
      <w:hyperlink w:anchor="_TOC000009" w:history="1">
        <w:r>
          <w:t>2.1</w:t>
          <w:tab/>
          <w:t xml:space="preserve"> Kennzeichen von Kommunikation</w:t>
          <w:tab/>
          <w:t>4</w:t>
        </w:r>
      </w:hyperlink>
    </w:p>
    <w:p>
      <w:pPr>
        <w:pStyle w:val="para20"/>
      </w:pPr>
      <w:hyperlink w:anchor="_TOC000501" w:history="1">
        <w:r>
          <w:t>2.2</w:t>
          <w:tab/>
          <w:t xml:space="preserve"> Das Sender-Empfänger Modell (Shannon- &amp; Weaver)</w:t>
          <w:tab/>
          <w:t>4</w:t>
        </w:r>
      </w:hyperlink>
    </w:p>
    <w:p>
      <w:pPr>
        <w:pStyle w:val="para20"/>
      </w:pPr>
      <w:hyperlink w:anchor="_TOC000189" w:history="1">
        <w:r>
          <w:t>2.3</w:t>
          <w:tab/>
          <w:t xml:space="preserve"> </w:t>
        </w:r>
        <w:r>
          <w:rPr>
            <w:kern w:val="1"/>
          </w:rPr>
          <w:t>Wahrnehmung und Wirklichkeit: Das Konzept der inneren Landkarte</w:t>
        </w:r>
        <w:r>
          <w:tab/>
          <w:t>6</w:t>
        </w:r>
      </w:hyperlink>
    </w:p>
    <w:p>
      <w:pPr>
        <w:pStyle w:val="para20"/>
      </w:pPr>
      <w:hyperlink w:anchor="_TOC000633" w:history="1">
        <w:r>
          <w:t>2.4</w:t>
          <w:tab/>
          <w:t xml:space="preserve"> Das Kommunikationsquadrat</w:t>
          <w:tab/>
          <w:t>7</w:t>
        </w:r>
      </w:hyperlink>
    </w:p>
    <w:p>
      <w:pPr>
        <w:pStyle w:val="para21"/>
      </w:pPr>
      <w:hyperlink w:anchor="_TOC000013" w:history="1">
        <w:r>
          <w:t>2.4.1</w:t>
          <w:tab/>
          <w:t xml:space="preserve"> Die vier Ebenen der Kommunikation</w:t>
          <w:tab/>
          <w:t>7</w:t>
        </w:r>
      </w:hyperlink>
    </w:p>
    <w:p>
      <w:pPr>
        <w:pStyle w:val="para21"/>
      </w:pPr>
      <w:hyperlink w:anchor="_TOC000014" w:history="1">
        <w:r>
          <w:t>2.4.2</w:t>
          <w:tab/>
          <w:t xml:space="preserve"> Arbeitsblatt “Vier Seiten einer Nachricht”</w:t>
          <w:tab/>
          <w:t>10</w:t>
        </w:r>
      </w:hyperlink>
    </w:p>
    <w:p>
      <w:pPr>
        <w:pStyle w:val="para20"/>
      </w:pPr>
      <w:hyperlink w:anchor="_TOC000790" w:history="1">
        <w:r>
          <w:t>2.5</w:t>
          <w:tab/>
          <w:t xml:space="preserve"> Fünf Axiome der Kommunikation nach Paul Watzlawick</w:t>
          <w:tab/>
          <w:t>11</w:t>
        </w:r>
      </w:hyperlink>
    </w:p>
    <w:p>
      <w:pPr>
        <w:pStyle w:val="para19"/>
      </w:pPr>
      <w:hyperlink w:anchor="_TOC000192" w:history="1">
        <w:r>
          <w:t>3</w:t>
          <w:tab/>
          <w:t xml:space="preserve"> Grundlagen der Gesprächsführung</w:t>
          <w:tab/>
          <w:t>12</w:t>
        </w:r>
      </w:hyperlink>
    </w:p>
    <w:p>
      <w:pPr>
        <w:pStyle w:val="para20"/>
      </w:pPr>
      <w:hyperlink w:anchor="_TOC000015" w:history="1">
        <w:r>
          <w:t>3.1</w:t>
          <w:tab/>
          <w:t xml:space="preserve"> Körpersprachliche Signale - nonverbale Kommunikation</w:t>
          <w:tab/>
          <w:t>13</w:t>
        </w:r>
      </w:hyperlink>
    </w:p>
    <w:p>
      <w:pPr>
        <w:pStyle w:val="para21"/>
      </w:pPr>
      <w:hyperlink w:anchor="_TOC000632" w:history="1">
        <w:r>
          <w:t>3.1.1</w:t>
          <w:tab/>
          <w:t xml:space="preserve"> Physiologische Zustände beobachten</w:t>
          <w:tab/>
          <w:t>14</w:t>
        </w:r>
      </w:hyperlink>
    </w:p>
    <w:p>
      <w:pPr>
        <w:pStyle w:val="para22"/>
        <w:rPr>
          <w:kern w:val="1"/>
        </w:rPr>
      </w:pPr>
      <w:hyperlink w:anchor="_TOC000236" w:history="1">
        <w:r>
          <w:rPr>
            <w:kern w:val="1"/>
          </w:rPr>
          <w:t>3.1.1.1</w:t>
          <w:tab/>
          <w:t xml:space="preserve"> Physiologische Zustände</w:t>
          <w:tab/>
          <w:t>14</w:t>
        </w:r>
      </w:hyperlink>
    </w:p>
    <w:p>
      <w:pPr>
        <w:pStyle w:val="para22"/>
        <w:rPr>
          <w:kern w:val="1"/>
        </w:rPr>
      </w:pPr>
      <w:hyperlink w:anchor="_TOC000283" w:history="1">
        <w:r>
          <w:rPr>
            <w:kern w:val="1"/>
          </w:rPr>
          <w:t>3.1.1.2</w:t>
          <w:tab/>
          <w:t xml:space="preserve"> Genaues Beobachten</w:t>
          <w:tab/>
          <w:t>15</w:t>
        </w:r>
      </w:hyperlink>
    </w:p>
    <w:p>
      <w:pPr>
        <w:pStyle w:val="para22"/>
        <w:rPr>
          <w:kern w:val="1"/>
        </w:rPr>
      </w:pPr>
      <w:hyperlink w:anchor="_TOC000284" w:history="1">
        <w:r>
          <w:rPr>
            <w:kern w:val="1"/>
          </w:rPr>
          <w:t>3.1.1.3</w:t>
          <w:tab/>
          <w:t xml:space="preserve"> Beziehungsarbeit und Vertrauensaufbau durch Körpersprache</w:t>
          <w:tab/>
          <w:t>17</w:t>
        </w:r>
      </w:hyperlink>
    </w:p>
    <w:p>
      <w:pPr>
        <w:pStyle w:val="para22"/>
        <w:rPr>
          <w:kern w:val="1"/>
        </w:rPr>
      </w:pPr>
      <w:hyperlink w:anchor="_TOC000285" w:history="1">
        <w:r>
          <w:rPr>
            <w:kern w:val="1"/>
          </w:rPr>
          <w:t>3.1.1.4</w:t>
          <w:tab/>
          <w:t xml:space="preserve"> Nonverbaler Kontakt</w:t>
          <w:tab/>
          <w:t>18</w:t>
        </w:r>
      </w:hyperlink>
    </w:p>
    <w:p>
      <w:pPr>
        <w:pStyle w:val="para20"/>
        <w:rPr>
          <w:kern w:val="1"/>
        </w:rPr>
      </w:pPr>
      <w:hyperlink w:anchor="_TOC000286" w:history="1">
        <w:r>
          <w:rPr>
            <w:kern w:val="1"/>
          </w:rPr>
          <w:t>3.2</w:t>
          <w:tab/>
          <w:t xml:space="preserve"> Negative Aussagen und positive Kommunikation</w:t>
          <w:tab/>
          <w:t>19</w:t>
        </w:r>
      </w:hyperlink>
    </w:p>
    <w:p>
      <w:pPr>
        <w:pStyle w:val="para21"/>
      </w:pPr>
      <w:hyperlink w:anchor="_TOC000387" w:history="1">
        <w:r>
          <w:t>3.2.1</w:t>
          <w:tab/>
          <w:t xml:space="preserve"> Durch innere Haltung zur positiven Kommunikation</w:t>
          <w:tab/>
          <w:t>19</w:t>
        </w:r>
      </w:hyperlink>
    </w:p>
    <w:p>
      <w:pPr>
        <w:pStyle w:val="para21"/>
      </w:pPr>
      <w:hyperlink w:anchor="_TOC000227" w:history="1">
        <w:r>
          <w:t>3.2.2</w:t>
          <w:tab/>
          <w:t xml:space="preserve"> Negativworte vermeiden</w:t>
          <w:tab/>
          <w:t>20</w:t>
        </w:r>
      </w:hyperlink>
    </w:p>
    <w:p>
      <w:pPr>
        <w:pStyle w:val="para21"/>
      </w:pPr>
      <w:hyperlink w:anchor="_TOC000583" w:history="1">
        <w:r>
          <w:t>3.2.3</w:t>
          <w:tab/>
          <w:t xml:space="preserve"> Übung: Positive Ausdrucksweise</w:t>
          <w:tab/>
          <w:t>20</w:t>
        </w:r>
      </w:hyperlink>
    </w:p>
    <w:p>
      <w:pPr>
        <w:pStyle w:val="para21"/>
      </w:pPr>
      <w:hyperlink w:anchor="_TOC000895" w:history="1">
        <w:r>
          <w:t>3.2.4</w:t>
          <w:tab/>
          <w:t xml:space="preserve"> Das Wort „Müssen“</w:t>
          <w:tab/>
          <w:t>21</w:t>
        </w:r>
      </w:hyperlink>
    </w:p>
    <w:p>
      <w:pPr>
        <w:pStyle w:val="para20"/>
      </w:pPr>
      <w:hyperlink w:anchor="_TOC000586" w:history="1">
        <w:r>
          <w:t>3.3</w:t>
          <w:tab/>
          <w:t xml:space="preserve"> Unbewusste Interpretation</w:t>
          <w:tab/>
          <w:t>22</w:t>
        </w:r>
      </w:hyperlink>
    </w:p>
    <w:p>
      <w:pPr>
        <w:pStyle w:val="para20"/>
      </w:pPr>
      <w:hyperlink w:anchor="_TOC000022" w:history="1">
        <w:r>
          <w:t>3.4</w:t>
          <w:tab/>
          <w:t xml:space="preserve"> Fragetechniken</w:t>
          <w:tab/>
          <w:t>25</w:t>
        </w:r>
      </w:hyperlink>
    </w:p>
    <w:p>
      <w:pPr>
        <w:pStyle w:val="para21"/>
      </w:pPr>
      <w:hyperlink w:anchor="_TOC000194" w:history="1">
        <w:r>
          <w:t>3.4.1</w:t>
          <w:tab/>
          <w:t xml:space="preserve"> Offene und geschlossene Fragen</w:t>
          <w:tab/>
          <w:t>25</w:t>
        </w:r>
      </w:hyperlink>
    </w:p>
    <w:p>
      <w:pPr>
        <w:pStyle w:val="para22"/>
      </w:pPr>
      <w:hyperlink w:anchor="_TOC000878" w:history="1">
        <w:r>
          <w:t>3.4.1.1</w:t>
          <w:tab/>
          <w:t xml:space="preserve"> Geschlossene Fragen</w:t>
          <w:tab/>
          <w:t>26</w:t>
        </w:r>
      </w:hyperlink>
    </w:p>
    <w:p>
      <w:pPr>
        <w:pStyle w:val="para22"/>
      </w:pPr>
      <w:hyperlink w:anchor="_TOC000879" w:history="1">
        <w:r>
          <w:t>3.4.1.2</w:t>
          <w:tab/>
          <w:t xml:space="preserve"> Offene Fragen</w:t>
          <w:tab/>
          <w:t>26</w:t>
        </w:r>
      </w:hyperlink>
    </w:p>
    <w:p>
      <w:pPr>
        <w:pStyle w:val="para21"/>
      </w:pPr>
      <w:hyperlink w:anchor="_TOC000197" w:history="1">
        <w:r>
          <w:t>3.4.2</w:t>
          <w:tab/>
          <w:t xml:space="preserve"> Die Gefahr des 'Warum?'</w:t>
          <w:tab/>
          <w:t>27</w:t>
        </w:r>
      </w:hyperlink>
    </w:p>
    <w:p>
      <w:pPr>
        <w:pStyle w:val="para22"/>
      </w:pPr>
      <w:hyperlink w:anchor="_TOC000880" w:history="1">
        <w:r>
          <w:t>3.4.2.1</w:t>
          <w:tab/>
          <w:t xml:space="preserve"> Alternativen zur 'Warum-Frage'</w:t>
          <w:tab/>
          <w:t>27</w:t>
        </w:r>
      </w:hyperlink>
    </w:p>
    <w:p>
      <w:pPr>
        <w:pStyle w:val="para22"/>
      </w:pPr>
      <w:hyperlink w:anchor="_TOC000881" w:history="1">
        <w:r>
          <w:t>3.4.2.2</w:t>
          <w:tab/>
          <w:t xml:space="preserve"> Offensiv bleiben bei Warum-Fragen</w:t>
          <w:tab/>
          <w:t>28</w:t>
        </w:r>
      </w:hyperlink>
    </w:p>
    <w:p>
      <w:pPr>
        <w:pStyle w:val="para21"/>
      </w:pPr>
      <w:hyperlink w:anchor="_TOC000400" w:history="1">
        <w:r>
          <w:t>3.4.3</w:t>
          <w:tab/>
          <w:t xml:space="preserve"> Dissoziierende Fragen</w:t>
          <w:tab/>
          <w:t>29</w:t>
        </w:r>
      </w:hyperlink>
    </w:p>
    <w:p>
      <w:pPr>
        <w:pStyle w:val="para21"/>
      </w:pPr>
      <w:hyperlink w:anchor="_TOC000202" w:history="1">
        <w:r>
          <w:t>3.4.4</w:t>
          <w:tab/>
          <w:t xml:space="preserve"> Systemische Fragen</w:t>
          <w:tab/>
          <w:t>29</w:t>
        </w:r>
      </w:hyperlink>
    </w:p>
    <w:p>
      <w:pPr>
        <w:pStyle w:val="para22"/>
      </w:pPr>
      <w:hyperlink w:anchor="_TOC000028" w:history="1">
        <w:r>
          <w:t>3.4.4.1</w:t>
          <w:tab/>
          <w:t xml:space="preserve"> Zirkuläre Fragen</w:t>
          <w:tab/>
          <w:t>30</w:t>
        </w:r>
      </w:hyperlink>
    </w:p>
    <w:p>
      <w:pPr>
        <w:pStyle w:val="para22"/>
      </w:pPr>
      <w:hyperlink w:anchor="_TOC000203" w:history="1">
        <w:r>
          <w:t>3.4.4.2</w:t>
          <w:tab/>
          <w:t xml:space="preserve"> Triadische Fragen</w:t>
          <w:tab/>
          <w:t>30</w:t>
        </w:r>
      </w:hyperlink>
    </w:p>
    <w:p>
      <w:pPr>
        <w:pStyle w:val="para22"/>
      </w:pPr>
      <w:hyperlink w:anchor="_TOC000204" w:history="1">
        <w:r>
          <w:t>3.4.4.3</w:t>
          <w:tab/>
          <w:t xml:space="preserve"> Vorteile des zirkulären bzw. triadischen Fragens</w:t>
          <w:tab/>
          <w:t>30</w:t>
        </w:r>
      </w:hyperlink>
    </w:p>
    <w:p>
      <w:pPr>
        <w:pStyle w:val="para22"/>
      </w:pPr>
      <w:hyperlink w:anchor="_TOC000205" w:history="1">
        <w:r>
          <w:t>3.4.4.4</w:t>
          <w:tab/>
          <w:t xml:space="preserve"> Gefahren des zirkulären Fragens</w:t>
          <w:tab/>
          <w:t>31</w:t>
        </w:r>
      </w:hyperlink>
    </w:p>
    <w:p>
      <w:pPr>
        <w:pStyle w:val="para22"/>
      </w:pPr>
      <w:hyperlink w:anchor="_TOC001009" w:history="1">
        <w:r>
          <w:t>3.4.4.5</w:t>
          <w:tab/>
          <w:t xml:space="preserve"> Fragen nach Zielzuständen</w:t>
          <w:tab/>
          <w:t>32</w:t>
        </w:r>
      </w:hyperlink>
    </w:p>
    <w:p>
      <w:pPr>
        <w:pStyle w:val="para22"/>
      </w:pPr>
      <w:hyperlink w:anchor="_TOC000207" w:history="1">
        <w:r>
          <w:t>3.4.4.6</w:t>
          <w:tab/>
          <w:t xml:space="preserve"> Ressourcenorientierte Fragen</w:t>
          <w:tab/>
          <w:t>32</w:t>
        </w:r>
      </w:hyperlink>
    </w:p>
    <w:p>
      <w:pPr>
        <w:pStyle w:val="para22"/>
      </w:pPr>
      <w:hyperlink w:anchor="_TOC000208" w:history="1">
        <w:r>
          <w:t>3.4.4.7</w:t>
          <w:tab/>
          <w:t xml:space="preserve"> Hypothetische Fragen</w:t>
          <w:tab/>
          <w:t>32</w:t>
        </w:r>
      </w:hyperlink>
    </w:p>
    <w:p>
      <w:pPr>
        <w:pStyle w:val="para22"/>
      </w:pPr>
      <w:hyperlink w:anchor="_TOC000209" w:history="1">
        <w:r>
          <w:t>3.4.4.8</w:t>
          <w:tab/>
          <w:t xml:space="preserve"> Verflüssigende Fragen</w:t>
          <w:tab/>
          <w:t>32</w:t>
        </w:r>
      </w:hyperlink>
    </w:p>
    <w:p>
      <w:pPr>
        <w:pStyle w:val="para22"/>
      </w:pPr>
      <w:hyperlink w:anchor="_TOC000210" w:history="1">
        <w:r>
          <w:t>3.4.4.9</w:t>
          <w:tab/>
          <w:t xml:space="preserve"> Das Bilden von Rangreihen</w:t>
          <w:tab/>
          <w:t>32</w:t>
        </w:r>
      </w:hyperlink>
    </w:p>
    <w:p>
      <w:pPr>
        <w:pStyle w:val="para22"/>
      </w:pPr>
      <w:hyperlink w:anchor="_TOC000211" w:history="1">
        <w:r>
          <w:t>3.4.4.10</w:t>
          <w:tab/>
          <w:t xml:space="preserve"> Fragen, die ungewohntes Antwortverhalten erzeugen</w:t>
          <w:tab/>
          <w:t>32</w:t>
        </w:r>
      </w:hyperlink>
    </w:p>
    <w:p>
      <w:pPr>
        <w:pStyle w:val="para21"/>
      </w:pPr>
      <w:hyperlink w:anchor="_TOC000212" w:history="1">
        <w:r>
          <w:t>3.4.5</w:t>
          <w:tab/>
          <w:t xml:space="preserve"> Skalierungsfragen</w:t>
          <w:tab/>
          <w:t>33</w:t>
        </w:r>
      </w:hyperlink>
    </w:p>
    <w:p>
      <w:pPr>
        <w:pStyle w:val="para21"/>
      </w:pPr>
      <w:hyperlink w:anchor="_TOC000370" w:history="1">
        <w:r>
          <w:t>3.4.6</w:t>
          <w:tab/>
          <w:t xml:space="preserve"> Zusammenfassung 'Fragen'</w:t>
          <w:tab/>
          <w:t>34</w:t>
        </w:r>
      </w:hyperlink>
    </w:p>
    <w:p>
      <w:pPr>
        <w:pStyle w:val="para20"/>
      </w:pPr>
      <w:hyperlink w:anchor="_TOC000031" w:history="1">
        <w:r>
          <w:t>3.5</w:t>
          <w:tab/>
          <w:t xml:space="preserve"> Paraphrasieren und aktives Zuhören</w:t>
          <w:tab/>
          <w:t>35</w:t>
        </w:r>
      </w:hyperlink>
    </w:p>
    <w:p>
      <w:pPr>
        <w:pStyle w:val="para21"/>
      </w:pPr>
      <w:hyperlink w:anchor="_TOC000218" w:history="1">
        <w:r>
          <w:t>3.5.1</w:t>
          <w:tab/>
          <w:t xml:space="preserve"> Der Unterschied: Paraphrasieren - aktives Zuhören</w:t>
          <w:tab/>
          <w:t>35</w:t>
        </w:r>
      </w:hyperlink>
    </w:p>
    <w:p>
      <w:pPr>
        <w:pStyle w:val="para21"/>
      </w:pPr>
      <w:hyperlink w:anchor="_TOC000219" w:history="1">
        <w:r>
          <w:t>3.5.2</w:t>
          <w:tab/>
          <w:t xml:space="preserve"> Die 3-Stufen-Technik für aktives Zuhören</w:t>
          <w:tab/>
          <w:t>36</w:t>
        </w:r>
      </w:hyperlink>
    </w:p>
    <w:p>
      <w:pPr>
        <w:pStyle w:val="para21"/>
      </w:pPr>
      <w:hyperlink w:anchor="_TOC000453" w:history="1">
        <w:r>
          <w:t>3.5.3</w:t>
          <w:tab/>
          <w:t xml:space="preserve"> Der Unterschied zwischen paraphrasieren, wiederholen und beeinflussen</w:t>
          <w:tab/>
          <w:t>37</w:t>
        </w:r>
      </w:hyperlink>
    </w:p>
    <w:p>
      <w:pPr>
        <w:pStyle w:val="para21"/>
      </w:pPr>
      <w:hyperlink w:anchor="_TOC000221" w:history="1">
        <w:r>
          <w:t>3.5.4</w:t>
          <w:tab/>
          <w:t xml:space="preserve"> Häufige Fehler des Sprechenden</w:t>
          <w:tab/>
          <w:t>39</w:t>
        </w:r>
      </w:hyperlink>
    </w:p>
    <w:p>
      <w:pPr>
        <w:pStyle w:val="para21"/>
      </w:pPr>
      <w:hyperlink w:anchor="_TOC000034" w:history="1">
        <w:r>
          <w:t>3.5.5</w:t>
          <w:tab/>
          <w:t xml:space="preserve"> Häufige Fehler des Zuhörers</w:t>
          <w:tab/>
          <w:t>39</w:t>
        </w:r>
      </w:hyperlink>
    </w:p>
    <w:p>
      <w:pPr>
        <w:pStyle w:val="para21"/>
      </w:pPr>
      <w:hyperlink w:anchor="_TOC000035" w:history="1">
        <w:r>
          <w:t>3.5.6</w:t>
          <w:tab/>
          <w:t xml:space="preserve"> 3 Tipps zum besseren Zuhören</w:t>
          <w:tab/>
          <w:t>39</w:t>
        </w:r>
      </w:hyperlink>
    </w:p>
    <w:p>
      <w:pPr>
        <w:pStyle w:val="para20"/>
      </w:pPr>
      <w:hyperlink w:anchor="_TOC000319" w:history="1">
        <w:r>
          <w:t>3.6</w:t>
          <w:tab/>
          <w:t xml:space="preserve"> Kriterien nutzen</w:t>
          <w:tab/>
          <w:t>40</w:t>
        </w:r>
      </w:hyperlink>
    </w:p>
    <w:p>
      <w:pPr>
        <w:pStyle w:val="para20"/>
      </w:pPr>
      <w:hyperlink w:anchor="_TOC000037" w:history="1">
        <w:r>
          <w:t>3.7</w:t>
          <w:tab/>
          <w:t xml:space="preserve"> Ich-Botschaften statt Du-Botschaften</w:t>
          <w:tab/>
          <w:t>41</w:t>
        </w:r>
      </w:hyperlink>
    </w:p>
    <w:p>
      <w:pPr>
        <w:pStyle w:val="para21"/>
      </w:pPr>
      <w:hyperlink w:anchor="_TOC000704" w:history="1">
        <w:r>
          <w:t>3.7.1</w:t>
          <w:tab/>
          <w:t xml:space="preserve"> Übung: Ich-Botschaften</w:t>
          <w:tab/>
          <w:t>43</w:t>
        </w:r>
      </w:hyperlink>
    </w:p>
    <w:p>
      <w:pPr>
        <w:pStyle w:val="para21"/>
      </w:pPr>
      <w:hyperlink w:anchor="_TOC002247" w:history="1">
        <w:r>
          <w:t>3.7.2</w:t>
          <w:tab/>
          <w:t xml:space="preserve"> Ich-Botschaften auf Fakten und Gefühl verkürzt</w:t>
          <w:tab/>
          <w:t>45</w:t>
        </w:r>
      </w:hyperlink>
    </w:p>
    <w:p>
      <w:pPr>
        <w:pStyle w:val="para21"/>
      </w:pPr>
      <w:hyperlink w:anchor="_TOC000728" w:history="1">
        <w:r>
          <w:t>3.7.3</w:t>
          <w:tab/>
          <w:t xml:space="preserve"> Ich-Botschaften statt Man-Botschaften:</w:t>
          <w:tab/>
          <w:t>46</w:t>
        </w:r>
      </w:hyperlink>
    </w:p>
    <w:p>
      <w:pPr>
        <w:pStyle w:val="para20"/>
      </w:pPr>
      <w:hyperlink w:anchor="_TOC000039" w:history="1">
        <w:r>
          <w:t>3.8</w:t>
          <w:tab/>
          <w:t xml:space="preserve"> Artikel: Die Wirkung von Pausen</w:t>
          <w:tab/>
          <w:t>47</w:t>
        </w:r>
      </w:hyperlink>
    </w:p>
    <w:p>
      <w:pPr>
        <w:pStyle w:val="para21"/>
      </w:pPr>
      <w:hyperlink w:anchor="_TOC000596" w:history="1">
        <w:r>
          <w:t>3.8.1</w:t>
          <w:tab/>
          <w:t xml:space="preserve"> Schweigen fühlt sich für viele unangenehm an</w:t>
          <w:tab/>
          <w:t>47</w:t>
        </w:r>
      </w:hyperlink>
    </w:p>
    <w:p>
      <w:pPr>
        <w:pStyle w:val="para21"/>
      </w:pPr>
      <w:hyperlink w:anchor="_TOC000597" w:history="1">
        <w:r>
          <w:t>3.8.2</w:t>
          <w:tab/>
          <w:t xml:space="preserve"> Steve Jobs gönnte sich Gesprächspausen</w:t>
          <w:tab/>
          <w:t>47</w:t>
        </w:r>
      </w:hyperlink>
    </w:p>
    <w:p>
      <w:pPr>
        <w:pStyle w:val="para21"/>
      </w:pPr>
      <w:hyperlink w:anchor="_TOC000405" w:history="1">
        <w:r>
          <w:t>3.8.3</w:t>
          <w:tab/>
          <w:t xml:space="preserve"> Elon Musk setzt Schweigen als Werkzeug ein</w:t>
          <w:tab/>
          <w:t>48</w:t>
        </w:r>
      </w:hyperlink>
    </w:p>
    <w:p>
      <w:pPr>
        <w:pStyle w:val="para21"/>
      </w:pPr>
      <w:hyperlink w:anchor="_TOC000599" w:history="1">
        <w:r>
          <w:t>3.8.4</w:t>
          <w:tab/>
          <w:t xml:space="preserve"> Gesprächspausen tragen zur Professionalität bei</w:t>
          <w:tab/>
          <w:t>48</w:t>
        </w:r>
      </w:hyperlink>
    </w:p>
    <w:p>
      <w:pPr>
        <w:pStyle w:val="para21"/>
      </w:pPr>
      <w:hyperlink w:anchor="_TOC000600" w:history="1">
        <w:r>
          <w:t>3.8.5</w:t>
          <w:tab/>
          <w:t xml:space="preserve"> Wer ungeübt ist, kann das Schweigen einleiten</w:t>
          <w:tab/>
          <w:t>48</w:t>
        </w:r>
      </w:hyperlink>
    </w:p>
    <w:p>
      <w:pPr>
        <w:pStyle w:val="para20"/>
      </w:pPr>
      <w:hyperlink w:anchor="_TOC000077" w:history="1">
        <w:r>
          <w:t>3.9</w:t>
          <w:tab/>
          <w:t xml:space="preserve"> Manipulation</w:t>
          <w:tab/>
          <w:t>49</w:t>
        </w:r>
      </w:hyperlink>
    </w:p>
    <w:p>
      <w:pPr>
        <w:pStyle w:val="para21"/>
      </w:pPr>
      <w:hyperlink w:anchor="_TOC000977" w:history="1">
        <w:r>
          <w:t>3.9.1</w:t>
          <w:tab/>
          <w:t xml:space="preserve"> Wie Manipulation funktioniert</w:t>
          <w:tab/>
          <w:t>49</w:t>
        </w:r>
      </w:hyperlink>
    </w:p>
    <w:p>
      <w:pPr>
        <w:pStyle w:val="para22"/>
      </w:pPr>
      <w:hyperlink w:anchor="_TOC000978" w:history="1">
        <w:r>
          <w:t>3.9.1.1</w:t>
          <w:tab/>
          <w:t xml:space="preserve"> Images</w:t>
          <w:tab/>
          <w:t>49</w:t>
        </w:r>
      </w:hyperlink>
    </w:p>
    <w:p>
      <w:pPr>
        <w:pStyle w:val="para22"/>
      </w:pPr>
      <w:hyperlink w:anchor="_TOC000979" w:history="1">
        <w:r>
          <w:t>3.9.1.2</w:t>
          <w:tab/>
          <w:t xml:space="preserve"> Appelle</w:t>
          <w:tab/>
          <w:t>49</w:t>
        </w:r>
      </w:hyperlink>
    </w:p>
    <w:p>
      <w:pPr>
        <w:pStyle w:val="para22"/>
      </w:pPr>
      <w:hyperlink w:anchor="_TOC000980" w:history="1">
        <w:r>
          <w:t>3.9.1.3</w:t>
          <w:tab/>
          <w:t xml:space="preserve"> Regeln</w:t>
          <w:tab/>
          <w:t>50</w:t>
        </w:r>
      </w:hyperlink>
    </w:p>
    <w:p>
      <w:pPr>
        <w:pStyle w:val="para21"/>
      </w:pPr>
      <w:hyperlink w:anchor="_TOC000981" w:history="1">
        <w:r>
          <w:t>3.9.2</w:t>
          <w:tab/>
          <w:t xml:space="preserve"> Manipulationen entdecken</w:t>
          <w:tab/>
          <w:t>50</w:t>
        </w:r>
      </w:hyperlink>
    </w:p>
    <w:p>
      <w:pPr>
        <w:pStyle w:val="para21"/>
      </w:pPr>
      <w:hyperlink w:anchor="_TOC000982" w:history="1">
        <w:r>
          <w:t>3.9.3</w:t>
          <w:tab/>
          <w:t xml:space="preserve"> Gegenstrategien gegen Manipulationen</w:t>
          <w:tab/>
          <w:t>51</w:t>
        </w:r>
      </w:hyperlink>
    </w:p>
    <w:p>
      <w:pPr>
        <w:pStyle w:val="para22"/>
      </w:pPr>
      <w:hyperlink w:anchor="_TOC000983" w:history="1">
        <w:r>
          <w:t>3.9.3.1</w:t>
          <w:tab/>
          <w:t xml:space="preserve"> Abgrenzung</w:t>
          <w:tab/>
          <w:t>51</w:t>
        </w:r>
      </w:hyperlink>
    </w:p>
    <w:p>
      <w:pPr>
        <w:pStyle w:val="para22"/>
      </w:pPr>
      <w:hyperlink w:anchor="_TOC000984" w:history="1">
        <w:r>
          <w:t>3.9.3.2</w:t>
          <w:tab/>
          <w:t xml:space="preserve"> Persönliche Haltung</w:t>
          <w:tab/>
          <w:t>51</w:t>
        </w:r>
      </w:hyperlink>
    </w:p>
    <w:p>
      <w:pPr>
        <w:pStyle w:val="para21"/>
      </w:pPr>
      <w:hyperlink w:anchor="_TOC000985" w:history="1">
        <w:r>
          <w:t>3.9.4</w:t>
          <w:tab/>
          <w:t xml:space="preserve"> Manipulative Fragen</w:t>
          <w:tab/>
          <w:t>52</w:t>
        </w:r>
      </w:hyperlink>
    </w:p>
    <w:p>
      <w:pPr>
        <w:pStyle w:val="para22"/>
      </w:pPr>
      <w:hyperlink w:anchor="_TOC001725" w:history="1">
        <w:r>
          <w:t>3.9.4.1</w:t>
          <w:tab/>
          <w:t xml:space="preserve"> Voranstellen oder umrahmen</w:t>
          <w:tab/>
          <w:t>52</w:t>
        </w:r>
      </w:hyperlink>
    </w:p>
    <w:p>
      <w:pPr>
        <w:pStyle w:val="para22"/>
      </w:pPr>
      <w:hyperlink w:anchor="_TOC001726" w:history="1">
        <w:r>
          <w:t>3.9.4.2</w:t>
          <w:tab/>
          <w:t xml:space="preserve"> Negative Fragen</w:t>
          <w:tab/>
          <w:t>52</w:t>
        </w:r>
      </w:hyperlink>
    </w:p>
    <w:p>
      <w:pPr>
        <w:pStyle w:val="para22"/>
      </w:pPr>
      <w:hyperlink w:anchor="_TOC001727" w:history="1">
        <w:r>
          <w:t>3.9.4.3</w:t>
          <w:tab/>
          <w:t xml:space="preserve"> Manipulative Feststellungen</w:t>
          <w:tab/>
          <w:t>52</w:t>
        </w:r>
      </w:hyperlink>
    </w:p>
    <w:p>
      <w:pPr>
        <w:pStyle w:val="para22"/>
      </w:pPr>
      <w:hyperlink w:anchor="_TOC001728" w:history="1">
        <w:r>
          <w:t>3.9.4.4</w:t>
          <w:tab/>
          <w:t xml:space="preserve"> Die Antwort anbieten</w:t>
          <w:tab/>
          <w:t>53</w:t>
        </w:r>
      </w:hyperlink>
    </w:p>
    <w:p>
      <w:pPr>
        <w:pStyle w:val="para21"/>
      </w:pPr>
      <w:hyperlink w:anchor="_TOC000986" w:history="1">
        <w:r>
          <w:t>3.9.5</w:t>
          <w:tab/>
          <w:t xml:space="preserve"> Manipulation auf der Beziehungsebene</w:t>
          <w:tab/>
          <w:t>53</w:t>
        </w:r>
      </w:hyperlink>
    </w:p>
    <w:p>
      <w:pPr>
        <w:pStyle w:val="para22"/>
      </w:pPr>
      <w:hyperlink w:anchor="_TOC001761" w:history="1">
        <w:r>
          <w:t>3.9.5.1</w:t>
          <w:tab/>
          <w:t xml:space="preserve"> Angeber-Spiel</w:t>
          <w:tab/>
          <w:t>53</w:t>
        </w:r>
      </w:hyperlink>
    </w:p>
    <w:p>
      <w:pPr>
        <w:pStyle w:val="para22"/>
      </w:pPr>
      <w:hyperlink w:anchor="_TOC001762" w:history="1">
        <w:r>
          <w:t>3.9.5.2</w:t>
          <w:tab/>
          <w:t xml:space="preserve"> Armes-Schwein-Spiel</w:t>
          <w:tab/>
          <w:t>53</w:t>
        </w:r>
      </w:hyperlink>
    </w:p>
    <w:p>
      <w:pPr>
        <w:pStyle w:val="para22"/>
      </w:pPr>
      <w:hyperlink w:anchor="_TOC001763" w:history="1">
        <w:r>
          <w:t>3.9.5.3</w:t>
          <w:tab/>
          <w:t xml:space="preserve"> Opfer-Spiel</w:t>
          <w:tab/>
          <w:t>54</w:t>
        </w:r>
      </w:hyperlink>
    </w:p>
    <w:p>
      <w:pPr>
        <w:pStyle w:val="para22"/>
      </w:pPr>
      <w:hyperlink w:anchor="_TOC001764" w:history="1">
        <w:r>
          <w:t>3.9.5.4</w:t>
          <w:tab/>
          <w:t xml:space="preserve"> Blöd-Spiel</w:t>
          <w:tab/>
          <w:t>54</w:t>
        </w:r>
      </w:hyperlink>
    </w:p>
    <w:p>
      <w:pPr>
        <w:pStyle w:val="para22"/>
      </w:pPr>
      <w:hyperlink w:anchor="_TOC001765" w:history="1">
        <w:r>
          <w:t>3.9.5.5</w:t>
          <w:tab/>
          <w:t xml:space="preserve"> Regelsetzer-Spiel</w:t>
          <w:tab/>
          <w:t>54</w:t>
        </w:r>
      </w:hyperlink>
    </w:p>
    <w:p>
      <w:pPr>
        <w:pStyle w:val="para20"/>
      </w:pPr>
      <w:hyperlink w:anchor="_TOC000959" w:history="1">
        <w:r>
          <w:t>3.10</w:t>
          <w:tab/>
          <w:t xml:space="preserve"> Lösungsfokussierte Gesprächsführung</w:t>
          <w:tab/>
          <w:t>55</w:t>
        </w:r>
      </w:hyperlink>
    </w:p>
    <w:p>
      <w:pPr>
        <w:pStyle w:val="para21"/>
      </w:pPr>
      <w:hyperlink w:anchor="_TOC000041" w:history="1">
        <w:r>
          <w:t>3.10.1</w:t>
          <w:tab/>
          <w:t xml:space="preserve"> Einführung</w:t>
          <w:tab/>
          <w:t>55</w:t>
        </w:r>
      </w:hyperlink>
    </w:p>
    <w:p>
      <w:pPr>
        <w:pStyle w:val="para21"/>
      </w:pPr>
      <w:hyperlink w:anchor="_TOC000618" w:history="1">
        <w:r>
          <w:t>3.10.2</w:t>
          <w:tab/>
          <w:t xml:space="preserve"> Die Fragetechnik des BFTC</w:t>
          <w:tab/>
          <w:t>56</w:t>
        </w:r>
      </w:hyperlink>
    </w:p>
    <w:p>
      <w:pPr>
        <w:pStyle w:val="para22"/>
      </w:pPr>
      <w:hyperlink w:anchor="_TOC000522" w:history="1">
        <w:r>
          <w:t>3.10.2.1</w:t>
          <w:tab/>
          <w:t xml:space="preserve"> Skalenfrage</w:t>
          <w:tab/>
          <w:t>57</w:t>
        </w:r>
      </w:hyperlink>
    </w:p>
    <w:p>
      <w:pPr>
        <w:pStyle w:val="para22"/>
      </w:pPr>
      <w:hyperlink w:anchor="_TOC000523" w:history="1">
        <w:r>
          <w:t>3.10.2.2</w:t>
          <w:tab/>
          <w:t xml:space="preserve"> Ressourcenfragen nach der Skalenfrage</w:t>
          <w:tab/>
          <w:t>57</w:t>
        </w:r>
      </w:hyperlink>
    </w:p>
    <w:p>
      <w:pPr>
        <w:pStyle w:val="para22"/>
      </w:pPr>
      <w:hyperlink w:anchor="_TOC000524" w:history="1">
        <w:r>
          <w:t>3.10.2.3</w:t>
          <w:tab/>
          <w:t xml:space="preserve"> Die Frage nach Ausnahmen</w:t>
          <w:tab/>
          <w:t>58</w:t>
        </w:r>
      </w:hyperlink>
    </w:p>
    <w:p>
      <w:pPr>
        <w:pStyle w:val="para22"/>
      </w:pPr>
      <w:hyperlink w:anchor="_TOC000525" w:history="1">
        <w:r>
          <w:t>3.10.2.4</w:t>
          <w:tab/>
          <w:t xml:space="preserve"> Wunderfrage</w:t>
          <w:tab/>
          <w:t>58</w:t>
        </w:r>
      </w:hyperlink>
    </w:p>
    <w:p>
      <w:pPr>
        <w:pStyle w:val="para22"/>
      </w:pPr>
      <w:hyperlink w:anchor="_TOC000526" w:history="1">
        <w:r>
          <w:t>3.10.2.5</w:t>
          <w:tab/>
          <w:t xml:space="preserve"> Frage nach Bewältigungsstrategien</w:t>
          <w:tab/>
          <w:t>59</w:t>
        </w:r>
      </w:hyperlink>
    </w:p>
    <w:p>
      <w:pPr>
        <w:pStyle w:val="para22"/>
      </w:pPr>
      <w:hyperlink w:anchor="_TOC000535" w:history="1">
        <w:r>
          <w:t>3.10.2.6</w:t>
          <w:tab/>
          <w:t xml:space="preserve"> Fragen nach weiteren Aktivitäten</w:t>
          <w:tab/>
          <w:t>60</w:t>
        </w:r>
      </w:hyperlink>
    </w:p>
    <w:p>
      <w:pPr>
        <w:pStyle w:val="para22"/>
      </w:pPr>
      <w:hyperlink w:anchor="_TOC000527" w:history="1">
        <w:r>
          <w:t>3.10.2.7</w:t>
          <w:tab/>
          <w:t xml:space="preserve"> Tipps für den Coach</w:t>
          <w:tab/>
          <w:t>60</w:t>
        </w:r>
      </w:hyperlink>
    </w:p>
    <w:p>
      <w:pPr>
        <w:pStyle w:val="para21"/>
      </w:pPr>
      <w:hyperlink w:anchor="_TOC000528" w:history="1">
        <w:r>
          <w:t>3.10.3</w:t>
          <w:tab/>
          <w:t xml:space="preserve"> Die unterschiedliche Wirkung von Problem- und Lösungssprache</w:t>
          <w:tab/>
          <w:t>61</w:t>
        </w:r>
      </w:hyperlink>
    </w:p>
    <w:p>
      <w:pPr>
        <w:pStyle w:val="para22"/>
      </w:pPr>
      <w:hyperlink w:anchor="_TOC000051" w:history="1">
        <w:r>
          <w:t>3.10.3.1</w:t>
          <w:tab/>
          <w:t xml:space="preserve"> Einführung</w:t>
          <w:tab/>
          <w:t>61</w:t>
        </w:r>
      </w:hyperlink>
    </w:p>
    <w:p>
      <w:pPr>
        <w:pStyle w:val="para22"/>
      </w:pPr>
      <w:hyperlink w:anchor="_TOC000052" w:history="1">
        <w:r>
          <w:t>3.10.3.2</w:t>
          <w:tab/>
          <w:t xml:space="preserve"> Unterschiede zwischen problem- und lösungsorientierter Sprache</w:t>
          <w:tab/>
          <w:t>61</w:t>
        </w:r>
      </w:hyperlink>
    </w:p>
    <w:p>
      <w:pPr>
        <w:pStyle w:val="para22"/>
      </w:pPr>
      <w:hyperlink w:anchor="_TOC000619" w:history="1">
        <w:r>
          <w:t>3.10.3.3</w:t>
          <w:tab/>
          <w:t xml:space="preserve"> Gesprächsteilnehmer von der Problem- auf die Lösungsebene einladen</w:t>
          <w:tab/>
          <w:t>62</w:t>
        </w:r>
      </w:hyperlink>
    </w:p>
    <w:p>
      <w:pPr>
        <w:pStyle w:val="para19"/>
      </w:pPr>
      <w:hyperlink w:anchor="_TOC000641" w:history="1">
        <w:r>
          <w:t>4</w:t>
          <w:tab/>
          <w:t xml:space="preserve"> Die praktische Anwendung der Gesprächstechniken</w:t>
          <w:tab/>
          <w:t>63</w:t>
        </w:r>
      </w:hyperlink>
    </w:p>
    <w:p>
      <w:pPr>
        <w:pStyle w:val="para20"/>
      </w:pPr>
      <w:hyperlink w:anchor="_TOC000958" w:history="1">
        <w:r>
          <w:t>4.1</w:t>
          <w:tab/>
          <w:t xml:space="preserve"> </w:t>
        </w:r>
        <w:r>
          <w:rPr>
            <w:kern w:val="1"/>
          </w:rPr>
          <w:t>Effiziente Meetings durch zielgerichtete Kommunikation</w:t>
        </w:r>
        <w:r>
          <w:tab/>
          <w:t>63</w:t>
        </w:r>
      </w:hyperlink>
    </w:p>
    <w:p>
      <w:pPr>
        <w:pStyle w:val="para21"/>
      </w:pPr>
      <w:hyperlink w:anchor="_TOC000964" w:history="1">
        <w:r>
          <w:t>4.1.1</w:t>
          <w:tab/>
          <w:t xml:space="preserve"> Schlanke Kommunikation - Lean Communication</w:t>
          <w:tab/>
          <w:t>63</w:t>
        </w:r>
      </w:hyperlink>
    </w:p>
    <w:p>
      <w:pPr>
        <w:pStyle w:val="para22"/>
      </w:pPr>
      <w:hyperlink w:anchor="_TOC000965" w:history="1">
        <w:r>
          <w:t>4.1.1.1</w:t>
          <w:tab/>
          <w:t xml:space="preserve"> Erstes Prinzip: Output-Satz formulieren.</w:t>
          <w:tab/>
          <w:t>64</w:t>
        </w:r>
      </w:hyperlink>
    </w:p>
    <w:p>
      <w:pPr>
        <w:pStyle w:val="para22"/>
      </w:pPr>
      <w:hyperlink w:anchor="_TOC000966" w:history="1">
        <w:r>
          <w:t>4.1.1.2</w:t>
          <w:tab/>
          <w:t xml:space="preserve"> Zweites Prinzip: Mudas (= Verschwendungen) identifizieren.</w:t>
          <w:tab/>
          <w:t>65</w:t>
        </w:r>
      </w:hyperlink>
    </w:p>
    <w:p>
      <w:pPr>
        <w:pStyle w:val="para22"/>
      </w:pPr>
      <w:hyperlink w:anchor="_TOC000967" w:history="1">
        <w:r>
          <w:t>4.1.1.3</w:t>
          <w:tab/>
          <w:t xml:space="preserve"> Drittes Prinzip:Bedürfnis-Variantenmanagement betreiben.</w:t>
          <w:tab/>
          <w:t>67</w:t>
        </w:r>
      </w:hyperlink>
    </w:p>
    <w:p>
      <w:pPr>
        <w:pStyle w:val="para22"/>
      </w:pPr>
      <w:hyperlink w:anchor="_TOC000968" w:history="1">
        <w:r>
          <w:t>4.1.1.4</w:t>
          <w:tab/>
          <w:t xml:space="preserve"> Viertes Prinzip: Gedankliche Rüstzeit optimieren.</w:t>
          <w:tab/>
          <w:t>68</w:t>
        </w:r>
      </w:hyperlink>
    </w:p>
    <w:p>
      <w:pPr>
        <w:pStyle w:val="para22"/>
      </w:pPr>
      <w:hyperlink w:anchor="_TOC000969" w:history="1">
        <w:r>
          <w:t>4.1.1.5</w:t>
          <w:tab/>
          <w:t xml:space="preserve"> Fünftes Prinzip: Gedankliche Halbfertigware reduzieren.</w:t>
          <w:tab/>
          <w:t>69</w:t>
        </w:r>
      </w:hyperlink>
    </w:p>
    <w:p>
      <w:pPr>
        <w:pStyle w:val="para22"/>
      </w:pPr>
      <w:hyperlink w:anchor="_TOC000994" w:history="1">
        <w:r>
          <w:t>4.1.1.6</w:t>
          <w:tab/>
          <w:t xml:space="preserve"> Mit Mikroschritten zu Wettbewerbsvorteilen</w:t>
          <w:tab/>
          <w:t>70</w:t>
        </w:r>
      </w:hyperlink>
    </w:p>
    <w:p>
      <w:pPr>
        <w:pStyle w:val="para20"/>
      </w:pPr>
      <w:hyperlink w:anchor="_TOC000970" w:history="1">
        <w:r>
          <w:t>4.2</w:t>
          <w:tab/>
          <w:t xml:space="preserve"> Teammeetings vorbereiten, leiten und nachbereiten</w:t>
          <w:tab/>
          <w:t>71</w:t>
        </w:r>
      </w:hyperlink>
    </w:p>
    <w:p>
      <w:pPr>
        <w:pStyle w:val="para21"/>
      </w:pPr>
      <w:hyperlink w:anchor="_TOC000348" w:history="1">
        <w:r>
          <w:t>4.2.1</w:t>
          <w:tab/>
          <w:t xml:space="preserve"> Eine sorgfältige Vorbereitung ist Voraussetzung für effektive Meetings</w:t>
          <w:tab/>
          <w:t>71</w:t>
        </w:r>
      </w:hyperlink>
    </w:p>
    <w:p>
      <w:pPr>
        <w:pStyle w:val="para21"/>
      </w:pPr>
      <w:hyperlink w:anchor="_TOC000349" w:history="1">
        <w:r>
          <w:t>4.2.2</w:t>
          <w:tab/>
          <w:t xml:space="preserve"> Die Durchführung eines Meetings benötigt eine gute Moderation</w:t>
          <w:tab/>
          <w:t>71</w:t>
        </w:r>
      </w:hyperlink>
    </w:p>
    <w:p>
      <w:pPr>
        <w:pStyle w:val="para21"/>
      </w:pPr>
      <w:hyperlink w:anchor="_TOC000350" w:history="1">
        <w:r>
          <w:t>4.2.3</w:t>
          <w:tab/>
          <w:t xml:space="preserve"> Eine Struktur für effiziente Meetings</w:t>
          <w:tab/>
          <w:t>72</w:t>
        </w:r>
      </w:hyperlink>
    </w:p>
    <w:p>
      <w:pPr>
        <w:pStyle w:val="para21"/>
      </w:pPr>
      <w:hyperlink w:anchor="_TOC000351" w:history="1">
        <w:r>
          <w:t>4.2.4</w:t>
          <w:tab/>
          <w:t xml:space="preserve"> Das Meeting evaluieren</w:t>
          <w:tab/>
          <w:t>73</w:t>
        </w:r>
      </w:hyperlink>
    </w:p>
    <w:p>
      <w:pPr>
        <w:pStyle w:val="para21"/>
      </w:pPr>
      <w:hyperlink w:anchor="_TOC000591" w:history="1">
        <w:r>
          <w:t>4.2.5</w:t>
          <w:tab/>
          <w:t xml:space="preserve"> Tipps für Ihren Umgang mit Problemen mit unterschiedlichen „Rednern“</w:t>
          <w:tab/>
          <w:t>73</w:t>
        </w:r>
      </w:hyperlink>
    </w:p>
    <w:p>
      <w:pPr>
        <w:pStyle w:val="para21"/>
      </w:pPr>
      <w:hyperlink w:anchor="_TOC000836" w:history="1">
        <w:r>
          <w:t>4.2.6</w:t>
          <w:tab/>
          <w:t xml:space="preserve"> Vermeiden Sie ungünstige Sprachmuster</w:t>
          <w:tab/>
          <w:t>74</w:t>
        </w:r>
      </w:hyperlink>
    </w:p>
    <w:p>
      <w:pPr>
        <w:pStyle w:val="para22"/>
      </w:pPr>
      <w:hyperlink w:anchor="_TOC000807" w:history="1">
        <w:r>
          <w:t>4.2.6.1</w:t>
          <w:tab/>
          <w:t xml:space="preserve"> </w:t>
        </w:r>
        <w:r>
          <w:rPr>
            <w:kern w:val="1"/>
          </w:rPr>
          <w:t xml:space="preserve">Ja-Setting und </w:t>
        </w:r>
        <w:r>
          <w:t>Nein</w:t>
        </w:r>
        <w:r>
          <w:rPr>
            <w:kern w:val="1"/>
          </w:rPr>
          <w:t>-Setting</w:t>
        </w:r>
        <w:r>
          <w:tab/>
          <w:t>74</w:t>
        </w:r>
      </w:hyperlink>
    </w:p>
    <w:p>
      <w:pPr>
        <w:pStyle w:val="para22"/>
      </w:pPr>
      <w:hyperlink w:anchor="_TOC000942" w:history="1">
        <w:r>
          <w:t>4.2.6.2</w:t>
          <w:tab/>
          <w:t xml:space="preserve"> Vermeiden Sie die Relativierung Ihrer Aussage</w:t>
          <w:tab/>
          <w:t>74</w:t>
        </w:r>
      </w:hyperlink>
    </w:p>
    <w:p>
      <w:pPr>
        <w:pStyle w:val="para22"/>
      </w:pPr>
      <w:hyperlink w:anchor="_TOC000808" w:history="1">
        <w:r>
          <w:t>4.2.6.3</w:t>
          <w:tab/>
          <w:t xml:space="preserve"> Streichen Sie das Wort 'nur' aus Ihren Sätzen</w:t>
          <w:tab/>
          <w:t>75</w:t>
        </w:r>
      </w:hyperlink>
    </w:p>
    <w:p>
      <w:pPr>
        <w:pStyle w:val="para22"/>
      </w:pPr>
      <w:hyperlink w:anchor="_TOC000943" w:history="1">
        <w:r>
          <w:t>4.2.6.4</w:t>
          <w:tab/>
          <w:t xml:space="preserve"> Der Unterschied zwischen 'Ja, aber' und 'Ja, und'</w:t>
          <w:tab/>
          <w:t>75</w:t>
        </w:r>
      </w:hyperlink>
    </w:p>
    <w:p>
      <w:pPr>
        <w:pStyle w:val="para20"/>
      </w:pPr>
      <w:hyperlink w:anchor="_TOC000962" w:history="1">
        <w:r>
          <w:t>4.3</w:t>
          <w:tab/>
          <w:t xml:space="preserve"> Feedback und Kritik</w:t>
          <w:tab/>
          <w:t>77</w:t>
        </w:r>
      </w:hyperlink>
    </w:p>
    <w:p>
      <w:pPr>
        <w:pStyle w:val="para21"/>
      </w:pPr>
      <w:hyperlink w:anchor="_TOC000963" w:history="1">
        <w:r>
          <w:t>4.3.1</w:t>
          <w:tab/>
          <w:t xml:space="preserve"> Feedback vs. Kritik: Was ist der Unterschied?</w:t>
          <w:tab/>
          <w:t>77</w:t>
        </w:r>
      </w:hyperlink>
    </w:p>
    <w:p>
      <w:pPr>
        <w:pStyle w:val="para22"/>
      </w:pPr>
      <w:hyperlink w:anchor="_TOC000330" w:history="1">
        <w:r>
          <w:t>4.3.1.1</w:t>
          <w:tab/>
          <w:t xml:space="preserve"> Deshalb sind Feedback und Kritik so wichtig</w:t>
          <w:tab/>
          <w:t>77</w:t>
        </w:r>
      </w:hyperlink>
    </w:p>
    <w:p>
      <w:pPr>
        <w:pStyle w:val="para21"/>
      </w:pPr>
      <w:hyperlink w:anchor="_TOC000888" w:history="1">
        <w:r>
          <w:t>4.3.2</w:t>
          <w:tab/>
          <w:t xml:space="preserve"> Feedback geben und annehmen</w:t>
          <w:tab/>
          <w:t>78</w:t>
        </w:r>
      </w:hyperlink>
    </w:p>
    <w:p>
      <w:pPr>
        <w:pStyle w:val="para22"/>
      </w:pPr>
      <w:hyperlink w:anchor="_TOC000322" w:history="1">
        <w:r>
          <w:t>4.3.2.1</w:t>
          <w:tab/>
          <w:t xml:space="preserve"> Einführung</w:t>
          <w:tab/>
          <w:t>78</w:t>
        </w:r>
      </w:hyperlink>
    </w:p>
    <w:p>
      <w:pPr>
        <w:pStyle w:val="para22"/>
      </w:pPr>
      <w:hyperlink w:anchor="_TOC000229" w:history="1">
        <w:r>
          <w:t>4.3.2.2</w:t>
          <w:tab/>
          <w:t xml:space="preserve"> Das Johari-Fenster</w:t>
          <w:tab/>
          <w:t>79</w:t>
        </w:r>
      </w:hyperlink>
    </w:p>
    <w:p>
      <w:pPr>
        <w:pStyle w:val="para22"/>
      </w:pPr>
      <w:hyperlink w:anchor="_TOC000324" w:history="1">
        <w:r>
          <w:t>4.3.2.3</w:t>
          <w:tab/>
          <w:t xml:space="preserve"> Feedback geben</w:t>
          <w:tab/>
          <w:t>80</w:t>
        </w:r>
      </w:hyperlink>
    </w:p>
    <w:p>
      <w:pPr>
        <w:pStyle w:val="para22"/>
      </w:pPr>
      <w:hyperlink w:anchor="_TOC000411" w:history="1">
        <w:r>
          <w:t>4.3.2.4</w:t>
          <w:tab/>
          <w:t xml:space="preserve"> Feedback annehmen</w:t>
          <w:tab/>
          <w:t>83</w:t>
        </w:r>
      </w:hyperlink>
    </w:p>
    <w:p>
      <w:pPr>
        <w:pStyle w:val="para21"/>
      </w:pPr>
      <w:hyperlink w:anchor="_TOC000332" w:history="1">
        <w:r>
          <w:t>4.3.3</w:t>
          <w:tab/>
          <w:t xml:space="preserve"> Umgang mit Kritik</w:t>
          <w:tab/>
          <w:t>88</w:t>
        </w:r>
      </w:hyperlink>
    </w:p>
    <w:p>
      <w:pPr>
        <w:pStyle w:val="para22"/>
      </w:pPr>
      <w:hyperlink w:anchor="_TOC000863" w:history="1">
        <w:r>
          <w:t>4.3.3.1</w:t>
          <w:tab/>
          <w:t xml:space="preserve"> Eigenschaften von Kritik</w:t>
          <w:tab/>
          <w:t>88</w:t>
        </w:r>
      </w:hyperlink>
    </w:p>
    <w:p>
      <w:pPr>
        <w:pStyle w:val="para22"/>
      </w:pPr>
      <w:hyperlink w:anchor="_TOC000336" w:history="1">
        <w:r>
          <w:t>4.3.3.2</w:t>
          <w:tab/>
          <w:t xml:space="preserve"> Destruktive Kritik vermeiden</w:t>
          <w:tab/>
          <w:t>89</w:t>
        </w:r>
      </w:hyperlink>
    </w:p>
    <w:p>
      <w:pPr>
        <w:pStyle w:val="para22"/>
      </w:pPr>
      <w:hyperlink w:anchor="_TOC000338" w:history="1">
        <w:r>
          <w:t>4.3.3.3</w:t>
          <w:tab/>
          <w:t xml:space="preserve"> Kritik ausüben</w:t>
          <w:tab/>
          <w:t>91</w:t>
        </w:r>
      </w:hyperlink>
    </w:p>
    <w:p>
      <w:pPr>
        <w:pStyle w:val="para22"/>
      </w:pPr>
      <w:hyperlink w:anchor="_TOC000460" w:history="1">
        <w:r>
          <w:t>4.3.3.4</w:t>
          <w:tab/>
          <w:t xml:space="preserve"> Eine schlechte Nachricht überbringen</w:t>
          <w:tab/>
          <w:t>93</w:t>
        </w:r>
      </w:hyperlink>
    </w:p>
    <w:p>
      <w:pPr>
        <w:pStyle w:val="para20"/>
      </w:pPr>
      <w:hyperlink w:anchor="_TOC000645" w:history="1">
        <w:r>
          <w:t>4.4</w:t>
          <w:tab/>
          <w:t xml:space="preserve"> Konflikte</w:t>
          <w:tab/>
          <w:t>96</w:t>
        </w:r>
      </w:hyperlink>
    </w:p>
    <w:p>
      <w:pPr>
        <w:pStyle w:val="para21"/>
      </w:pPr>
      <w:hyperlink w:anchor="_TOC000371" w:history="1">
        <w:r>
          <w:t>4.4.1</w:t>
          <w:tab/>
          <w:t xml:space="preserve"> Definition Konflikt</w:t>
          <w:tab/>
          <w:t>96</w:t>
        </w:r>
      </w:hyperlink>
    </w:p>
    <w:p>
      <w:pPr>
        <w:pStyle w:val="para21"/>
      </w:pPr>
      <w:hyperlink w:anchor="_TOC000083" w:history="1">
        <w:r>
          <w:t>4.4.2</w:t>
          <w:tab/>
          <w:t xml:space="preserve"> Kennzeichen von Konflikten</w:t>
          <w:tab/>
          <w:t>97</w:t>
        </w:r>
      </w:hyperlink>
    </w:p>
    <w:p>
      <w:pPr>
        <w:pStyle w:val="para22"/>
      </w:pPr>
      <w:hyperlink w:anchor="_TOC000242" w:history="1">
        <w:r>
          <w:t>4.4.2.1</w:t>
          <w:tab/>
          <w:t xml:space="preserve"> Die Ebenen eines Konflikts</w:t>
          <w:tab/>
          <w:t>97</w:t>
        </w:r>
      </w:hyperlink>
    </w:p>
    <w:p>
      <w:pPr>
        <w:pStyle w:val="para22"/>
      </w:pPr>
      <w:hyperlink w:anchor="_TOC000473" w:history="1">
        <w:r>
          <w:t>4.4.2.2</w:t>
          <w:tab/>
          <w:t xml:space="preserve"> Typologie von Konflikten</w:t>
          <w:tab/>
          <w:t>98</w:t>
        </w:r>
      </w:hyperlink>
    </w:p>
    <w:p>
      <w:pPr>
        <w:pStyle w:val="para22"/>
      </w:pPr>
      <w:hyperlink w:anchor="_TOC000736" w:history="1">
        <w:r>
          <w:t>4.4.2.3</w:t>
          <w:tab/>
          <w:t xml:space="preserve"> Positionen vs. Interessen</w:t>
          <w:tab/>
          <w:t>99</w:t>
        </w:r>
      </w:hyperlink>
    </w:p>
    <w:p>
      <w:pPr>
        <w:pStyle w:val="para22"/>
      </w:pPr>
      <w:hyperlink w:anchor="_TOC000475" w:history="1">
        <w:r>
          <w:t>4.4.2.4</w:t>
          <w:tab/>
          <w:t xml:space="preserve"> Sach- vs. Beziehungsinteressen</w:t>
          <w:tab/>
          <w:t>99</w:t>
        </w:r>
      </w:hyperlink>
    </w:p>
    <w:p>
      <w:pPr>
        <w:pStyle w:val="para22"/>
      </w:pPr>
      <w:hyperlink w:anchor="_TOC000130" w:history="1">
        <w:r>
          <w:t>4.4.2.5</w:t>
          <w:tab/>
          <w:t xml:space="preserve"> Heißer vs. kalter Konflikt</w:t>
          <w:tab/>
          <w:t>99</w:t>
        </w:r>
      </w:hyperlink>
    </w:p>
    <w:p>
      <w:pPr>
        <w:pStyle w:val="para22"/>
      </w:pPr>
      <w:hyperlink w:anchor="_TOC000245" w:history="1">
        <w:r>
          <w:t>4.4.2.6</w:t>
          <w:tab/>
          <w:t xml:space="preserve"> Die Größe der Arena</w:t>
          <w:tab/>
          <w:t>100</w:t>
        </w:r>
      </w:hyperlink>
    </w:p>
    <w:p>
      <w:pPr>
        <w:pStyle w:val="para21"/>
      </w:pPr>
      <w:hyperlink w:anchor="_TOC000640" w:history="1">
        <w:r>
          <w:t>4.4.3</w:t>
          <w:tab/>
          <w:t xml:space="preserve"> Das Konflikt-Eskalations-Modell nach Glasl</w:t>
          <w:tab/>
          <w:t>100</w:t>
        </w:r>
      </w:hyperlink>
    </w:p>
    <w:p>
      <w:pPr>
        <w:pStyle w:val="para22"/>
      </w:pPr>
      <w:hyperlink w:anchor="_TOC000133" w:history="1">
        <w:r>
          <w:t>4.4.3.1</w:t>
          <w:tab/>
          <w:t xml:space="preserve"> Ebene 1: Win-Win</w:t>
          <w:tab/>
          <w:t>101</w:t>
        </w:r>
      </w:hyperlink>
    </w:p>
    <w:p>
      <w:pPr>
        <w:pStyle w:val="para22"/>
      </w:pPr>
      <w:hyperlink w:anchor="_TOC000134" w:history="1">
        <w:r>
          <w:t>4.4.3.2</w:t>
          <w:tab/>
          <w:t xml:space="preserve"> Ebene 2: Win-Lose</w:t>
          <w:tab/>
          <w:t>101</w:t>
        </w:r>
      </w:hyperlink>
    </w:p>
    <w:p>
      <w:pPr>
        <w:pStyle w:val="para22"/>
      </w:pPr>
      <w:hyperlink w:anchor="_TOC000135" w:history="1">
        <w:r>
          <w:t>4.4.3.3</w:t>
          <w:tab/>
          <w:t xml:space="preserve"> Ebene 3: Lose - Lose</w:t>
          <w:tab/>
          <w:t>102</w:t>
        </w:r>
      </w:hyperlink>
    </w:p>
    <w:p>
      <w:pPr>
        <w:pStyle w:val="para22"/>
      </w:pPr>
      <w:hyperlink w:anchor="_TOC000248" w:history="1">
        <w:r>
          <w:t>4.4.3.4</w:t>
          <w:tab/>
          <w:t xml:space="preserve"> Schlichtungsmöglichkeiten auf den 3 Ebenen</w:t>
          <w:tab/>
          <w:t>102</w:t>
        </w:r>
      </w:hyperlink>
    </w:p>
    <w:p>
      <w:pPr>
        <w:pStyle w:val="para21"/>
      </w:pPr>
      <w:hyperlink w:anchor="_TOC000119" w:history="1">
        <w:r>
          <w:t>4.4.4</w:t>
          <w:tab/>
          <w:t xml:space="preserve"> Den eigenen Konfliktstil ermitteln</w:t>
          <w:tab/>
          <w:t>103</w:t>
        </w:r>
      </w:hyperlink>
    </w:p>
    <w:p>
      <w:pPr>
        <w:pStyle w:val="para21"/>
      </w:pPr>
      <w:hyperlink w:anchor="_TOC000476" w:history="1">
        <w:r>
          <w:t>4.4.5</w:t>
          <w:tab/>
          <w:t xml:space="preserve"> Die Macht der Worte: Diese Sätze entschärfen Konflikte</w:t>
          <w:tab/>
          <w:t>106</w:t>
        </w:r>
      </w:hyperlink>
    </w:p>
    <w:p>
      <w:pPr>
        <w:pStyle w:val="para21"/>
      </w:pPr>
      <w:hyperlink w:anchor="_TOC000831" w:history="1">
        <w:r>
          <w:t>4.4.6</w:t>
          <w:tab/>
          <w:t xml:space="preserve"> Acht rettende Sätze für schwierige Gesprächssituationen</w:t>
          <w:tab/>
          <w:t>108</w:t>
        </w:r>
      </w:hyperlink>
    </w:p>
    <w:p>
      <w:pPr>
        <w:pStyle w:val="para21"/>
      </w:pPr>
      <w:hyperlink w:anchor="_TOC000935" w:history="1">
        <w:r>
          <w:t>4.4.7</w:t>
          <w:tab/>
          <w:t xml:space="preserve"> Die Transaktionsanalyse zur Beschreibung und Lösung von Konflikten</w:t>
          <w:tab/>
          <w:t>111</w:t>
        </w:r>
      </w:hyperlink>
    </w:p>
    <w:p>
      <w:pPr>
        <w:pStyle w:val="para22"/>
      </w:pPr>
      <w:hyperlink w:anchor="_TOC000263" w:history="1">
        <w:r>
          <w:t>4.4.7.1</w:t>
          <w:tab/>
          <w:t xml:space="preserve"> Ich-Zustände</w:t>
          <w:tab/>
          <w:t>111</w:t>
        </w:r>
      </w:hyperlink>
    </w:p>
    <w:p>
      <w:pPr>
        <w:pStyle w:val="para22"/>
      </w:pPr>
      <w:hyperlink w:anchor="_TOC000267" w:history="1">
        <w:r>
          <w:t>4.4.7.2</w:t>
          <w:tab/>
          <w:t xml:space="preserve"> Positive und negative Auswirkungen der Ich-Zustände</w:t>
          <w:tab/>
          <w:t>113</w:t>
        </w:r>
      </w:hyperlink>
    </w:p>
    <w:p>
      <w:pPr>
        <w:pStyle w:val="para22"/>
      </w:pPr>
      <w:hyperlink w:anchor="_TOC000268" w:history="1">
        <w:r>
          <w:t>4.4.7.3</w:t>
          <w:tab/>
          <w:t xml:space="preserve"> Transaktionen</w:t>
          <w:tab/>
          <w:t>114</w:t>
        </w:r>
      </w:hyperlink>
    </w:p>
    <w:p>
      <w:pPr>
        <w:pStyle w:val="para21"/>
      </w:pPr>
      <w:hyperlink w:anchor="_TOC000272" w:history="1">
        <w:r>
          <w:t>4.4.8</w:t>
          <w:tab/>
          <w:t xml:space="preserve"> Konfliktlösung statt Streit</w:t>
          <w:tab/>
          <w:t>118</w:t>
        </w:r>
      </w:hyperlink>
    </w:p>
    <w:p>
      <w:pPr>
        <w:pStyle w:val="para22"/>
      </w:pPr>
      <w:hyperlink w:anchor="_TOC000287" w:history="1">
        <w:r>
          <w:t>4.4.8.1</w:t>
          <w:tab/>
          <w:t xml:space="preserve"> Kontextmarkierer</w:t>
          <w:tab/>
          <w:t>118</w:t>
        </w:r>
      </w:hyperlink>
    </w:p>
    <w:p>
      <w:pPr>
        <w:pStyle w:val="para22"/>
      </w:pPr>
      <w:hyperlink w:anchor="_TOC000157" w:history="1">
        <w:r>
          <w:t>4.4.8.2</w:t>
          <w:tab/>
          <w:t xml:space="preserve"> Konfliktstrategien - Verhaltensweisen, die den Konflikt anheizen</w:t>
          <w:tab/>
          <w:t>118</w:t>
        </w:r>
      </w:hyperlink>
    </w:p>
    <w:p>
      <w:pPr>
        <w:pStyle w:val="para21"/>
      </w:pPr>
      <w:hyperlink w:anchor="_TOC000724" w:history="1">
        <w:r>
          <w:t>4.4.9</w:t>
          <w:tab/>
          <w:t xml:space="preserve"> Deeskalationsstrategien</w:t>
          <w:tab/>
          <w:t>120</w:t>
        </w:r>
      </w:hyperlink>
    </w:p>
    <w:p>
      <w:pPr>
        <w:pStyle w:val="para21"/>
      </w:pPr>
      <w:hyperlink w:anchor="_TOC000867" w:history="1">
        <w:r>
          <w:t>4.4.10</w:t>
          <w:tab/>
          <w:t xml:space="preserve"> Strategien zur Konfliktlösung</w:t>
          <w:tab/>
          <w:t>121</w:t>
        </w:r>
      </w:hyperlink>
    </w:p>
    <w:p>
      <w:pPr>
        <w:pStyle w:val="para22"/>
      </w:pPr>
      <w:hyperlink w:anchor="_TOC000740" w:history="1">
        <w:r>
          <w:t>4.4.10.1</w:t>
          <w:tab/>
          <w:t xml:space="preserve"> Überprüfung der eigenen Konfliktstrategie</w:t>
          <w:tab/>
          <w:t>122</w:t>
        </w:r>
      </w:hyperlink>
    </w:p>
    <w:p>
      <w:pPr>
        <w:pStyle w:val="para21"/>
      </w:pPr>
      <w:hyperlink w:anchor="_TOC000868" w:history="1">
        <w:r>
          <w:t>4.4.11</w:t>
          <w:tab/>
          <w:t xml:space="preserve"> Übung: Ihre Strategie zur Konfliktprävention</w:t>
          <w:tab/>
          <w:t>123</w:t>
        </w:r>
      </w:hyperlink>
    </w:p>
    <w:p>
      <w:pPr>
        <w:pStyle w:val="para20"/>
      </w:pPr>
      <w:hyperlink w:anchor="_TOC000352" w:history="1">
        <w:r>
          <w:t>4.5</w:t>
          <w:tab/>
          <w:t xml:space="preserve"> Lösungsfokussierte Konfliktmediation</w:t>
          <w:tab/>
          <w:t>125</w:t>
        </w:r>
      </w:hyperlink>
    </w:p>
    <w:p>
      <w:pPr>
        <w:pStyle w:val="para21"/>
      </w:pPr>
      <w:hyperlink w:anchor="_TOC000401" w:history="1">
        <w:r>
          <w:t>4.5.1</w:t>
          <w:tab/>
          <w:t xml:space="preserve"> Verhärtungen auflösen</w:t>
          <w:tab/>
          <w:t>125</w:t>
        </w:r>
      </w:hyperlink>
    </w:p>
    <w:p>
      <w:pPr>
        <w:pStyle w:val="para21"/>
      </w:pPr>
      <w:hyperlink w:anchor="_TOC000149" w:history="1">
        <w:r>
          <w:t>4.5.2</w:t>
          <w:tab/>
          <w:t xml:space="preserve"> Die innere Haltung des Mediators</w:t>
          <w:tab/>
          <w:t>125</w:t>
        </w:r>
      </w:hyperlink>
    </w:p>
    <w:p>
      <w:pPr>
        <w:pStyle w:val="para21"/>
      </w:pPr>
      <w:hyperlink w:anchor="_TOC000150" w:history="1">
        <w:r>
          <w:t>4.5.3</w:t>
          <w:tab/>
          <w:t xml:space="preserve"> Struktur einer Mediation</w:t>
          <w:tab/>
          <w:t>126</w:t>
        </w:r>
      </w:hyperlink>
    </w:p>
    <w:p>
      <w:pPr>
        <w:pStyle w:val="para21"/>
      </w:pPr>
      <w:hyperlink w:anchor="_TOC000725" w:history="1">
        <w:r>
          <w:t>4.5.4</w:t>
          <w:tab/>
          <w:t xml:space="preserve"> Vorgehen in einer lösungsfokussierten Konfliktmediation</w:t>
          <w:tab/>
          <w:t>127</w:t>
        </w:r>
      </w:hyperlink>
    </w:p>
    <w:p>
      <w:pPr>
        <w:pStyle w:val="para20"/>
      </w:pPr>
      <w:hyperlink w:anchor="_TOC000341" w:history="1">
        <w:r>
          <w:t>4.6</w:t>
          <w:tab/>
          <w:t xml:space="preserve"> Das Beratungs- oder Coachinggespräch</w:t>
          <w:tab/>
          <w:t>130</w:t>
        </w:r>
      </w:hyperlink>
    </w:p>
    <w:p>
      <w:pPr>
        <w:pStyle w:val="para21"/>
      </w:pPr>
      <w:hyperlink w:anchor="_TOC000365" w:history="1">
        <w:r>
          <w:t>4.6.1</w:t>
          <w:tab/>
          <w:t xml:space="preserve"> Der Unterschied zwischen Beratung und Coaching</w:t>
          <w:tab/>
          <w:t>130</w:t>
        </w:r>
      </w:hyperlink>
    </w:p>
    <w:p>
      <w:pPr>
        <w:pStyle w:val="para21"/>
      </w:pPr>
      <w:hyperlink w:anchor="_TOC000366" w:history="1">
        <w:r>
          <w:t>4.6.2</w:t>
          <w:tab/>
          <w:t xml:space="preserve"> Beratungsgespräche</w:t>
          <w:tab/>
          <w:t>130</w:t>
        </w:r>
      </w:hyperlink>
    </w:p>
    <w:p>
      <w:pPr>
        <w:pStyle w:val="para22"/>
      </w:pPr>
      <w:hyperlink w:anchor="_TOC000367" w:history="1">
        <w:r>
          <w:t>4.6.2.1</w:t>
          <w:tab/>
          <w:t xml:space="preserve"> Systemischer Aufbau eines Beratungs- / Coachinggesprächs</w:t>
          <w:tab/>
          <w:t>131</w:t>
        </w:r>
      </w:hyperlink>
    </w:p>
    <w:p>
      <w:pPr>
        <w:pStyle w:val="para21"/>
      </w:pPr>
      <w:hyperlink w:anchor="_TOC000500" w:history="1">
        <w:r>
          <w:t>4.6.3</w:t>
          <w:tab/>
          <w:t xml:space="preserve"> Definition Coaching</w:t>
          <w:tab/>
          <w:t>132</w:t>
        </w:r>
      </w:hyperlink>
    </w:p>
    <w:p>
      <w:pPr>
        <w:pStyle w:val="para21"/>
      </w:pPr>
      <w:hyperlink w:anchor="_TOC000087" w:history="1">
        <w:r>
          <w:t>4.6.4</w:t>
          <w:tab/>
          <w:t xml:space="preserve"> Der Coachingprozess</w:t>
          <w:tab/>
          <w:t>134</w:t>
        </w:r>
      </w:hyperlink>
    </w:p>
    <w:p>
      <w:pPr>
        <w:pStyle w:val="para22"/>
      </w:pPr>
      <w:hyperlink w:anchor="_TOC000305" w:history="1">
        <w:r>
          <w:t>4.6.4.1</w:t>
          <w:tab/>
          <w:t xml:space="preserve"> Die Parameter guten Zuhörens nach Carl Rogers</w:t>
          <w:tab/>
          <w:t>135</w:t>
        </w:r>
      </w:hyperlink>
    </w:p>
    <w:p>
      <w:pPr>
        <w:pStyle w:val="para22"/>
      </w:pPr>
      <w:hyperlink w:anchor="_TOC000306" w:history="1">
        <w:r>
          <w:t>4.6.4.2</w:t>
          <w:tab/>
          <w:t xml:space="preserve"> Fragen im Coaching</w:t>
          <w:tab/>
          <w:t>135</w:t>
        </w:r>
      </w:hyperlink>
    </w:p>
    <w:p>
      <w:pPr>
        <w:pStyle w:val="para22"/>
      </w:pPr>
      <w:hyperlink w:anchor="_TOC000307" w:history="1">
        <w:r>
          <w:t>4.6.4.3</w:t>
          <w:tab/>
          <w:t xml:space="preserve"> Öffnende und schließende Fragen im Coaching</w:t>
          <w:tab/>
          <w:t>136</w:t>
        </w:r>
      </w:hyperlink>
    </w:p>
    <w:p>
      <w:pPr>
        <w:pStyle w:val="para22"/>
      </w:pPr>
      <w:hyperlink w:anchor="_TOC000146" w:history="1">
        <w:r>
          <w:t>4.6.4.4</w:t>
          <w:tab/>
          <w:t xml:space="preserve"> Fragen, die in die Tiefe gehen</w:t>
          <w:tab/>
          <w:t>137</w:t>
        </w:r>
      </w:hyperlink>
    </w:p>
    <w:p>
      <w:pPr>
        <w:pStyle w:val="para22"/>
      </w:pPr>
      <w:hyperlink w:anchor="_TOC000315" w:history="1">
        <w:r>
          <w:t>4.6.4.5</w:t>
          <w:tab/>
          <w:t xml:space="preserve"> Systemische Fragen im Coaching</w:t>
          <w:tab/>
          <w:t>144</w:t>
        </w:r>
      </w:hyperlink>
    </w:p>
    <w:p>
      <w:pPr>
        <w:pStyle w:val="para22"/>
      </w:pPr>
      <w:hyperlink w:anchor="_TOC000169" w:history="1">
        <w:r>
          <w:t>4.6.4.6</w:t>
          <w:tab/>
          <w:t xml:space="preserve"> Gesprächsfördernde und Gesprächsstörende Aussagen</w:t>
          <w:tab/>
          <w:t>148</w:t>
        </w:r>
      </w:hyperlink>
    </w:p>
    <w:p>
      <w:pPr>
        <w:pStyle w:val="para21"/>
      </w:pPr>
      <w:hyperlink w:anchor="_TOC000317" w:history="1">
        <w:r>
          <w:t>4.6.5</w:t>
          <w:tab/>
          <w:t xml:space="preserve"> Das Erstgespräch im Coaching aus Sicht des Coaches</w:t>
          <w:tab/>
          <w:t>150</w:t>
        </w:r>
      </w:hyperlink>
    </w:p>
    <w:p>
      <w:pPr>
        <w:pStyle w:val="para22"/>
      </w:pPr>
      <w:hyperlink w:anchor="_TOC000088" w:history="1">
        <w:r>
          <w:t>4.6.5.1</w:t>
          <w:tab/>
          <w:t xml:space="preserve"> Vor dem Erstgespräch: Auftragsklärung</w:t>
          <w:tab/>
          <w:t>150</w:t>
        </w:r>
      </w:hyperlink>
    </w:p>
    <w:p>
      <w:pPr>
        <w:pStyle w:val="para22"/>
      </w:pPr>
      <w:hyperlink w:anchor="_TOC000089" w:history="1">
        <w:r>
          <w:t>4.6.5.2</w:t>
          <w:tab/>
          <w:t xml:space="preserve"> Das Erstgespräch</w:t>
          <w:tab/>
          <w:t>151</w:t>
        </w:r>
      </w:hyperlink>
    </w:p>
    <w:p>
      <w:pPr>
        <w:pStyle w:val="para22"/>
      </w:pPr>
      <w:hyperlink w:anchor="_TOC000090" w:history="1">
        <w:r>
          <w:t>4.6.5.3</w:t>
          <w:tab/>
          <w:t xml:space="preserve"> Nach dem Erstgespräch: Selbstklärung und Angebot  </w:t>
          <w:tab/>
          <w:t>152</w:t>
        </w:r>
      </w:hyperlink>
    </w:p>
    <w:p>
      <w:pPr>
        <w:pStyle w:val="para21"/>
      </w:pPr>
      <w:hyperlink w:anchor="_TOC000091" w:history="1">
        <w:r>
          <w:t>4.6.6</w:t>
          <w:tab/>
          <w:t xml:space="preserve"> Das Erst- bzw. Vorgespräch im Coaching aus Sicht des Klienten</w:t>
          <w:tab/>
          <w:t>152</w:t>
        </w:r>
      </w:hyperlink>
    </w:p>
    <w:p>
      <w:pPr>
        <w:pStyle w:val="para21"/>
      </w:pPr>
      <w:hyperlink w:anchor="_TOC000092" w:history="1">
        <w:r>
          <w:t>4.6.7</w:t>
          <w:tab/>
          <w:t xml:space="preserve"> Fragen und Information zum Erstgespräch mit dem Auftraggeber als Klient</w:t>
          <w:tab/>
          <w:t>155</w:t>
        </w:r>
      </w:hyperlink>
    </w:p>
    <w:p>
      <w:pPr>
        <w:pStyle w:val="para21"/>
      </w:pPr>
      <w:hyperlink w:anchor="_TOC000093" w:history="1">
        <w:r>
          <w:t>4.6.8</w:t>
          <w:tab/>
          <w:t xml:space="preserve"> Fragen und Information zum Erstgespr. mit dem Auftraggeber, MA ist Klient</w:t>
          <w:tab/>
          <w:t>159</w:t>
        </w:r>
      </w:hyperlink>
    </w:p>
    <w:p>
      <w:pPr>
        <w:pStyle w:val="para21"/>
      </w:pPr>
      <w:hyperlink w:anchor="_TOC000094" w:history="1">
        <w:r>
          <w:t>4.6.9</w:t>
          <w:tab/>
          <w:t xml:space="preserve"> Die Gesprächsvorbereitung des Coaches</w:t>
          <w:tab/>
          <w:t>161</w:t>
        </w:r>
      </w:hyperlink>
    </w:p>
    <w:p>
      <w:pPr>
        <w:pStyle w:val="para21"/>
      </w:pPr>
      <w:hyperlink w:anchor="_TOC000318" w:history="1">
        <w:r>
          <w:t>4.6.10</w:t>
          <w:tab/>
          <w:t xml:space="preserve"> Positive Zielbeschreibung</w:t>
          <w:tab/>
          <w:t>161</w:t>
        </w:r>
      </w:hyperlink>
    </w:p>
    <w:p>
      <w:pPr>
        <w:pStyle w:val="para22"/>
      </w:pPr>
      <w:hyperlink w:anchor="_TOC000095" w:history="1">
        <w:r>
          <w:t>4.6.10.1</w:t>
          <w:tab/>
          <w:t xml:space="preserve"> Handlungsziele mit der SMART-Methode formulieren</w:t>
          <w:tab/>
          <w:t>162</w:t>
        </w:r>
      </w:hyperlink>
    </w:p>
    <w:p>
      <w:pPr>
        <w:pStyle w:val="para22"/>
      </w:pPr>
      <w:hyperlink w:anchor="_TOC000096" w:history="1">
        <w:r>
          <w:t>4.6.10.2</w:t>
          <w:tab/>
          <w:t xml:space="preserve"> Zielbeschreibung mit PASS-WM</w:t>
        </w:r>
      </w:hyperlink>
      <w:r>
        <w:tab/>
        <w:t>162</w:t>
      </w:r>
    </w:p>
    <w:p>
      <w:pPr>
        <w:pStyle w:val="para22"/>
      </w:pPr>
      <w:hyperlink w:anchor="_TOC000531" w:history="1">
        <w:r>
          <w:t>4.6.10.3</w:t>
          <w:tab/>
          <w:t xml:space="preserve"> Eigene Ziele setzen mit der POSITIV-Formel</w:t>
          <w:tab/>
          <w:t>163</w:t>
        </w:r>
      </w:hyperlink>
    </w:p>
    <w:p>
      <w:pPr>
        <w:pStyle w:val="para21"/>
      </w:pPr>
      <w:hyperlink w:anchor="_TOC000097" w:history="1">
        <w:r>
          <w:t>4.6.11</w:t>
          <w:tab/>
          <w:t xml:space="preserve"> Struktur für ein lösungsfokussiertes Erstgespräch</w:t>
          <w:tab/>
          <w:t>165</w:t>
        </w:r>
      </w:hyperlink>
    </w:p>
    <w:p>
      <w:pPr>
        <w:pStyle w:val="para21"/>
      </w:pPr>
      <w:hyperlink w:anchor="_TOC000098" w:history="1">
        <w:r>
          <w:t>4.6.12</w:t>
          <w:tab/>
          <w:t xml:space="preserve"> Die Orientierungsphase</w:t>
          <w:tab/>
          <w:t>166</w:t>
        </w:r>
      </w:hyperlink>
    </w:p>
    <w:p>
      <w:pPr>
        <w:pStyle w:val="para21"/>
      </w:pPr>
      <w:hyperlink w:anchor="_TOC000099" w:history="1">
        <w:r>
          <w:t>4.6.13</w:t>
          <w:tab/>
          <w:t xml:space="preserve"> Die Veränderungsphase</w:t>
          <w:tab/>
          <w:t>166</w:t>
        </w:r>
      </w:hyperlink>
    </w:p>
    <w:p>
      <w:pPr>
        <w:pStyle w:val="para22"/>
      </w:pPr>
      <w:hyperlink w:anchor="_TOC000100" w:history="1">
        <w:r>
          <w:t>4.6.13.1</w:t>
          <w:tab/>
          <w:t xml:space="preserve"> Identifizierung bisheriger Lösungsversuche</w:t>
          <w:tab/>
          <w:t>166</w:t>
        </w:r>
      </w:hyperlink>
    </w:p>
    <w:p>
      <w:pPr>
        <w:pStyle w:val="para22"/>
      </w:pPr>
      <w:hyperlink w:anchor="_TOC000101" w:history="1">
        <w:r>
          <w:t>4.6.13.2</w:t>
          <w:tab/>
          <w:t xml:space="preserve"> Sammlung neuer Lösungsideen</w:t>
          <w:tab/>
          <w:t>167</w:t>
        </w:r>
      </w:hyperlink>
    </w:p>
    <w:p>
      <w:pPr>
        <w:pStyle w:val="para22"/>
      </w:pPr>
      <w:hyperlink w:anchor="_TOC000102" w:history="1">
        <w:r>
          <w:t>4.6.13.3</w:t>
          <w:tab/>
          <w:t xml:space="preserve"> Bewertung der Alternativen</w:t>
          <w:tab/>
          <w:t>167</w:t>
        </w:r>
      </w:hyperlink>
    </w:p>
    <w:p>
      <w:pPr>
        <w:pStyle w:val="para21"/>
      </w:pPr>
      <w:hyperlink w:anchor="_TOC000103" w:history="1">
        <w:r>
          <w:t>4.6.14</w:t>
          <w:tab/>
          <w:t xml:space="preserve"> Die Abschlussphase</w:t>
          <w:tab/>
          <w:t>168</w:t>
        </w:r>
      </w:hyperlink>
    </w:p>
    <w:p>
      <w:pPr>
        <w:pStyle w:val="para22"/>
      </w:pPr>
      <w:hyperlink w:anchor="_TOC000104" w:history="1">
        <w:r>
          <w:t>4.6.14.1</w:t>
          <w:tab/>
          <w:t xml:space="preserve"> Festmachen des Ergebnisses</w:t>
          <w:tab/>
          <w:t>168</w:t>
        </w:r>
      </w:hyperlink>
    </w:p>
    <w:p>
      <w:pPr>
        <w:pStyle w:val="para22"/>
      </w:pPr>
      <w:hyperlink w:anchor="_TOC000105" w:history="1">
        <w:r>
          <w:t>4.6.14.2</w:t>
          <w:tab/>
          <w:t xml:space="preserve"> Entwicklung eines konkreten Handlungsplans</w:t>
          <w:tab/>
          <w:t>168</w:t>
        </w:r>
      </w:hyperlink>
    </w:p>
    <w:p>
      <w:pPr>
        <w:pStyle w:val="para22"/>
      </w:pPr>
      <w:hyperlink w:anchor="_TOC000106" w:history="1">
        <w:r>
          <w:t>4.6.14.3</w:t>
          <w:tab/>
          <w:t xml:space="preserve"> Vereinbarungen</w:t>
          <w:tab/>
          <w:t>168</w:t>
        </w:r>
      </w:hyperlink>
    </w:p>
    <w:p>
      <w:pPr>
        <w:pStyle w:val="para21"/>
      </w:pPr>
      <w:hyperlink w:anchor="_TOC000107" w:history="1">
        <w:r>
          <w:t>4.6.15</w:t>
          <w:tab/>
          <w:t xml:space="preserve"> Interventionsmethoden für Beratung und Coaching</w:t>
          <w:tab/>
          <w:t>169</w:t>
        </w:r>
      </w:hyperlink>
    </w:p>
    <w:p>
      <w:pPr>
        <w:pStyle w:val="para22"/>
      </w:pPr>
      <w:hyperlink w:anchor="_TOC000108" w:history="1">
        <w:r>
          <w:t>4.6.15.1</w:t>
          <w:tab/>
          <w:t xml:space="preserve"> Mentoren- oder Beobachterposition</w:t>
          <w:tab/>
          <w:t>169</w:t>
        </w:r>
      </w:hyperlink>
    </w:p>
    <w:p>
      <w:pPr>
        <w:pStyle w:val="para22"/>
      </w:pPr>
      <w:hyperlink w:anchor="_TOC000081" w:history="1">
        <w:r>
          <w:t>4.6.15.2</w:t>
          <w:tab/>
          <w:t xml:space="preserve"> Entscheidungen über Bodenanker</w:t>
          <w:tab/>
          <w:t>170</w:t>
        </w:r>
      </w:hyperlink>
    </w:p>
    <w:p>
      <w:pPr>
        <w:pStyle w:val="para22"/>
      </w:pPr>
      <w:hyperlink w:anchor="_TOC000110" w:history="1">
        <w:r>
          <w:t>4.6.15.3</w:t>
          <w:tab/>
          <w:t xml:space="preserve"> Der Skalenspaziergang</w:t>
          <w:tab/>
          <w:t>171</w:t>
        </w:r>
      </w:hyperlink>
    </w:p>
    <w:p>
      <w:pPr>
        <w:pStyle w:val="para22"/>
      </w:pPr>
      <w:hyperlink w:anchor="_TOC000111" w:history="1">
        <w:r>
          <w:t>4.6.15.4</w:t>
          <w:tab/>
          <w:t xml:space="preserve"> Arbeit mit der 'Zeit'</w:t>
          <w:tab/>
          <w:t>173</w:t>
        </w:r>
      </w:hyperlink>
    </w:p>
    <w:p>
      <w:r>
        <w:fldChar w:fldCharType="end"/>
      </w:r>
      <w:r/>
    </w:p>
    <w:p>
      <w:r>
        <w:br w:type="page"/>
      </w:r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headerReference w:type="default" r:id="rId14"/>
          <w:footerReference w:type="default" r:id="rId15"/>
          <w:headerReference w:type="even" r:id="rId16"/>
          <w:footerReference w:type="even" r:id="rId17"/>
          <w:type w:val="nextPage"/>
          <w:pgSz w:h="16838" w:w="11906"/>
          <w:pgMar w:left="1984" w:top="1418" w:right="1134" w:bottom="1418" w:header="709" w:footer="709"/>
          <w:paperSrc w:first="0" w:other="0" a="0" b="0"/>
          <w:pgNumType w:fmt="lowerRoman" w:start="1"/>
          <w:tmGutter w:val="1"/>
          <w:mirrorMargins w:val="1"/>
          <w:tmSection w:h="-1">
            <w:tmHeader w:id="0" w:h="0" edge="709" text="0">
              <w:shd w:val="none"/>
            </w:tmHeader>
            <w:tmFooter w:id="0" w:h="0" edge="709" text="0">
              <w:shd w:val="none"/>
            </w:tmFooter>
            <w:tmHeader w:id="1" w:h="0" edge="709" text="0">
              <w:shd w:val="none"/>
            </w:tmHeader>
            <w:tmFooter w:id="1" w:h="0" edge="709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pStyle w:val="para1"/>
        <w:numPr>
          <w:ilvl w:val="0"/>
          <w:numId w:val="43"/>
        </w:numPr>
        <w:ind w:left="432" w:hanging="432"/>
      </w:pPr>
      <w:r>
        <w:br w:type="page"/>
      </w:r>
      <w:bookmarkStart w:id="1" w:name="_TOC000828"/>
      <w:r/>
      <w:r>
        <w:rPr>
          <w:color w:val="00998A"/>
        </w:rPr>
        <w:t>Psychologische Handlungskompetenz - eine Übersicht</w:t>
      </w:r>
      <w:r/>
      <w:bookmarkEnd w:id="1"/>
      <w:r/>
    </w:p>
    <w:p>
      <w:pPr>
        <w:pStyle w:val="para2"/>
        <w:numPr>
          <w:ilvl w:val="1"/>
          <w:numId w:val="43"/>
        </w:numPr>
        <w:ind w:left="624" w:hanging="624"/>
        <w:spacing w:before="200"/>
        <w:rPr>
          <w:color w:val="00998A"/>
        </w:rPr>
      </w:pPr>
      <w:r>
        <w:rPr>
          <w:color w:val="007F7F"/>
        </w:rPr>
      </w:r>
      <w:bookmarkStart w:id="2" w:name="_TOC000232"/>
      <w:r>
        <w:rPr>
          <w:color w:val="007F7F"/>
        </w:rPr>
      </w:r>
      <w:bookmarkStart w:id="3" w:name="_TOC001010"/>
      <w:r>
        <w:rPr>
          <w:color w:val="007F7F"/>
        </w:rPr>
      </w:r>
      <w:bookmarkStart w:id="4" w:name="_TOC000200"/>
      <w:r>
        <w:rPr>
          <w:color w:val="007F7F"/>
        </w:rPr>
      </w:r>
      <w:bookmarkStart w:id="5" w:name="_TOC000995"/>
      <w:r>
        <w:rPr>
          <w:color w:val="007F7F"/>
        </w:rPr>
      </w:r>
      <w:bookmarkStart w:id="6" w:name="_TOC000960"/>
      <w:r>
        <w:rPr>
          <w:color w:val="007F7F"/>
        </w:rPr>
      </w:r>
      <w:bookmarkStart w:id="7" w:name="_TOC000806"/>
      <w:r>
        <w:rPr>
          <w:color w:val="007F7F"/>
        </w:rPr>
      </w:r>
      <w:bookmarkStart w:id="8" w:name="_TOC000360"/>
      <w:r>
        <w:rPr>
          <w:color w:val="007F7F"/>
        </w:rPr>
      </w:r>
      <w:bookmarkStart w:id="9" w:name="_TOC000944"/>
      <w:r>
        <w:rPr>
          <w:color w:val="007F7F"/>
        </w:rPr>
      </w:r>
      <w:bookmarkStart w:id="10" w:name="_TOC000662"/>
      <w:r>
        <w:rPr>
          <w:color w:val="007F7F"/>
        </w:rPr>
      </w:r>
      <w:bookmarkStart w:id="11" w:name="_TOC000923"/>
      <w:r>
        <w:rPr>
          <w:color w:val="007F7F"/>
        </w:rPr>
      </w:r>
      <w:bookmarkStart w:id="12" w:name="_TOC000885"/>
      <w:r>
        <w:rPr>
          <w:color w:val="007F7F"/>
        </w:rPr>
      </w:r>
      <w:bookmarkStart w:id="13" w:name="_TOC000592"/>
      <w:r>
        <w:rPr>
          <w:color w:val="007F7F"/>
        </w:rPr>
      </w:r>
      <w:bookmarkStart w:id="14" w:name="_TOC000249"/>
      <w:r>
        <w:rPr>
          <w:color w:val="007F7F"/>
        </w:rPr>
      </w:r>
      <w:bookmarkStart w:id="15" w:name="_TOC000004"/>
      <w:r>
        <w:rPr>
          <w:color w:val="007F7F"/>
        </w:rPr>
      </w:r>
      <w:bookmarkStart w:id="16" w:name="_TOC000765"/>
      <w:r>
        <w:rPr>
          <w:color w:val="007F7F"/>
        </w:rPr>
      </w:r>
      <w:bookmarkStart w:id="17" w:name="_TOC000151"/>
      <w:r>
        <w:rPr>
          <w:color w:val="007F7F"/>
        </w:rPr>
      </w:r>
      <w:bookmarkStart w:id="18" w:name="_TOC000656"/>
      <w:r>
        <w:rPr>
          <w:color w:val="007F7F"/>
        </w:rPr>
      </w:r>
      <w:bookmarkStart w:id="19" w:name="_TOC000109"/>
      <w:r>
        <w:rPr>
          <w:color w:val="007F7F"/>
        </w:rPr>
      </w:r>
      <w:bookmarkStart w:id="20" w:name="_TOC000627"/>
      <w:r>
        <w:rPr>
          <w:color w:val="007F7F"/>
        </w:rPr>
      </w:r>
      <w:bookmarkStart w:id="21" w:name="_TOC000010"/>
      <w:r>
        <w:rPr>
          <w:color w:val="007F7F"/>
        </w:rPr>
      </w:r>
      <w:bookmarkStart w:id="22" w:name="_TOC000067"/>
      <w:r>
        <w:rPr>
          <w:color w:val="007F7F"/>
        </w:rPr>
      </w:r>
      <w:bookmarkStart w:id="23" w:name="_TOC000247"/>
      <w:r>
        <w:rPr>
          <w:color w:val="007F7F"/>
        </w:rPr>
      </w:r>
      <w:bookmarkStart w:id="24" w:name="_TOC000155"/>
      <w:r>
        <w:rPr>
          <w:color w:val="007F7F"/>
        </w:rPr>
      </w:r>
      <w:bookmarkStart w:id="25" w:name="_TOC000007"/>
      <w:r>
        <w:rPr>
          <w:color w:val="007F7F"/>
        </w:rPr>
      </w:r>
      <w:bookmarkStart w:id="26" w:name="_TOC000002"/>
      <w:r>
        <w:rPr>
          <w:color w:val="007F7F"/>
        </w:rPr>
      </w:r>
      <w:r>
        <w:rPr>
          <w:color w:val="00998A"/>
        </w:rPr>
        <w:t>Organisatorisches</w:t>
      </w:r>
      <w:r>
        <w:rPr>
          <w:color w:val="007F7F"/>
        </w:rPr>
      </w:r>
      <w:bookmarkEnd w:id="26"/>
      <w:r>
        <w:rPr>
          <w:color w:val="007F7F"/>
        </w:rPr>
      </w:r>
      <w:bookmarkEnd w:id="25"/>
      <w:r>
        <w:rPr>
          <w:color w:val="007F7F"/>
        </w:rPr>
      </w:r>
      <w:bookmarkEnd w:id="24"/>
      <w:r>
        <w:rPr>
          <w:color w:val="007F7F"/>
        </w:rPr>
      </w:r>
      <w:bookmarkEnd w:id="23"/>
      <w:r>
        <w:rPr>
          <w:color w:val="007F7F"/>
        </w:rPr>
      </w:r>
      <w:bookmarkEnd w:id="22"/>
      <w:r>
        <w:rPr>
          <w:color w:val="007F7F"/>
        </w:rPr>
      </w:r>
      <w:bookmarkEnd w:id="21"/>
      <w:r>
        <w:rPr>
          <w:color w:val="007F7F"/>
        </w:rPr>
      </w:r>
      <w:bookmarkEnd w:id="20"/>
      <w:r>
        <w:rPr>
          <w:color w:val="007F7F"/>
        </w:rPr>
      </w:r>
      <w:bookmarkEnd w:id="19"/>
      <w:r>
        <w:rPr>
          <w:color w:val="007F7F"/>
        </w:rPr>
      </w:r>
      <w:bookmarkEnd w:id="18"/>
      <w:r>
        <w:rPr>
          <w:color w:val="007F7F"/>
        </w:rPr>
      </w:r>
      <w:bookmarkEnd w:id="17"/>
      <w:r>
        <w:rPr>
          <w:color w:val="007F7F"/>
        </w:rPr>
      </w:r>
      <w:bookmarkEnd w:id="16"/>
      <w:r>
        <w:rPr>
          <w:color w:val="007F7F"/>
        </w:rPr>
      </w:r>
      <w:bookmarkEnd w:id="15"/>
      <w:r>
        <w:rPr>
          <w:color w:val="007F7F"/>
        </w:rPr>
      </w:r>
      <w:bookmarkEnd w:id="14"/>
      <w:r>
        <w:rPr>
          <w:color w:val="007F7F"/>
        </w:rPr>
      </w:r>
      <w:bookmarkEnd w:id="13"/>
      <w:r>
        <w:rPr>
          <w:color w:val="007F7F"/>
        </w:rPr>
      </w:r>
      <w:bookmarkEnd w:id="12"/>
      <w:r>
        <w:rPr>
          <w:color w:val="007F7F"/>
        </w:rPr>
      </w:r>
      <w:bookmarkEnd w:id="11"/>
      <w:r>
        <w:rPr>
          <w:color w:val="007F7F"/>
        </w:rPr>
      </w:r>
      <w:bookmarkEnd w:id="10"/>
      <w:r>
        <w:rPr>
          <w:color w:val="007F7F"/>
        </w:rPr>
      </w:r>
      <w:bookmarkEnd w:id="9"/>
      <w:r>
        <w:rPr>
          <w:color w:val="007F7F"/>
        </w:rPr>
      </w:r>
      <w:bookmarkEnd w:id="8"/>
      <w:r>
        <w:rPr>
          <w:color w:val="007F7F"/>
        </w:rPr>
      </w:r>
      <w:bookmarkEnd w:id="7"/>
      <w:r>
        <w:rPr>
          <w:color w:val="007F7F"/>
        </w:rPr>
      </w:r>
      <w:bookmarkEnd w:id="6"/>
      <w:r>
        <w:rPr>
          <w:color w:val="007F7F"/>
        </w:rPr>
      </w:r>
      <w:bookmarkEnd w:id="5"/>
      <w:r>
        <w:rPr>
          <w:color w:val="007F7F"/>
        </w:rPr>
      </w:r>
      <w:bookmarkEnd w:id="4"/>
      <w:r>
        <w:rPr>
          <w:color w:val="007F7F"/>
        </w:rPr>
      </w:r>
      <w:bookmarkEnd w:id="3"/>
      <w:r>
        <w:rPr>
          <w:color w:val="007F7F"/>
        </w:rPr>
      </w:r>
      <w:bookmarkEnd w:id="2"/>
      <w:r>
        <w:rPr>
          <w:color w:val="007F7F"/>
        </w:rPr>
      </w:r>
      <w:r>
        <w:rPr>
          <w:color w:val="00998A"/>
        </w:rPr>
      </w:r>
    </w:p>
    <w:p>
      <w:r>
        <w:t>Das Modul 'Psychologische Handlungskompetenz' umfasst 40 Unterrichtseinheiten, welche an 10 Terminen mit je 4 Einheiten stattfinden. 7 Termine sind Lehrveranstaltung, an den letzten 3 Termin werden die mündlichen Prüfungen durchgeführt.</w:t>
      </w:r>
    </w:p>
    <w:p>
      <w:r>
        <w:t>Modulziel</w:t>
      </w:r>
    </w:p>
    <w:p>
      <w:r>
        <w:t>Die Studierenden können nach erfolgreichem Abschluss des Moduls:</w:t>
      </w:r>
    </w:p>
    <w:p>
      <w:pPr>
        <w:pStyle w:val="para17"/>
        <w:numPr>
          <w:ilvl w:val="1"/>
          <w:numId w:val="60"/>
        </w:numPr>
        <w:ind w:left="397" w:hanging="197"/>
        <w:spacing w:after="40"/>
      </w:pPr>
      <w:r>
        <w:t>klärende Gespräche in Wirtschaftskontexten führen,</w:t>
      </w:r>
    </w:p>
    <w:p>
      <w:pPr>
        <w:pStyle w:val="para17"/>
        <w:numPr>
          <w:ilvl w:val="1"/>
          <w:numId w:val="60"/>
        </w:numPr>
        <w:ind w:left="397" w:hanging="197"/>
        <w:spacing w:after="40"/>
      </w:pPr>
      <w:r>
        <w:t>Interventionsmethoden wie aktives Zuhören, zirkuläres Fragen, Arbeiten mit dem inneren Team oder Doppeln anwenden,</w:t>
      </w:r>
    </w:p>
    <w:p>
      <w:pPr>
        <w:pStyle w:val="para17"/>
        <w:numPr>
          <w:ilvl w:val="1"/>
          <w:numId w:val="60"/>
        </w:numPr>
        <w:ind w:left="397" w:hanging="197"/>
        <w:spacing w:after="40"/>
      </w:pPr>
      <w:r>
        <w:t>Eskalationsstufen in Konflikten identifizieren und mögliche Interventionsmethoden beschreiben,</w:t>
      </w:r>
    </w:p>
    <w:p>
      <w:pPr>
        <w:pStyle w:val="para17"/>
        <w:numPr>
          <w:ilvl w:val="1"/>
          <w:numId w:val="60"/>
        </w:numPr>
        <w:ind w:left="397" w:hanging="197"/>
        <w:spacing w:after="40"/>
      </w:pPr>
      <w:r>
        <w:t>typische Verläufe von Mediationsprozessen nachvollziehen und einordnen,</w:t>
      </w:r>
    </w:p>
    <w:p>
      <w:pPr>
        <w:pStyle w:val="para17"/>
        <w:numPr>
          <w:ilvl w:val="1"/>
          <w:numId w:val="60"/>
        </w:numPr>
        <w:ind w:left="397" w:hanging="197"/>
        <w:spacing w:after="40"/>
      </w:pPr>
      <w:r>
        <w:t>Coachinganlässe herausarbeiten und eine Anamnese im Erstgespräch durchführen,</w:t>
      </w:r>
    </w:p>
    <w:p>
      <w:pPr>
        <w:pStyle w:val="para17"/>
        <w:numPr>
          <w:ilvl w:val="1"/>
          <w:numId w:val="60"/>
        </w:numPr>
        <w:ind w:left="397" w:hanging="197"/>
        <w:spacing w:after="40"/>
      </w:pPr>
      <w:r>
        <w:t>ausgewählte Interventionsmethoden für Coachingsitzungen und Erfolgsfaktoren für Coachingsprozesse beurteilen,</w:t>
      </w:r>
    </w:p>
    <w:p>
      <w:pPr>
        <w:pStyle w:val="para17"/>
        <w:numPr>
          <w:ilvl w:val="1"/>
          <w:numId w:val="60"/>
        </w:numPr>
        <w:ind w:left="397" w:hanging="197"/>
        <w:spacing w:after="120"/>
      </w:pPr>
      <w:r>
        <w:t>das eigene Beraterverhalten kritisch reflektieren.</w:t>
      </w:r>
    </w:p>
    <w:p>
      <w:r>
        <w:t>Curriculum</w:t>
      </w:r>
    </w:p>
    <w:p>
      <w:pPr>
        <w:pStyle w:val="para17"/>
        <w:numPr>
          <w:ilvl w:val="1"/>
          <w:numId w:val="60"/>
        </w:numPr>
        <w:ind w:left="397" w:hanging="197"/>
      </w:pPr>
      <w:r>
        <w:t>Psychologische Gesprächsführung</w:t>
      </w:r>
    </w:p>
    <w:p>
      <w:pPr>
        <w:pStyle w:val="para33"/>
        <w:numPr>
          <w:ilvl w:val="1"/>
          <w:numId w:val="65"/>
        </w:numPr>
        <w:ind w:left="850" w:hanging="226"/>
        <w:spacing w:line="288" w:lineRule="auto"/>
        <w:rPr>
          <w:rFonts w:ascii="Cambria" w:hAnsi="Cambria" w:eastAsia="Cambria"/>
          <w:sz w:val="24"/>
          <w:szCs w:val="24"/>
        </w:rPr>
      </w:pPr>
      <w:r>
        <w:rPr>
          <w:rFonts w:ascii="Cambria" w:hAnsi="Cambria" w:eastAsia="Cambria"/>
          <w:sz w:val="24"/>
          <w:szCs w:val="24"/>
        </w:rPr>
        <w:t>Konzepte zur Beschreibung menschlicher Kommunikation</w:t>
      </w:r>
    </w:p>
    <w:p>
      <w:pPr>
        <w:pStyle w:val="para33"/>
        <w:numPr>
          <w:ilvl w:val="1"/>
          <w:numId w:val="65"/>
        </w:numPr>
        <w:ind w:left="850" w:hanging="226"/>
        <w:spacing w:line="288" w:lineRule="auto"/>
      </w:pPr>
      <w:r>
        <w:t>Grundtechniken wie aktives Zuhören, Doppeln und zirkuläres Fragen</w:t>
      </w:r>
    </w:p>
    <w:p>
      <w:pPr>
        <w:pStyle w:val="para33"/>
        <w:numPr>
          <w:ilvl w:val="1"/>
          <w:numId w:val="65"/>
        </w:numPr>
        <w:ind w:left="850" w:hanging="226"/>
        <w:spacing w:line="288" w:lineRule="auto"/>
      </w:pPr>
      <w:r>
        <w:t>Phasen eines psychologischen Gesprächs</w:t>
      </w:r>
    </w:p>
    <w:p>
      <w:pPr>
        <w:pStyle w:val="para33"/>
        <w:numPr>
          <w:ilvl w:val="1"/>
          <w:numId w:val="65"/>
        </w:numPr>
        <w:ind w:left="850" w:hanging="226"/>
        <w:spacing w:line="288" w:lineRule="auto"/>
      </w:pPr>
      <w:r>
        <w:t>Interventionen zur Selbstklärung, Kommunikationsklärung und Persönlichkeitsklärung</w:t>
      </w:r>
    </w:p>
    <w:p>
      <w:pPr>
        <w:pStyle w:val="para33"/>
        <w:numPr>
          <w:ilvl w:val="1"/>
          <w:numId w:val="65"/>
        </w:numPr>
        <w:ind w:left="850" w:hanging="226"/>
      </w:pPr>
      <w:r>
        <w:t>Professionalisierung durch Supervision</w:t>
      </w:r>
    </w:p>
    <w:p>
      <w:pPr>
        <w:pStyle w:val="para17"/>
        <w:numPr>
          <w:ilvl w:val="1"/>
          <w:numId w:val="60"/>
        </w:numPr>
        <w:ind w:left="567" w:hanging="197"/>
        <w:spacing w:before="100"/>
      </w:pPr>
      <w:r>
        <w:t>Konfliktberatung und Mediation</w:t>
      </w:r>
    </w:p>
    <w:p>
      <w:pPr>
        <w:pStyle w:val="para33"/>
        <w:numPr>
          <w:ilvl w:val="1"/>
          <w:numId w:val="65"/>
        </w:numPr>
        <w:ind w:left="850" w:hanging="226"/>
        <w:spacing w:line="288" w:lineRule="auto"/>
      </w:pPr>
      <w:r>
        <w:t>die eigene Rolle in Konflikten verstehen</w:t>
      </w:r>
    </w:p>
    <w:p>
      <w:pPr>
        <w:pStyle w:val="para33"/>
        <w:numPr>
          <w:ilvl w:val="1"/>
          <w:numId w:val="65"/>
        </w:numPr>
        <w:ind w:left="850" w:hanging="226"/>
        <w:spacing w:line="288" w:lineRule="auto"/>
      </w:pPr>
      <w:r>
        <w:t>Phasen der Eskalation</w:t>
      </w:r>
    </w:p>
    <w:p>
      <w:pPr>
        <w:pStyle w:val="para33"/>
        <w:numPr>
          <w:ilvl w:val="1"/>
          <w:numId w:val="65"/>
        </w:numPr>
        <w:ind w:left="850" w:hanging="226"/>
        <w:spacing w:line="288" w:lineRule="auto"/>
      </w:pPr>
      <w:r>
        <w:t>phasenspezifische Interventionen</w:t>
      </w:r>
    </w:p>
    <w:p>
      <w:pPr>
        <w:pStyle w:val="para33"/>
        <w:numPr>
          <w:ilvl w:val="1"/>
          <w:numId w:val="65"/>
        </w:numPr>
        <w:ind w:left="850" w:hanging="226"/>
      </w:pPr>
      <w:r>
        <w:t>Schritte eines Mediationsprozesses</w:t>
      </w:r>
    </w:p>
    <w:p>
      <w:pPr>
        <w:pStyle w:val="para17"/>
        <w:numPr>
          <w:ilvl w:val="1"/>
          <w:numId w:val="60"/>
        </w:numPr>
        <w:ind w:left="567" w:hanging="197"/>
        <w:spacing w:before="100"/>
      </w:pPr>
      <w:r>
        <w:t>Coaching</w:t>
      </w:r>
    </w:p>
    <w:p>
      <w:pPr>
        <w:pStyle w:val="para33"/>
        <w:numPr>
          <w:ilvl w:val="1"/>
          <w:numId w:val="65"/>
        </w:numPr>
        <w:ind w:left="850" w:hanging="226"/>
        <w:spacing w:line="288" w:lineRule="auto"/>
      </w:pPr>
      <w:r>
        <w:t>Phasen und Interventionsmethoden</w:t>
      </w:r>
    </w:p>
    <w:p>
      <w:pPr>
        <w:pStyle w:val="para33"/>
        <w:numPr>
          <w:ilvl w:val="1"/>
          <w:numId w:val="65"/>
        </w:numPr>
        <w:ind w:left="850" w:hanging="226"/>
        <w:spacing w:line="288" w:lineRule="auto"/>
      </w:pPr>
      <w:r>
        <w:t>Anamnese im Erstgespräch</w:t>
      </w:r>
    </w:p>
    <w:p>
      <w:pPr>
        <w:pStyle w:val="para33"/>
        <w:numPr>
          <w:ilvl w:val="1"/>
          <w:numId w:val="65"/>
        </w:numPr>
        <w:ind w:left="850" w:hanging="226"/>
        <w:spacing w:line="288" w:lineRule="auto"/>
      </w:pPr>
      <w:r>
        <w:t>Typische Coachinganlässe</w:t>
      </w:r>
    </w:p>
    <w:p>
      <w:pPr>
        <w:pStyle w:val="para33"/>
        <w:numPr>
          <w:ilvl w:val="1"/>
          <w:numId w:val="65"/>
        </w:numPr>
        <w:ind w:left="850" w:hanging="226"/>
        <w:spacing w:line="288" w:lineRule="auto"/>
      </w:pPr>
      <w:r>
        <w:t>Dramaturgie einer Coachingsitzung und eines Coachingprozesses</w:t>
      </w:r>
    </w:p>
    <w:p>
      <w:pPr>
        <w:pStyle w:val="para33"/>
        <w:numPr>
          <w:ilvl w:val="1"/>
          <w:numId w:val="65"/>
        </w:numPr>
        <w:ind w:left="850" w:hanging="226"/>
        <w:spacing w:line="288" w:lineRule="auto"/>
      </w:pPr>
      <w:r>
        <w:t>Die Veranstaltung wird eine Mischung aus Präsentation, themenbezogener Diskussion, Demonstration von Übungen und Kleingruppenübungen sein.</w:t>
      </w:r>
    </w:p>
    <w:p>
      <w:pPr>
        <w:pStyle w:val="para2"/>
        <w:numPr>
          <w:ilvl w:val="1"/>
          <w:numId w:val="43"/>
        </w:numPr>
        <w:ind w:left="576" w:hanging="576"/>
      </w:pPr>
      <w:bookmarkStart w:id="27" w:name="_TOC000657"/>
      <w:r/>
      <w:bookmarkStart w:id="28" w:name="_TOC000116"/>
      <w:r/>
      <w:bookmarkStart w:id="29" w:name="_TOC000628"/>
      <w:r/>
      <w:bookmarkStart w:id="30" w:name="_TOC000012"/>
      <w:r/>
      <w:bookmarkStart w:id="31" w:name="_TOC000154"/>
      <w:r/>
      <w:bookmarkStart w:id="32" w:name="_TOC000273"/>
      <w:r/>
      <w:bookmarkStart w:id="33" w:name="_TOC000183"/>
      <w:r/>
      <w:bookmarkStart w:id="34" w:name="_TOC000008"/>
      <w:r/>
      <w:bookmarkStart w:id="35" w:name="_TOC000003"/>
      <w:r>
        <w:t>Wi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18"/>
      <w:footerReference w:type="default" r:id="rId19"/>
      <w:headerReference w:type="even" r:id="rId20"/>
      <w:footerReference w:type="even" r:id="rId21"/>
      <w:type w:val="nextPage"/>
      <w:pgSz w:h="16838" w:w="11906"/>
      <w:pgMar w:left="1984" w:top="1418" w:right="1134" w:bottom="1418" w:header="709" w:footer="709"/>
      <w:paperSrc w:first="0" w:other="0" a="0" b="0"/>
      <w:pgNumType w:fmt="decimal" w:start="1"/>
      <w:tmGutter w:val="1"/>
      <w:mirrorMargins w:val="1"/>
      <w:tmSection w:h="-1">
        <w:tmHeader w:id="0" w:h="0" edge="709" text="0">
          <w:shd w:val="none"/>
        </w:tmHeader>
        <w:tmFooter w:id="0" w:h="0" edge="709" text="0">
          <w:shd w:val="none"/>
        </w:tmFooter>
        <w:tmHeader w:id="1" w:h="0" edge="709" text="0">
          <w:shd w:val="none"/>
        </w:tmHeader>
        <w:tmFooter w:id="1" w:h="0" edge="709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Times New Roman">
    <w:charset w:val="00"/>
    <w:family w:val="auto"/>
    <w:pitch w:val="default"/>
  </w:font>
  <w:font w:name="Cambria">
    <w:charset w:val="00"/>
    <w:family w:val="auto"/>
    <w:pitch w:val="default"/>
  </w:font>
  <w:font w:name="Tahoma">
    <w:charset w:val="00"/>
    <w:family w:val="auto"/>
    <w:pitch w:val="default"/>
  </w:font>
  <w:font w:name="Calibri">
    <w:charset w:val="00"/>
    <w:family w:val="auto"/>
    <w:pitch w:val="default"/>
  </w:font>
  <w:font w:name="Lucida Grande">
    <w:charset w:val="00"/>
    <w:family w:val="auto"/>
    <w:pitch w:val="default"/>
  </w:font>
  <w:font w:name="Arial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32"/>
      <w:spacing w:after="0" w:line="240" w:lineRule="auto"/>
      <w:jc w:val="left"/>
      <w:tabs defTabSz="708">
        <w:tab w:val="right" w:pos="8731" w:leader="none"/>
      </w:tabs>
      <w:rPr>
        <w:rFonts w:ascii="Cambria" w:hAnsi="Cambria" w:eastAsia="Cambria"/>
        <w:color w:val="00998A"/>
        <w:sz w:val="24"/>
        <w:szCs w:val="24"/>
      </w:rPr>
    </w:pPr>
    <w:r>
      <w:rPr>
        <w:rFonts w:ascii="Cambria" w:hAnsi="Cambria" w:eastAsia="Cambria"/>
        <w:color w:val="717D87"/>
        <w:sz w:val="20"/>
        <w:szCs w:val="24"/>
      </w:rPr>
      <w:t>Dokumentation Psychologische Handlungskompetenz WS 2026/27</w:t>
      <w:tab/>
      <w:t xml:space="preserve"> </w:t>
    </w:r>
    <w:r>
      <w:rPr>
        <w:rFonts w:ascii="Cambria" w:hAnsi="Cambria" w:eastAsia="Cambria"/>
        <w:color w:val="00998A"/>
        <w:sz w:val="24"/>
        <w:szCs w:val="24"/>
      </w:rPr>
    </w:r>
    <w:r>
      <w:rPr>
        <w:rFonts w:ascii="Cambria" w:hAnsi="Cambria" w:eastAsia="Cambria"/>
        <w:color w:val="00998A"/>
        <w:sz w:val="24"/>
        <w:szCs w:val="24"/>
      </w:rPr>
      <w:fldChar w:fldCharType="begin"/>
      <w:instrText xml:space="preserve"> PAGE </w:instrText>
      <w:fldChar w:fldCharType="separate"/>
      <w:t>vi</w:t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32"/>
      <w:spacing w:after="0" w:line="240" w:lineRule="auto"/>
      <w:jc w:val="left"/>
      <w:tabs defTabSz="708">
        <w:tab w:val="right" w:pos="8731" w:leader="none"/>
      </w:tabs>
    </w:pPr>
    <w:r>
      <w:rPr>
        <w:color w:val="00998A"/>
        <w:sz w:val="22"/>
      </w:rPr>
    </w:r>
    <w:r>
      <w:rPr>
        <w:color w:val="00998A"/>
        <w:sz w:val="22"/>
      </w:rPr>
      <w:fldChar w:fldCharType="begin"/>
      <w:instrText xml:space="preserve"> PAGE </w:instrText>
      <w:fldChar w:fldCharType="separate"/>
      <w:t>v</w:t>
      <w:fldChar w:fldCharType="end"/>
    </w:r>
    <w:r>
      <w:tab/>
      <w:t>Dokumentation Psychologische Handlungskompetenz WS 2026/27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32"/>
      <w:spacing w:after="0" w:line="240" w:lineRule="auto"/>
      <w:jc w:val="left"/>
      <w:tabs defTabSz="708">
        <w:tab w:val="right" w:pos="8787" w:leader="none"/>
      </w:tabs>
    </w:pPr>
    <w:r>
      <w:t>Dokumentation Psychologische Handlungskompetenz WS 202627</w:t>
      <w:tab/>
    </w:r>
    <w:r>
      <w:rPr>
        <w:color w:val="00998A"/>
        <w:sz w:val="22"/>
      </w:rPr>
      <w:t xml:space="preserve">Seite </w:t>
    </w:r>
    <w:r>
      <w:rPr>
        <w:color w:val="00998A"/>
        <w:sz w:val="22"/>
      </w:rPr>
      <w:fldChar w:fldCharType="begin"/>
      <w:instrText xml:space="preserve"> PAGE </w:instrText>
      <w:fldChar w:fldCharType="separate"/>
      <w:t>1</w:t>
      <w:fldChar w:fldCharType="end"/>
    </w:r>
    <w:r/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32"/>
      <w:spacing w:after="0" w:line="240" w:lineRule="auto"/>
      <w:jc w:val="left"/>
      <w:tabs defTabSz="708">
        <w:tab w:val="right" w:pos="8787" w:leader="none"/>
      </w:tabs>
    </w:pPr>
    <w:r>
      <w:rPr>
        <w:color w:val="00998A"/>
        <w:sz w:val="22"/>
      </w:rPr>
      <w:t xml:space="preserve">Seite </w:t>
    </w:r>
    <w:r>
      <w:rPr>
        <w:color w:val="00998A"/>
        <w:sz w:val="22"/>
      </w:rPr>
      <w:fldChar w:fldCharType="begin"/>
      <w:instrText xml:space="preserve"> PAGE </w:instrText>
      <w:fldChar w:fldCharType="separate"/>
      <w:t>1</w:t>
      <w:fldChar w:fldCharType="end"/>
    </w:r>
    <w:r>
      <w:tab/>
      <w:t>Dokumentation Psychologische Handlungskompetenz WS 2026/27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ind w:right="-2"/>
      <w:spacing w:after="0" w:line="240" w:lineRule="auto"/>
      <w:jc w:val="right"/>
      <w:tabs defTabSz="708">
        <w:tab w:val="center" w:pos="4536" w:leader="none"/>
      </w:tabs>
      <w:rPr>
        <w:color w:val="717D87"/>
      </w:rPr>
    </w:pPr>
    <w:r>
      <w:rPr>
        <w:noProof/>
      </w:rPr>
      <w:drawing>
        <wp:anchor distT="89535" distB="89535" distL="89535" distR="89535" simplePos="0" relativeHeight="251659268" behindDoc="1" locked="0" layoutInCell="0" hidden="0" allowOverlap="1">
          <wp:simplePos x="0" y="0"/>
          <wp:positionH relativeFrom="page">
            <wp:posOffset>1238885</wp:posOffset>
          </wp:positionH>
          <wp:positionV relativeFrom="page">
            <wp:posOffset>683895</wp:posOffset>
          </wp:positionV>
          <wp:extent cx="5052695" cy="38100"/>
          <wp:effectExtent l="0" t="0" r="0" b="0"/>
          <wp:wrapNone/>
          <wp:docPr id="1028" name="Grafik292" descr="Grafik2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8" name="Grafik292" descr="Grafik270"/>
                  <pic:cNvPicPr>
                    <a:picLocks noChangeAspect="1"/>
                  </pic:cNvPicPr>
                </pic:nvPicPr>
                <pic:blipFill>
                  <a:blip r:embed="rId1">
                    <a:colorize val="10" sat="100" blend="0">
                      <a:clrTo>
                        <a:srgbClr val="7F7F7F"/>
                      </a:clrTo>
                    </a:coloriz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52695" cy="381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89535" distB="89535" distL="89535" distR="89535" simplePos="0" relativeHeight="251659269" behindDoc="0" locked="0" layoutInCell="0" hidden="0" allowOverlap="1">
          <wp:simplePos x="0" y="0"/>
          <wp:positionH relativeFrom="page">
            <wp:posOffset>6228080</wp:posOffset>
          </wp:positionH>
          <wp:positionV relativeFrom="page">
            <wp:posOffset>288290</wp:posOffset>
          </wp:positionV>
          <wp:extent cx="440055" cy="437515"/>
          <wp:effectExtent l="0" t="0" r="0" b="0"/>
          <wp:wrapSquare wrapText="bothSides"/>
          <wp:docPr id="1029" name="Grafik293" descr="Grafik2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9" name="Grafik293" descr="Grafik271"/>
                  <pic:cNvPicPr>
                    <a:picLocks noChangeAspect="1"/>
                  </pic:cNvPicPr>
                </pic:nvPicPr>
                <pic:blipFill>
                  <a:blip r:embed="rId2">
                    <a:colorize val="10" sat="100" blend="0">
                      <a:clrTo>
                        <a:srgbClr val="7F7F7F"/>
                      </a:clrTo>
                    </a:coloriz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0055" cy="43751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89535" distB="89535" distL="89535" distR="89535" simplePos="0" relativeHeight="251659270" behindDoc="0" locked="0" layoutInCell="0" hidden="0" allowOverlap="1">
          <wp:simplePos x="0" y="0"/>
          <wp:positionH relativeFrom="page">
            <wp:posOffset>1619885</wp:posOffset>
          </wp:positionH>
          <wp:positionV relativeFrom="page">
            <wp:posOffset>9972675</wp:posOffset>
          </wp:positionV>
          <wp:extent cx="5219700" cy="39370"/>
          <wp:effectExtent l="0" t="0" r="0" b="0"/>
          <wp:wrapSquare wrapText="bothSides"/>
          <wp:docPr id="1030" name="Grafik294" descr="Grafik2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Grafik294" descr="Grafik272"/>
                  <pic:cNvPicPr>
                    <a:picLocks noChangeAspect="1"/>
                  </pic:cNvPicPr>
                </pic:nvPicPr>
                <pic:blipFill>
                  <a:blip r:embed="rId3">
                    <a:colorize val="10" sat="100" blend="0">
                      <a:clrTo>
                        <a:srgbClr val="7F7F7F"/>
                      </a:clrTo>
                    </a:coloriz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19700" cy="393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color w:val="717D87"/>
      </w:rPr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ind w:right="-2"/>
      <w:spacing w:after="0" w:line="240" w:lineRule="auto"/>
      <w:jc w:val="right"/>
      <w:tabs defTabSz="708">
        <w:tab w:val="center" w:pos="4536" w:leader="none"/>
      </w:tabs>
      <w:rPr>
        <w:color w:val="717D87"/>
      </w:rPr>
    </w:pPr>
    <w:r>
      <w:rPr>
        <w:noProof/>
      </w:rPr>
      <w:drawing>
        <wp:anchor distT="89535" distB="89535" distL="89535" distR="89535" simplePos="0" relativeHeight="251659265" behindDoc="0" locked="0" layoutInCell="0" hidden="0" allowOverlap="1">
          <wp:simplePos x="0" y="0"/>
          <wp:positionH relativeFrom="page">
            <wp:posOffset>864235</wp:posOffset>
          </wp:positionH>
          <wp:positionV relativeFrom="page">
            <wp:posOffset>288290</wp:posOffset>
          </wp:positionV>
          <wp:extent cx="440055" cy="437515"/>
          <wp:effectExtent l="0" t="0" r="0" b="0"/>
          <wp:wrapNone/>
          <wp:docPr id="1025" name="Grafik289" descr="Grafik2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Grafik289" descr="Grafik267"/>
                  <pic:cNvPicPr>
                    <a:picLocks noChangeAspect="1"/>
                  </pic:cNvPicPr>
                </pic:nvPicPr>
                <pic:blipFill>
                  <a:blip r:embed="rId1">
                    <a:colorize val="10" sat="100" blend="0">
                      <a:clrTo>
                        <a:srgbClr val="7F7F7F"/>
                      </a:clrTo>
                    </a:coloriz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0055" cy="43751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89535" distB="89535" distL="89535" distR="89535" simplePos="0" relativeHeight="251659266" behindDoc="0" locked="0" layoutInCell="0" hidden="0" allowOverlap="1">
          <wp:simplePos x="0" y="0"/>
          <wp:positionH relativeFrom="page">
            <wp:posOffset>1281430</wp:posOffset>
          </wp:positionH>
          <wp:positionV relativeFrom="page">
            <wp:posOffset>683895</wp:posOffset>
          </wp:positionV>
          <wp:extent cx="5052695" cy="38100"/>
          <wp:effectExtent l="0" t="0" r="0" b="0"/>
          <wp:wrapSquare wrapText="bothSides"/>
          <wp:docPr id="1026" name="Grafik290" descr="Grafik2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Grafik290" descr="Grafik268"/>
                  <pic:cNvPicPr>
                    <a:picLocks noChangeAspect="1"/>
                  </pic:cNvPicPr>
                </pic:nvPicPr>
                <pic:blipFill>
                  <a:blip r:embed="rId2">
                    <a:colorize val="10" sat="100" blend="0">
                      <a:clrTo>
                        <a:srgbClr val="7F7F7F"/>
                      </a:clrTo>
                    </a:coloriz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52695" cy="381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89535" distB="89535" distL="89535" distR="89535" simplePos="0" relativeHeight="251659267" behindDoc="1" locked="0" layoutInCell="0" hidden="0" allowOverlap="1">
          <wp:simplePos x="0" y="0"/>
          <wp:positionH relativeFrom="page">
            <wp:posOffset>709295</wp:posOffset>
          </wp:positionH>
          <wp:positionV relativeFrom="page">
            <wp:posOffset>9972040</wp:posOffset>
          </wp:positionV>
          <wp:extent cx="5219700" cy="39370"/>
          <wp:effectExtent l="0" t="0" r="0" b="0"/>
          <wp:wrapNone/>
          <wp:docPr id="1027" name="Grafik291" descr="Grafik2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Grafik291" descr="Grafik269"/>
                  <pic:cNvPicPr>
                    <a:picLocks noChangeAspect="1"/>
                  </pic:cNvPicPr>
                </pic:nvPicPr>
                <pic:blipFill>
                  <a:blip r:embed="rId3">
                    <a:colorize val="10" sat="100" blend="0">
                      <a:clrTo>
                        <a:srgbClr val="7F7F7F"/>
                      </a:clrTo>
                    </a:coloriz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19700" cy="393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color w:val="717D87"/>
      </w:rPr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ind w:right="-2"/>
      <w:spacing w:after="0" w:line="240" w:lineRule="auto"/>
      <w:jc w:val="left"/>
      <w:tabs defTabSz="708">
        <w:tab w:val="center" w:pos="4536" w:leader="none"/>
      </w:tabs>
      <w:rPr>
        <w:color w:val="717D87"/>
      </w:rPr>
    </w:pPr>
    <w:r>
      <w:rPr>
        <w:noProof/>
      </w:rPr>
      <w:drawing>
        <wp:anchor distT="89535" distB="89535" distL="89535" distR="89535" simplePos="0" relativeHeight="251659274" behindDoc="1" locked="0" layoutInCell="0" hidden="0" allowOverlap="1">
          <wp:simplePos x="0" y="0"/>
          <wp:positionH relativeFrom="page">
            <wp:posOffset>1238885</wp:posOffset>
          </wp:positionH>
          <wp:positionV relativeFrom="page">
            <wp:posOffset>683895</wp:posOffset>
          </wp:positionV>
          <wp:extent cx="5052695" cy="38100"/>
          <wp:effectExtent l="0" t="0" r="0" b="0"/>
          <wp:wrapNone/>
          <wp:docPr id="1034" name="Grafik295" descr="Grafik2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4" name="Grafik295" descr="Grafik273"/>
                  <pic:cNvPicPr>
                    <a:picLocks noChangeAspect="1"/>
                  </pic:cNvPicPr>
                </pic:nvPicPr>
                <pic:blipFill>
                  <a:blip r:embed="rId1">
                    <a:colorize val="10" sat="100" blend="0">
                      <a:clrTo>
                        <a:srgbClr val="7F7F7F"/>
                      </a:clrTo>
                    </a:coloriz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52695" cy="381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89535" distB="89535" distL="89535" distR="89535" simplePos="0" relativeHeight="251659275" behindDoc="0" locked="0" layoutInCell="0" hidden="0" allowOverlap="1">
          <wp:simplePos x="0" y="0"/>
          <wp:positionH relativeFrom="page">
            <wp:posOffset>6216650</wp:posOffset>
          </wp:positionH>
          <wp:positionV relativeFrom="page">
            <wp:posOffset>247015</wp:posOffset>
          </wp:positionV>
          <wp:extent cx="440055" cy="437515"/>
          <wp:effectExtent l="0" t="0" r="0" b="0"/>
          <wp:wrapSquare wrapText="bothSides"/>
          <wp:docPr id="1035" name="Grafik296" descr="Grafik2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" name="Grafik296" descr="Grafik274"/>
                  <pic:cNvPicPr>
                    <a:picLocks noChangeAspect="1"/>
                  </pic:cNvPicPr>
                </pic:nvPicPr>
                <pic:blipFill>
                  <a:blip r:embed="rId2">
                    <a:colorize val="10" sat="100" blend="0">
                      <a:clrTo>
                        <a:srgbClr val="7F7F7F"/>
                      </a:clrTo>
                    </a:coloriz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0055" cy="43751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89535" distB="89535" distL="89535" distR="89535" simplePos="0" relativeHeight="251659276" behindDoc="0" locked="0" layoutInCell="0" hidden="0" allowOverlap="1">
          <wp:simplePos x="0" y="0"/>
          <wp:positionH relativeFrom="page">
            <wp:posOffset>1615440</wp:posOffset>
          </wp:positionH>
          <wp:positionV relativeFrom="page">
            <wp:posOffset>10008235</wp:posOffset>
          </wp:positionV>
          <wp:extent cx="5219700" cy="39370"/>
          <wp:effectExtent l="0" t="0" r="0" b="0"/>
          <wp:wrapSquare wrapText="bothSides"/>
          <wp:docPr id="1036" name="Grafik299" descr="Grafik2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6" name="Grafik299" descr="Grafik277"/>
                  <pic:cNvPicPr>
                    <a:picLocks noChangeAspect="1"/>
                  </pic:cNvPicPr>
                </pic:nvPicPr>
                <pic:blipFill>
                  <a:blip r:embed="rId3">
                    <a:colorize val="10" sat="100" blend="0">
                      <a:clrTo>
                        <a:srgbClr val="7F7F7F"/>
                      </a:clrTo>
                    </a:coloriz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19700" cy="393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rStyle w:val="char20"/>
        <w:rFonts w:ascii="Tahoma" w:hAnsi="Tahoma"/>
        <w:color w:val="00998A"/>
        <w:sz w:val="18"/>
        <w:szCs w:val="18"/>
      </w:rPr>
    </w:r>
    <w:r>
      <w:rPr>
        <w:rStyle w:val="char20"/>
        <w:rFonts w:ascii="Tahoma" w:hAnsi="Tahoma"/>
        <w:color w:val="00998A"/>
        <w:sz w:val="18"/>
        <w:szCs w:val="18"/>
      </w:rPr>
      <w:fldChar w:fldCharType="begin"/>
      <w:instrText xml:space="preserve"> STYLEREF "1" \n </w:instrText>
      <w:fldChar w:fldCharType="separate"/>
      <w:t>1</w:t>
      <w:fldChar w:fldCharType="end"/>
    </w:r>
    <w:r>
      <w:rPr>
        <w:rStyle w:val="char20"/>
        <w:rFonts w:ascii="Tahoma" w:hAnsi="Tahoma"/>
        <w:sz w:val="18"/>
        <w:szCs w:val="18"/>
      </w:rPr>
      <w:t xml:space="preserve"> </w:t>
    </w:r>
    <w:r>
      <w:rPr>
        <w:rStyle w:val="char20"/>
        <w:rFonts w:ascii="Tahoma" w:hAnsi="Tahoma"/>
        <w:color w:val="00998A"/>
        <w:sz w:val="20"/>
        <w:szCs w:val="18"/>
      </w:rPr>
      <w:t>|</w:t>
    </w:r>
    <w:r>
      <w:rPr>
        <w:rStyle w:val="char20"/>
        <w:rFonts w:ascii="Tahoma" w:hAnsi="Tahoma"/>
        <w:sz w:val="20"/>
        <w:szCs w:val="18"/>
      </w:rPr>
      <w:t xml:space="preserve"> </w:t>
    </w:r>
    <w:r>
      <w:rPr>
        <w:color w:val="auto"/>
      </w:rPr>
    </w:r>
    <w:r>
      <w:rPr>
        <w:color w:val="auto"/>
      </w:rPr>
      <w:fldChar w:fldCharType="begin"/>
      <w:instrText xml:space="preserve"> STYLEREF "1"  </w:instrText>
      <w:fldChar w:fldCharType="separate"/>
      <w:t>Psychologische Handlungskompetenz - eine Übersicht</w:t>
      <w:fldChar w:fldCharType="end"/>
    </w:r>
    <w:r>
      <w:rPr>
        <w:color w:val="717D87"/>
      </w:rPr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ind w:right="-2"/>
      <w:spacing w:after="0" w:line="240" w:lineRule="auto"/>
      <w:jc w:val="right"/>
      <w:tabs defTabSz="708">
        <w:tab w:val="center" w:pos="4536" w:leader="none"/>
      </w:tabs>
      <w:rPr>
        <w:color w:val="717D87"/>
      </w:rPr>
    </w:pPr>
    <w:r>
      <w:rPr>
        <w:noProof/>
      </w:rPr>
      <w:drawing>
        <wp:anchor distT="89535" distB="89535" distL="89535" distR="89535" simplePos="0" relativeHeight="251659271" behindDoc="0" locked="0" layoutInCell="0" hidden="0" allowOverlap="1">
          <wp:simplePos x="0" y="0"/>
          <wp:positionH relativeFrom="page">
            <wp:posOffset>908050</wp:posOffset>
          </wp:positionH>
          <wp:positionV relativeFrom="page">
            <wp:posOffset>274955</wp:posOffset>
          </wp:positionV>
          <wp:extent cx="440055" cy="437515"/>
          <wp:effectExtent l="0" t="0" r="0" b="0"/>
          <wp:wrapSquare wrapText="bothSides"/>
          <wp:docPr id="1031" name="Grafik297" descr="Grafik2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1" name="Grafik297" descr="Grafik275"/>
                  <pic:cNvPicPr>
                    <a:picLocks noChangeAspect="1"/>
                  </pic:cNvPicPr>
                </pic:nvPicPr>
                <pic:blipFill>
                  <a:blip r:embed="rId1">
                    <a:colorize val="10" sat="100" blend="0">
                      <a:clrTo>
                        <a:srgbClr val="7F7F7F"/>
                      </a:clrTo>
                    </a:coloriz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0055" cy="43751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89535" distB="89535" distL="89535" distR="89535" simplePos="0" relativeHeight="251659272" behindDoc="0" locked="0" layoutInCell="0" hidden="0" allowOverlap="1">
          <wp:simplePos x="0" y="0"/>
          <wp:positionH relativeFrom="page">
            <wp:posOffset>1249680</wp:posOffset>
          </wp:positionH>
          <wp:positionV relativeFrom="page">
            <wp:posOffset>720090</wp:posOffset>
          </wp:positionV>
          <wp:extent cx="5052695" cy="38100"/>
          <wp:effectExtent l="0" t="0" r="0" b="0"/>
          <wp:wrapSquare wrapText="bothSides"/>
          <wp:docPr id="1032" name="Grafik298" descr="Grafik2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2" name="Grafik298" descr="Grafik276"/>
                  <pic:cNvPicPr>
                    <a:picLocks noChangeAspect="1"/>
                  </pic:cNvPicPr>
                </pic:nvPicPr>
                <pic:blipFill>
                  <a:blip r:embed="rId2">
                    <a:colorize val="10" sat="100" blend="0">
                      <a:clrTo>
                        <a:srgbClr val="7F7F7F"/>
                      </a:clrTo>
                    </a:coloriz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52695" cy="381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89535" distB="89535" distL="89535" distR="89535" simplePos="0" relativeHeight="251659273" behindDoc="1" locked="0" layoutInCell="0" hidden="0" allowOverlap="1">
          <wp:simplePos x="0" y="0"/>
          <wp:positionH relativeFrom="page">
            <wp:posOffset>707390</wp:posOffset>
          </wp:positionH>
          <wp:positionV relativeFrom="page">
            <wp:posOffset>10006330</wp:posOffset>
          </wp:positionV>
          <wp:extent cx="5219700" cy="39370"/>
          <wp:effectExtent l="0" t="0" r="0" b="0"/>
          <wp:wrapNone/>
          <wp:docPr id="1033" name="Grafik300" descr="Grafik2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3" name="Grafik300" descr="Grafik278"/>
                  <pic:cNvPicPr>
                    <a:picLocks noChangeAspect="1"/>
                  </pic:cNvPicPr>
                </pic:nvPicPr>
                <pic:blipFill>
                  <a:blip r:embed="rId3">
                    <a:colorize val="10" sat="100" blend="0">
                      <a:clrTo>
                        <a:srgbClr val="7F7F7F"/>
                      </a:clrTo>
                    </a:coloriz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19700" cy="393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rStyle w:val="char20"/>
        <w:rFonts w:ascii="Tahoma" w:hAnsi="Tahoma"/>
        <w:color w:val="00998A"/>
        <w:sz w:val="18"/>
        <w:szCs w:val="18"/>
      </w:rPr>
    </w:r>
    <w:r>
      <w:rPr>
        <w:rStyle w:val="char20"/>
        <w:rFonts w:ascii="Tahoma" w:hAnsi="Tahoma"/>
        <w:color w:val="00998A"/>
        <w:sz w:val="18"/>
        <w:szCs w:val="18"/>
      </w:rPr>
      <w:fldChar w:fldCharType="begin"/>
      <w:instrText xml:space="preserve"> STYLEREF "1" \n </w:instrText>
      <w:fldChar w:fldCharType="separate"/>
      <w:t>Vorlagenverweis: Kein passender Text gefunden</w:t>
      <w:fldChar w:fldCharType="end"/>
    </w:r>
    <w:r>
      <w:rPr>
        <w:rStyle w:val="char20"/>
        <w:rFonts w:ascii="Tahoma" w:hAnsi="Tahoma"/>
        <w:sz w:val="18"/>
        <w:szCs w:val="18"/>
      </w:rPr>
      <w:t xml:space="preserve"> </w:t>
    </w:r>
    <w:r>
      <w:rPr>
        <w:rStyle w:val="char20"/>
        <w:rFonts w:ascii="Tahoma" w:hAnsi="Tahoma"/>
        <w:color w:val="00998A"/>
        <w:sz w:val="20"/>
        <w:szCs w:val="18"/>
      </w:rPr>
      <w:t>|</w:t>
    </w:r>
    <w:r>
      <w:rPr>
        <w:rStyle w:val="char20"/>
        <w:rFonts w:ascii="Tahoma" w:hAnsi="Tahoma"/>
        <w:sz w:val="20"/>
        <w:szCs w:val="18"/>
      </w:rPr>
      <w:t xml:space="preserve"> </w:t>
    </w:r>
    <w:r>
      <w:rPr>
        <w:color w:val="auto"/>
      </w:rPr>
    </w:r>
    <w:r>
      <w:rPr>
        <w:color w:val="auto"/>
      </w:rPr>
      <w:fldChar w:fldCharType="begin"/>
      <w:instrText xml:space="preserve"> STYLEREF "1"  </w:instrText>
      <w:fldChar w:fldCharType="separate"/>
      <w:t>Vorlagenverweis: Kein passender Text gefunden</w:t>
      <w:fldChar w:fldCharType="end"/>
    </w:r>
    <w:r>
      <w:rPr>
        <w:color w:val="717D87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  <w:tmUseOutlineLevel val="0"/>
  </w:abstractNum>
  <w:abstractNum w:abstractNumId="1">
    <w:multiLevelType w:val="singleLevel"/>
    <w:name w:val="Bullet 53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abstractNum w:abstractNumId="2">
    <w:multiLevelType w:val="hybridMultilevel"/>
    <w:name w:val="Nummerierungsliste 3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3">
    <w:multiLevelType w:val="hybridMultilevel"/>
    <w:name w:val="Nummerierungsliste 4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4">
    <w:multiLevelType w:val="hybridMultilevel"/>
    <w:name w:val="Nummerierungsliste 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5">
    <w:multiLevelType w:val="singleLevel"/>
    <w:name w:val="Bullet 42"/>
    <w:lvl w:ilvl="0">
      <w:start w:val="1"/>
      <w:numFmt w:val="decimal"/>
      <w:suff w:val="tab"/>
      <w:lvlText w:val="%1."/>
      <w:lvlJc w:val="left"/>
      <w:pPr>
        <w:ind w:left="0" w:hanging="0"/>
      </w:pPr>
    </w:lvl>
    <w:tmUseOutlineLevel val="0"/>
  </w:abstractNum>
  <w:abstractNum w:abstractNumId="6">
    <w:multiLevelType w:val="hybridMultilevel"/>
    <w:name w:val="Nummerierungsliste 182322222222"/>
    <w:lvl w:ilvl="0">
      <w:numFmt w:val="bullet"/>
      <w:suff w:val="tab"/>
      <w:lvlText w:val="o"/>
      <w:lvlJc w:val="left"/>
      <w:pPr>
        <w:ind w:left="360" w:hanging="0"/>
      </w:pPr>
      <w:rPr>
        <w:rFonts w:ascii="Courier New" w:hAnsi="Courier New" w:cs="Courier New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7">
    <w:multiLevelType w:val="hybridMultilevel"/>
    <w:name w:val="Nummerierungsliste 1823222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8">
    <w:multiLevelType w:val="hybridMultilevel"/>
    <w:name w:val="Nummerierungsliste 6"/>
    <w:lvl w:ilvl="0">
      <w:numFmt w:val="bullet"/>
      <w:suff w:val="tab"/>
      <w:lvlText w:val="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9">
    <w:multiLevelType w:val="hybridMultilevel"/>
    <w:name w:val="Nummerierungsliste 7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10">
    <w:multiLevelType w:val="hybridMultilevel"/>
    <w:name w:val="Nummerierungsliste 1823222_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9."/>
      <w:lvlJc w:val="left"/>
      <w:pPr>
        <w:ind w:left="6300" w:hanging="0"/>
      </w:pPr>
    </w:lvl>
    <w:tmUseOutlineLevel val="0"/>
  </w:abstractNum>
  <w:abstractNum w:abstractNumId="11">
    <w:multiLevelType w:val="singleLevel"/>
    <w:name w:val="Bullet 5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abstractNum w:abstractNumId="12">
    <w:multiLevelType w:val="singleLevel"/>
    <w:name w:val="Nummerierungsliste 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abstractNum w:abstractNumId="13">
    <w:multiLevelType w:val="hybridMultilevel"/>
    <w:name w:val="Nummerierungsliste 1823222_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14">
    <w:multiLevelType w:val="hybridMultilevel"/>
    <w:name w:val="Nummerierungsliste 9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15">
    <w:multiLevelType w:val="hybridMultilevel"/>
    <w:name w:val="Nummerierungsliste 10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16">
    <w:multiLevelType w:val="hybridMultilevel"/>
    <w:name w:val="Nummerierungsliste 1823222222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17">
    <w:multiLevelType w:val="hybridMultilevel"/>
    <w:name w:val="Nummerierungsliste 18232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18">
    <w:multiLevelType w:val="singleLevel"/>
    <w:name w:val="Bullet 4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abstractNum w:abstractNumId="19">
    <w:multiLevelType w:val="singleLevel"/>
    <w:name w:val="Bullet 5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abstractNum w:abstractNumId="20">
    <w:multiLevelType w:val="hybridMultilevel"/>
    <w:name w:val="Nummerierungsliste 11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21">
    <w:multiLevelType w:val="hybridMultilevel"/>
    <w:name w:val="Nummerierungsliste 1823222_3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22">
    <w:multiLevelType w:val="hybridMultilevel"/>
    <w:name w:val="Nummerierungsliste 18232222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23">
    <w:multiLevelType w:val="hybridMultilevel"/>
    <w:name w:val="Nummerierungsliste 13"/>
    <w:lvl w:ilvl="0">
      <w:numFmt w:val="bullet"/>
      <w:suff w:val="tab"/>
      <w:lvlText w:val="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24">
    <w:multiLevelType w:val="singleLevel"/>
    <w:name w:val="Bullet 48"/>
    <w:lvl w:ilvl="0">
      <w:start w:val="1"/>
      <w:numFmt w:val="decimal"/>
      <w:suff w:val="tab"/>
      <w:lvlText w:val="%1."/>
      <w:lvlJc w:val="left"/>
      <w:pPr>
        <w:ind w:left="0" w:hanging="0"/>
      </w:pPr>
    </w:lvl>
    <w:tmUseOutlineLevel val="0"/>
  </w:abstractNum>
  <w:abstractNum w:abstractNumId="25">
    <w:multiLevelType w:val="hybridMultilevel"/>
    <w:name w:val="Nummerierungsliste 182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26">
    <w:multiLevelType w:val="hybridMultilevel"/>
    <w:name w:val="Nummerierungsliste 182322222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27">
    <w:multiLevelType w:val="singleLevel"/>
    <w:name w:val="Bullet 47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abstractNum w:abstractNumId="28">
    <w:multiLevelType w:val="singleLevel"/>
    <w:name w:val="Bullet 57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abstractNum w:abstractNumId="29">
    <w:multiLevelType w:val="hybridMultilevel"/>
    <w:name w:val="Nummerierungsliste 1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72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44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16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288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60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32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04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5760" w:hanging="0"/>
      </w:pPr>
      <w:rPr>
        <w:rFonts w:ascii="Wingdings" w:hAnsi="Wingdings" w:eastAsia="Wingdings" w:cs="Wingdings"/>
      </w:rPr>
    </w:lvl>
    <w:tmUseOutlineLevel val="0"/>
  </w:abstractNum>
  <w:abstractNum w:abstractNumId="30">
    <w:multiLevelType w:val="hybridMultilevel"/>
    <w:name w:val="Nummerierungsliste 5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31">
    <w:multiLevelType w:val="hybridMultilevel"/>
    <w:name w:val="Nummerierungsliste 1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32">
    <w:multiLevelType w:val="hybridMultilevel"/>
    <w:name w:val="Nummerierungsliste 18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33">
    <w:multiLevelType w:val="hybridMultilevel"/>
    <w:name w:val="Nummerierungsliste 20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  <w:tmUseOutlineLevel val="0"/>
  </w:abstractNum>
  <w:abstractNum w:abstractNumId="34">
    <w:multiLevelType w:val="hybridMultilevel"/>
    <w:name w:val="Nummerierungsliste 22"/>
    <w:lvl w:ilvl="0">
      <w:numFmt w:val="bullet"/>
      <w:suff w:val="tab"/>
      <w:lvlText w:val=""/>
      <w:lvlJc w:val="left"/>
      <w:pPr>
        <w:ind w:left="0" w:hanging="0"/>
      </w:pPr>
      <w:rPr>
        <w:rFonts w:ascii="Wingdings" w:hAnsi="Wingdings" w:eastAsia="Wingdings" w:cs="Wingdings"/>
        <w:color w:val="00000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35">
    <w:multiLevelType w:val="hybridMultilevel"/>
    <w:name w:val="Nummerierungsliste 23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36">
    <w:multiLevelType w:val="hybridMultilevel"/>
    <w:name w:val="Nummerierungsliste 26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37">
    <w:multiLevelType w:val="hybridMultilevel"/>
    <w:name w:val="Nummerierungsliste 28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38">
    <w:multiLevelType w:val="hybridMultilevel"/>
    <w:name w:val="Nummerierungsliste 29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39">
    <w:multiLevelType w:val="hybridMultilevel"/>
    <w:name w:val="Nummerierungsliste 3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40">
    <w:multiLevelType w:val="hybridMultilevel"/>
    <w:name w:val="Nummerierungsliste 14"/>
    <w:lvl w:ilvl="0">
      <w:numFmt w:val="bullet"/>
      <w:suff w:val="tab"/>
      <w:lvlText w:val="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41">
    <w:multiLevelType w:val="singleLevel"/>
    <w:name w:val="Bullet 41"/>
    <w:lvl w:ilvl="0">
      <w:start w:val="1"/>
      <w:numFmt w:val="decimal"/>
      <w:suff w:val="tab"/>
      <w:lvlText w:val="%1."/>
      <w:lvlJc w:val="left"/>
      <w:pPr>
        <w:ind w:left="0" w:hanging="0"/>
      </w:pPr>
    </w:lvl>
    <w:tmUseOutlineLevel val="0"/>
  </w:abstractNum>
  <w:abstractNum w:abstractNumId="42">
    <w:multiLevelType w:val="hybridMultilevel"/>
    <w:name w:val="Nummerierungsliste 1822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43">
    <w:multiLevelType w:val="hybridMultilevel"/>
    <w:name w:val="Nummerierungsliste 1823222_4"/>
    <w:lvl w:ilvl="0">
      <w:start w:val="1"/>
      <w:numFmt w:val="decimal"/>
      <w:pStyle w:val="para1"/>
      <w:suff w:val="tab"/>
      <w:lvlText w:val="%1"/>
      <w:lvlJc w:val="left"/>
      <w:pPr>
        <w:ind w:left="0" w:hanging="0"/>
      </w:pPr>
    </w:lvl>
    <w:lvl w:ilvl="1">
      <w:start w:val="1"/>
      <w:numFmt w:val="decimal"/>
      <w:pStyle w:val="para2"/>
      <w:suff w:val="tab"/>
      <w:lvlText w:val="%1.%2"/>
      <w:lvlJc w:val="left"/>
      <w:pPr>
        <w:ind w:left="0" w:hanging="0"/>
      </w:pPr>
    </w:lvl>
    <w:lvl w:ilvl="2">
      <w:start w:val="1"/>
      <w:numFmt w:val="decimal"/>
      <w:pStyle w:val="para3"/>
      <w:suff w:val="tab"/>
      <w:lvlText w:val="%1.%2.%3"/>
      <w:lvlJc w:val="left"/>
      <w:pPr>
        <w:ind w:left="0" w:hanging="0"/>
      </w:pPr>
    </w:lvl>
    <w:lvl w:ilvl="3">
      <w:start w:val="1"/>
      <w:numFmt w:val="decimal"/>
      <w:pStyle w:val="para4"/>
      <w:suff w:val="tab"/>
      <w:lvlText w:val="%1.%2.%3.%4"/>
      <w:lvlJc w:val="left"/>
      <w:pPr>
        <w:ind w:left="0" w:hanging="0"/>
      </w:pPr>
    </w:lvl>
    <w:lvl w:ilvl="4">
      <w:start w:val="1"/>
      <w:numFmt w:val="decimal"/>
      <w:pStyle w:val="para5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pStyle w:val="para6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  <w:tmUseOutlineLevel val="1"/>
  </w:abstractNum>
  <w:abstractNum w:abstractNumId="44">
    <w:multiLevelType w:val="hybridMultilevel"/>
    <w:name w:val="Nummerierungsliste 1823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45">
    <w:multiLevelType w:val="singleLevel"/>
    <w:name w:val="Bullet 6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abstractNum w:abstractNumId="46">
    <w:multiLevelType w:val="hybridMultilevel"/>
    <w:name w:val="Nummerierungsliste 1823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47">
    <w:multiLevelType w:val="hybridMultilevel"/>
    <w:name w:val="Nummerierungsliste 1823222_5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48">
    <w:multiLevelType w:val="singleLevel"/>
    <w:name w:val="Bullet 43"/>
    <w:lvl w:ilvl="0">
      <w:start w:val="1"/>
      <w:numFmt w:val="decimal"/>
      <w:suff w:val="tab"/>
      <w:lvlText w:val="%1."/>
      <w:lvlJc w:val="left"/>
      <w:pPr>
        <w:ind w:left="0" w:hanging="0"/>
      </w:pPr>
    </w:lvl>
    <w:tmUseOutlineLevel val="0"/>
  </w:abstractNum>
  <w:abstractNum w:abstractNumId="49">
    <w:multiLevelType w:val="hybridMultilevel"/>
    <w:name w:val="Nummerierungsliste 182222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50">
    <w:multiLevelType w:val="hybridMultilevel"/>
    <w:name w:val="Nummerierungsliste 15"/>
    <w:lvl w:ilvl="0">
      <w:numFmt w:val="bullet"/>
      <w:suff w:val="tab"/>
      <w:lvlText w:val="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51">
    <w:multiLevelType w:val="hybridMultilevel"/>
    <w:name w:val="Nummerierungsliste 16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52">
    <w:multiLevelType w:val="hybridMultilevel"/>
    <w:name w:val="Nummerierungsliste 182322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53">
    <w:multiLevelType w:val="singleLevel"/>
    <w:name w:val="Bullet 44"/>
    <w:lvl w:ilvl="0">
      <w:start w:val="1"/>
      <w:numFmt w:val="decimal"/>
      <w:suff w:val="tab"/>
      <w:lvlText w:val="%1."/>
      <w:lvlJc w:val="left"/>
      <w:pPr>
        <w:ind w:left="0" w:hanging="0"/>
      </w:pPr>
    </w:lvl>
    <w:tmUseOutlineLevel val="0"/>
  </w:abstractNum>
  <w:abstractNum w:abstractNumId="54">
    <w:multiLevelType w:val="singleLevel"/>
    <w:name w:val="Bullet 49"/>
    <w:lvl w:ilvl="0">
      <w:start w:val="1"/>
      <w:numFmt w:val="decimal"/>
      <w:suff w:val="tab"/>
      <w:lvlText w:val="%1."/>
      <w:lvlJc w:val="left"/>
      <w:pPr>
        <w:ind w:left="0" w:hanging="0"/>
      </w:pPr>
    </w:lvl>
    <w:tmUseOutlineLevel val="0"/>
  </w:abstractNum>
  <w:abstractNum w:abstractNumId="55">
    <w:multiLevelType w:val="singleLevel"/>
    <w:name w:val="Bullet 52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abstractNum w:abstractNumId="56">
    <w:multiLevelType w:val="hybridMultilevel"/>
    <w:name w:val="Nummerierungsliste 18222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57">
    <w:multiLevelType w:val="hybridMultilevel"/>
    <w:name w:val="Nummerierungsliste 33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  <w:tmUseOutlineLevel val="0"/>
  </w:abstractNum>
  <w:abstractNum w:abstractNumId="58">
    <w:multiLevelType w:val="singleLevel"/>
    <w:name w:val="Bullet 5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abstractNum w:abstractNumId="59">
    <w:multiLevelType w:val="singleLevel"/>
    <w:name w:val="Bullet 59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abstractNum w:abstractNumId="60">
    <w:multiLevelType w:val="hybridMultilevel"/>
    <w:name w:val="Bullet 6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lvl w:ilvl="1">
      <w:numFmt w:val="bullet"/>
      <w:pStyle w:val="para17"/>
      <w:suff w:val="tab"/>
      <w:lvlText w:val=""/>
      <w:lvlJc w:val="left"/>
      <w:pPr>
        <w:ind w:left="340" w:hanging="0"/>
      </w:pPr>
      <w:rPr>
        <w:rFonts w:ascii="Wingdings" w:hAnsi="Wingdings" w:eastAsia="Wingdings" w:cs="Wingdings"/>
      </w:rPr>
    </w:lvl>
    <w:lvl w:ilvl="2">
      <w:numFmt w:val="bullet"/>
      <w:suff w:val="tab"/>
      <w:lvlText w:val=""/>
      <w:lvlJc w:val="left"/>
      <w:pPr>
        <w:ind w:left="283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"/>
      <w:lvlJc w:val="left"/>
      <w:pPr>
        <w:ind w:left="425" w:hanging="0"/>
      </w:pPr>
      <w:rPr>
        <w:rFonts w:ascii="Wingdings" w:hAnsi="Wingdings" w:eastAsia="Wingdings" w:cs="Wingdings"/>
      </w:rPr>
    </w:lvl>
    <w:lvl w:ilvl="4">
      <w:numFmt w:val="bullet"/>
      <w:suff w:val="tab"/>
      <w:lvlText w:val=""/>
      <w:lvlJc w:val="left"/>
      <w:pPr>
        <w:ind w:left="567" w:hanging="0"/>
      </w:pPr>
      <w:rPr>
        <w:rFonts w:ascii="Wingdings" w:hAnsi="Wingdings" w:eastAsia="Wingdings" w:cs="Wingdings"/>
      </w:rPr>
    </w:lvl>
    <w:lvl w:ilvl="5">
      <w:numFmt w:val="bullet"/>
      <w:suff w:val="tab"/>
      <w:lvlText w:val=""/>
      <w:lvlJc w:val="left"/>
      <w:pPr>
        <w:ind w:left="708" w:hanging="0"/>
      </w:pPr>
      <w:rPr>
        <w:rFonts w:ascii="Wingdings" w:hAnsi="Wingdings" w:eastAsia="Wingdings" w:cs="Wingdings"/>
      </w:rPr>
    </w:lvl>
    <w:lvl w:ilvl="6">
      <w:start w:val="0"/>
      <mc:AlternateContent>
        <mc:Choice Requires="w14">
          <w:numFmt w:val="custom" w:format="00001, 00002, 00003, ..."/>
        </mc:Choice>
        <mc:Fallback>
          <w:numFmt w:val="decimal"/>
        </mc:Fallback>
      </mc:AlternateContent>
      <w:suff w:val="tab"/>
      <w:lvlText w:val=""/>
      <w:lvlJc w:val="left"/>
      <w:pPr>
        <w:ind w:left="850" w:hanging="0"/>
      </w:pPr>
    </w:lvl>
    <w:lvl w:ilvl="7">
      <w:numFmt w:val="bullet"/>
      <w:suff w:val="tab"/>
      <w:lvlText w:val=""/>
      <w:lvlJc w:val="left"/>
      <w:pPr>
        <w:ind w:left="992" w:hanging="0"/>
      </w:pPr>
      <w:rPr>
        <w:rFonts w:ascii="Wingdings" w:hAnsi="Wingdings" w:eastAsia="Wingdings" w:cs="Wingdings"/>
      </w:rPr>
    </w:lvl>
    <w:lvl w:ilvl="8">
      <w:numFmt w:val="bullet"/>
      <w:suff w:val="tab"/>
      <w:lvlText w:val=""/>
      <w:lvlJc w:val="left"/>
      <w:pPr>
        <w:ind w:left="1134" w:hanging="0"/>
      </w:pPr>
      <w:rPr>
        <w:rFonts w:ascii="Wingdings" w:hAnsi="Wingdings" w:eastAsia="Wingdings" w:cs="Wingdings"/>
      </w:rPr>
    </w:lvl>
    <w:tmUseOutlineLevel val="0"/>
  </w:abstractNum>
  <w:abstractNum w:abstractNumId="61">
    <w:multiLevelType w:val="singleLevel"/>
    <w:name w:val="Bullet 60"/>
    <w:lvl w:ilvl="0">
      <w:numFmt w:val="bullet"/>
      <w:pStyle w:val="para28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abstractNum w:abstractNumId="62">
    <w:multiLevelType w:val="singleLevel"/>
    <w:name w:val="Bullet 63"/>
    <w:lvl w:ilvl="0">
      <w:start w:val="1"/>
      <w:numFmt w:val="decimal"/>
      <w:pStyle w:val="para30"/>
      <w:suff w:val="tab"/>
      <w:lvlText w:val="%1."/>
      <w:lvlJc w:val="left"/>
      <w:pPr>
        <w:ind w:left="0" w:hanging="0"/>
      </w:pPr>
    </w:lvl>
    <w:tmUseOutlineLevel val="0"/>
  </w:abstractNum>
  <w:abstractNum w:abstractNumId="63">
    <w:multiLevelType w:val="singleLevel"/>
    <w:name w:val="Bullet 63_1"/>
    <w:lvl w:ilvl="0">
      <w:start w:val="1"/>
      <w:numFmt w:val="decimal"/>
      <w:pStyle w:val="para29"/>
      <w:suff w:val="tab"/>
      <w:lvlText w:val="%1."/>
      <w:lvlJc w:val="left"/>
      <w:pPr>
        <w:ind w:left="0" w:hanging="0"/>
      </w:pPr>
    </w:lvl>
    <w:tmUseOutlineLevel val="0"/>
  </w:abstractNum>
  <w:abstractNum w:abstractNumId="64">
    <w:multiLevelType w:val="singleLevel"/>
    <w:name w:val="Bullet 64"/>
    <w:lvl w:ilvl="0">
      <w:start w:val="1"/>
      <w:numFmt w:val="decimal"/>
      <w:suff w:val="tab"/>
      <w:lvlText w:val="%1."/>
      <w:lvlJc w:val="left"/>
      <w:pPr>
        <w:ind w:left="0" w:hanging="0"/>
      </w:pPr>
    </w:lvl>
    <w:tmUseOutlineLevel val="0"/>
  </w:abstractNum>
  <w:abstractNum w:abstractNumId="65">
    <w:multiLevelType w:val="hybridMultilevel"/>
    <w:name w:val="Nummerierungsliste 49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pStyle w:val="para33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97"/>
  <w:view w:val="print"/>
  <w:defaultTabStop w:val="708"/>
  <w:evenAndOddHeaders/>
  <w:mirrorMargins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3313"/>
    <o:shapelayout v:ext="edit">
      <o:rules v:ext="edit"/>
    </o:shapelayout>
  </w:shapeDefaults>
  <w:tmPrefOne w:val="17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29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6"/>
    <w:tmLastPosSelect w:val="0"/>
    <w:tmLastPosFrameIdx w:val="0"/>
    <w:tmLastPosCaret>
      <w:tmLastPosPgfIdx w:val="23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92562858" w:val="1504" w:fileVer="343" w:fileVer64="64" w:fileVerOS="1"/>
  <w:guidesAndGrid showGuides="1" lockGuides="0" snapToGuides="1" snapToPageMargins="0" snapToOtherObjects="1" tolerance="8" gridDistanceHorizontal="283" gridDistanceVertical="283" showGrid="0" snapToGrid="0"/>
  <w:pdfExportOpt pagesRangeIndex="2" pagesSelectionIndex="0" qualityIndex="1" embedFonts="2" pdfaType="0" useJpegs="0" useSubsetFonts="1" useAlpha="1" relativeLinks="0" useInteractiveForms="0" taggedPdf="1" pane="0" zoom="0" zoomScale="100" layout="0" includeDoc="0" viewFlags="0" openViewer="1" jpegQuality="90" flags="252" tocGen="0" tocLevels="9" exportComments="0" exportChanges="0" dpi="0" resample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3"/>
      </w:numPr>
      <w:ind w:left="432" w:hanging="432"/>
      <w:spacing w:before="200" w:after="100" w:line="264" w:lineRule="auto"/>
      <w:jc w:val="left"/>
      <w:keepNext/>
      <w:outlineLvl w:val="0"/>
      <w:keepLines/>
    </w:pPr>
    <w:rPr>
      <w:rFonts w:eastAsia="Tahoma" w:cs="Tahoma"/>
      <w:color w:val="007F7F"/>
      <w:sz w:val="28"/>
      <w:szCs w:val="28"/>
      <w:lang w:eastAsia="de-de" w:bidi="de-de"/>
    </w:rPr>
  </w:style>
  <w:style w:type="paragraph" w:styleId="para2">
    <w:name w:val="heading 2"/>
    <w:qFormat/>
    <w:basedOn w:val="para0"/>
    <w:next w:val="para0"/>
    <w:pPr>
      <w:numPr>
        <w:ilvl w:val="1"/>
        <w:numId w:val="43"/>
      </w:numPr>
      <w:ind w:left="576" w:hanging="576"/>
      <w:spacing w:before="240" w:after="100" w:line="264" w:lineRule="auto"/>
      <w:jc w:val="left"/>
      <w:keepNext/>
      <w:outlineLvl w:val="1"/>
      <w:keepLines/>
    </w:pPr>
    <w:rPr>
      <w:rFonts w:eastAsia="Tahoma" w:cs="Tahoma"/>
      <w:color w:val="007F7F"/>
      <w:sz w:val="24"/>
      <w:szCs w:val="24"/>
      <w:lang w:eastAsia="de-de" w:bidi="de-de"/>
    </w:rPr>
  </w:style>
  <w:style w:type="paragraph" w:styleId="para3">
    <w:name w:val="heading 3"/>
    <w:qFormat/>
    <w:basedOn w:val="para0"/>
    <w:next w:val="para0"/>
    <w:pPr>
      <w:numPr>
        <w:ilvl w:val="2"/>
        <w:numId w:val="43"/>
      </w:numPr>
      <w:ind w:left="720" w:hanging="720"/>
      <w:spacing w:before="240" w:after="100" w:line="264" w:lineRule="auto"/>
      <w:jc w:val="left"/>
      <w:keepNext/>
      <w:outlineLvl w:val="2"/>
      <w:keepLines/>
    </w:pPr>
    <w:rPr>
      <w:rFonts w:eastAsia="Tahoma" w:cs="Tahoma"/>
      <w:color w:val="007F7F"/>
      <w:sz w:val="22"/>
      <w:szCs w:val="22"/>
      <w:lang w:eastAsia="de-de" w:bidi="de-de"/>
    </w:rPr>
  </w:style>
  <w:style w:type="paragraph" w:styleId="para4">
    <w:name w:val="heading 4"/>
    <w:qFormat/>
    <w:basedOn w:val="para0"/>
    <w:next w:val="para0"/>
    <w:pPr>
      <w:numPr>
        <w:ilvl w:val="3"/>
        <w:numId w:val="43"/>
      </w:numPr>
      <w:ind w:left="1077" w:hanging="1077"/>
      <w:spacing w:before="240" w:after="100" w:line="264" w:lineRule="auto"/>
      <w:keepNext/>
      <w:outlineLvl w:val="3"/>
      <w:keepLines/>
    </w:pPr>
    <w:rPr>
      <w:rFonts w:eastAsia="Tahoma" w:cs="Tahoma"/>
      <w:color w:val="007F7F"/>
      <w:sz w:val="20"/>
      <w:szCs w:val="20"/>
      <w:lang w:eastAsia="de-de" w:bidi="de-de"/>
    </w:rPr>
  </w:style>
  <w:style w:type="paragraph" w:styleId="para5">
    <w:name w:val="heading 5"/>
    <w:qFormat/>
    <w:basedOn w:val="para0"/>
    <w:next w:val="para0"/>
    <w:pPr>
      <w:numPr>
        <w:ilvl w:val="4"/>
        <w:numId w:val="43"/>
      </w:numPr>
      <w:ind w:left="1134" w:hanging="1134"/>
      <w:spacing w:before="200" w:after="100" w:line="264" w:lineRule="auto"/>
      <w:keepNext/>
      <w:outlineLvl w:val="4"/>
      <w:keepLines/>
    </w:pPr>
    <w:rPr>
      <w:rFonts w:eastAsia="Tahoma" w:cs="Tahoma"/>
      <w:color w:val="007F7F"/>
      <w:sz w:val="20"/>
      <w:szCs w:val="20"/>
      <w:lang w:eastAsia="de-de" w:bidi="de-de"/>
    </w:rPr>
  </w:style>
  <w:style w:type="paragraph" w:styleId="para6">
    <w:name w:val="heading 6"/>
    <w:qFormat/>
    <w:basedOn w:val="para0"/>
    <w:next w:val="para0"/>
    <w:pPr>
      <w:numPr>
        <w:ilvl w:val="5"/>
        <w:numId w:val="43"/>
      </w:numPr>
      <w:ind w:left="1152" w:hanging="1152"/>
      <w:spacing w:before="200" w:after="100" w:line="264" w:lineRule="auto"/>
      <w:keepNext/>
      <w:outlineLvl w:val="5"/>
      <w:keepLines/>
    </w:pPr>
    <w:rPr>
      <w:rFonts w:eastAsia="Tahoma" w:cs="Tahoma"/>
      <w:i/>
      <w:iCs/>
      <w:color w:val="007F7F"/>
      <w:sz w:val="22"/>
      <w:szCs w:val="22"/>
      <w:lang w:eastAsia="de-de" w:bidi="de-de"/>
    </w:rPr>
  </w:style>
  <w:style w:type="paragraph" w:styleId="para7">
    <w:name w:val="heading 7"/>
    <w:qFormat/>
    <w:basedOn w:val="para0"/>
    <w:next w:val="para0"/>
    <w:pPr>
      <w:ind w:left="1296" w:hanging="1296"/>
      <w:spacing w:before="200" w:after="0" w:line="264" w:lineRule="auto"/>
      <w:keepNext/>
      <w:outlineLvl w:val="6"/>
      <w:keepLines/>
    </w:pPr>
    <w:rPr>
      <w:rFonts w:eastAsia="Tahoma" w:cs="Tahoma"/>
      <w:i/>
      <w:iCs/>
      <w:color w:val="404040"/>
      <w:sz w:val="22"/>
      <w:szCs w:val="22"/>
    </w:rPr>
  </w:style>
  <w:style w:type="paragraph" w:styleId="para8">
    <w:name w:val="heading 8"/>
    <w:qFormat/>
    <w:basedOn w:val="para0"/>
    <w:next w:val="para0"/>
    <w:pPr>
      <w:ind w:left="1440" w:hanging="1440"/>
      <w:spacing w:before="200" w:after="0" w:line="264" w:lineRule="auto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ind w:left="1584" w:hanging="1584"/>
      <w:spacing w:before="200" w:after="0" w:line="264" w:lineRule="auto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60"/>
      </w:numPr>
      <w:ind w:left="397" w:hanging="197"/>
      <w:spacing w:after="100" w:line="264" w:lineRule="auto"/>
      <w:jc w:val="left"/>
    </w:pPr>
    <w:rPr>
      <w:rFonts w:eastAsia="Times New Roman" w:cs="Tahoma"/>
      <w:color w:val="000000"/>
      <w:sz w:val="22"/>
      <w:szCs w:val="22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850" w:leader="none"/>
        <w:tab w:val="right" w:pos="9056" w:leader="dot"/>
      </w:tabs>
    </w:p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417" w:leader="none"/>
        <w:tab w:val="right" w:pos="9056" w:leader="dot"/>
      </w:tabs>
    </w:pPr>
  </w:style>
  <w:style w:type="paragraph" w:styleId="para22">
    <w:name w:val="toc 4"/>
    <w:qFormat/>
    <w:basedOn w:val="para0"/>
    <w:next w:val="para0"/>
    <w:pPr>
      <w:ind w:left="1276"/>
      <w:spacing w:after="80"/>
      <w:tabs defTabSz="708">
        <w:tab w:val="left" w:pos="1985" w:leader="none"/>
        <w:tab w:val="right" w:pos="9056" w:leader="dot"/>
      </w:tabs>
    </w:pPr>
  </w:style>
  <w:style w:type="paragraph" w:styleId="para23">
    <w:name w:val="toc 5"/>
    <w:qFormat/>
    <w:basedOn w:val="para0"/>
    <w:next w:val="para0"/>
    <w:pPr>
      <w:ind w:left="1985"/>
      <w:tabs defTabSz="708">
        <w:tab w:val="left" w:pos="2835" w:leader="none"/>
        <w:tab w:val="right" w:pos="9056" w:leader="dot"/>
      </w:tabs>
    </w:pPr>
  </w:style>
  <w:style w:type="paragraph" w:styleId="para24">
    <w:name w:val="toc 6"/>
    <w:qFormat/>
    <w:basedOn w:val="para0"/>
    <w:next w:val="para0"/>
    <w:pPr>
      <w:ind w:left="900"/>
    </w:p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0"/>
        <w:numId w:val="61"/>
      </w:numPr>
      <w:ind w:left="454" w:hanging="284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63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62"/>
      </w:numPr>
      <w:ind w:left="340" w:hanging="283"/>
      <w:contextualSpacing/>
    </w:pPr>
  </w:style>
  <w:style w:type="paragraph" w:styleId="para31" w:customStyle="1">
    <w:name w:val="Bullet 5 pt Ebene 2"/>
    <w:qFormat/>
    <w:basedOn w:val="para17"/>
    <w:pPr>
      <w:ind w:left="680"/>
    </w:pPr>
  </w:style>
  <w:style w:type="paragraph" w:styleId="para32" w:customStyle="1">
    <w:name w:val="u_Fußzeile"/>
    <w:qFormat/>
    <w:basedOn w:val="para0"/>
    <w:pPr>
      <w:spacing/>
      <w:jc w:val="right"/>
    </w:pPr>
    <w:rPr>
      <w:color w:val="717D87"/>
      <w:sz w:val="20"/>
    </w:rPr>
  </w:style>
  <w:style w:type="paragraph" w:styleId="para33" w:customStyle="1">
    <w:name w:val="Bullet Ebene 2 5 pt"/>
    <w:qFormat/>
    <w:basedOn w:val="para12"/>
    <w:pPr>
      <w:numPr>
        <w:ilvl w:val="1"/>
        <w:numId w:val="65"/>
      </w:numPr>
      <w:ind w:left="680" w:hanging="226"/>
      <w:spacing w:after="40"/>
      <w:jc w:val="left"/>
    </w:pPr>
  </w:style>
  <w:style w:type="paragraph" w:styleId="para34">
    <w:name w:val="Title"/>
    <w:qFormat/>
    <w:basedOn w:val="para0"/>
    <w:next w:val="para0"/>
    <w:pPr>
      <w:spacing w:after="100" w:line="312" w:lineRule="auto"/>
      <w:jc w:val="right"/>
    </w:pPr>
    <w:rPr>
      <w:rFonts w:ascii="Arial" w:hAnsi="Arial" w:eastAsia="Arial" w:cs="Arial"/>
      <w:b/>
      <w:color w:val="00998A"/>
      <w:sz w:val="48"/>
      <w:szCs w:val="22"/>
    </w:r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character" w:styleId="char19">
    <w:name w:val="Hyperlink"/>
    <w:rPr>
      <w:color w:val="0000FF" w:themeColor="hlink"/>
      <w:u w:color="auto" w:val="single"/>
    </w:rPr>
  </w:style>
  <w:style w:type="character" w:styleId="char20" w:customStyle="1">
    <w:name w:val="u_Kopfzeile Zchn"/>
    <w:basedOnNormal/>
    <w:rPr>
      <w:color w:val="auto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3"/>
      </w:numPr>
      <w:ind w:left="432" w:hanging="432"/>
      <w:spacing w:before="200" w:after="100" w:line="264" w:lineRule="auto"/>
      <w:jc w:val="left"/>
      <w:keepNext/>
      <w:outlineLvl w:val="0"/>
      <w:keepLines/>
    </w:pPr>
    <w:rPr>
      <w:rFonts w:eastAsia="Tahoma" w:cs="Tahoma"/>
      <w:color w:val="007F7F"/>
      <w:sz w:val="28"/>
      <w:szCs w:val="28"/>
      <w:lang w:eastAsia="de-de" w:bidi="de-de"/>
    </w:rPr>
  </w:style>
  <w:style w:type="paragraph" w:styleId="para2">
    <w:name w:val="heading 2"/>
    <w:qFormat/>
    <w:basedOn w:val="para0"/>
    <w:next w:val="para0"/>
    <w:pPr>
      <w:numPr>
        <w:ilvl w:val="1"/>
        <w:numId w:val="43"/>
      </w:numPr>
      <w:ind w:left="576" w:hanging="576"/>
      <w:spacing w:before="240" w:after="100" w:line="264" w:lineRule="auto"/>
      <w:jc w:val="left"/>
      <w:keepNext/>
      <w:outlineLvl w:val="1"/>
      <w:keepLines/>
    </w:pPr>
    <w:rPr>
      <w:rFonts w:eastAsia="Tahoma" w:cs="Tahoma"/>
      <w:color w:val="007F7F"/>
      <w:sz w:val="24"/>
      <w:szCs w:val="24"/>
      <w:lang w:eastAsia="de-de" w:bidi="de-de"/>
    </w:rPr>
  </w:style>
  <w:style w:type="paragraph" w:styleId="para3">
    <w:name w:val="heading 3"/>
    <w:qFormat/>
    <w:basedOn w:val="para0"/>
    <w:next w:val="para0"/>
    <w:pPr>
      <w:numPr>
        <w:ilvl w:val="2"/>
        <w:numId w:val="43"/>
      </w:numPr>
      <w:ind w:left="720" w:hanging="720"/>
      <w:spacing w:before="240" w:after="100" w:line="264" w:lineRule="auto"/>
      <w:jc w:val="left"/>
      <w:keepNext/>
      <w:outlineLvl w:val="2"/>
      <w:keepLines/>
    </w:pPr>
    <w:rPr>
      <w:rFonts w:eastAsia="Tahoma" w:cs="Tahoma"/>
      <w:color w:val="007F7F"/>
      <w:sz w:val="22"/>
      <w:szCs w:val="22"/>
      <w:lang w:eastAsia="de-de" w:bidi="de-de"/>
    </w:rPr>
  </w:style>
  <w:style w:type="paragraph" w:styleId="para4">
    <w:name w:val="heading 4"/>
    <w:qFormat/>
    <w:basedOn w:val="para0"/>
    <w:next w:val="para0"/>
    <w:pPr>
      <w:numPr>
        <w:ilvl w:val="3"/>
        <w:numId w:val="43"/>
      </w:numPr>
      <w:ind w:left="1077" w:hanging="1077"/>
      <w:spacing w:before="240" w:after="100" w:line="264" w:lineRule="auto"/>
      <w:keepNext/>
      <w:outlineLvl w:val="3"/>
      <w:keepLines/>
    </w:pPr>
    <w:rPr>
      <w:rFonts w:eastAsia="Tahoma" w:cs="Tahoma"/>
      <w:color w:val="007F7F"/>
      <w:sz w:val="20"/>
      <w:szCs w:val="20"/>
      <w:lang w:eastAsia="de-de" w:bidi="de-de"/>
    </w:rPr>
  </w:style>
  <w:style w:type="paragraph" w:styleId="para5">
    <w:name w:val="heading 5"/>
    <w:qFormat/>
    <w:basedOn w:val="para0"/>
    <w:next w:val="para0"/>
    <w:pPr>
      <w:numPr>
        <w:ilvl w:val="4"/>
        <w:numId w:val="43"/>
      </w:numPr>
      <w:ind w:left="1134" w:hanging="1134"/>
      <w:spacing w:before="200" w:after="100" w:line="264" w:lineRule="auto"/>
      <w:keepNext/>
      <w:outlineLvl w:val="4"/>
      <w:keepLines/>
    </w:pPr>
    <w:rPr>
      <w:rFonts w:eastAsia="Tahoma" w:cs="Tahoma"/>
      <w:color w:val="007F7F"/>
      <w:sz w:val="20"/>
      <w:szCs w:val="20"/>
      <w:lang w:eastAsia="de-de" w:bidi="de-de"/>
    </w:rPr>
  </w:style>
  <w:style w:type="paragraph" w:styleId="para6">
    <w:name w:val="heading 6"/>
    <w:qFormat/>
    <w:basedOn w:val="para0"/>
    <w:next w:val="para0"/>
    <w:pPr>
      <w:numPr>
        <w:ilvl w:val="5"/>
        <w:numId w:val="43"/>
      </w:numPr>
      <w:ind w:left="1152" w:hanging="1152"/>
      <w:spacing w:before="200" w:after="100" w:line="264" w:lineRule="auto"/>
      <w:keepNext/>
      <w:outlineLvl w:val="5"/>
      <w:keepLines/>
    </w:pPr>
    <w:rPr>
      <w:rFonts w:eastAsia="Tahoma" w:cs="Tahoma"/>
      <w:i/>
      <w:iCs/>
      <w:color w:val="007F7F"/>
      <w:sz w:val="22"/>
      <w:szCs w:val="22"/>
      <w:lang w:eastAsia="de-de" w:bidi="de-de"/>
    </w:rPr>
  </w:style>
  <w:style w:type="paragraph" w:styleId="para7">
    <w:name w:val="heading 7"/>
    <w:qFormat/>
    <w:basedOn w:val="para0"/>
    <w:next w:val="para0"/>
    <w:pPr>
      <w:ind w:left="1296" w:hanging="1296"/>
      <w:spacing w:before="200" w:after="0" w:line="264" w:lineRule="auto"/>
      <w:keepNext/>
      <w:outlineLvl w:val="6"/>
      <w:keepLines/>
    </w:pPr>
    <w:rPr>
      <w:rFonts w:eastAsia="Tahoma" w:cs="Tahoma"/>
      <w:i/>
      <w:iCs/>
      <w:color w:val="404040"/>
      <w:sz w:val="22"/>
      <w:szCs w:val="22"/>
    </w:rPr>
  </w:style>
  <w:style w:type="paragraph" w:styleId="para8">
    <w:name w:val="heading 8"/>
    <w:qFormat/>
    <w:basedOn w:val="para0"/>
    <w:next w:val="para0"/>
    <w:pPr>
      <w:ind w:left="1440" w:hanging="1440"/>
      <w:spacing w:before="200" w:after="0" w:line="264" w:lineRule="auto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ind w:left="1584" w:hanging="1584"/>
      <w:spacing w:before="200" w:after="0" w:line="264" w:lineRule="auto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60"/>
      </w:numPr>
      <w:ind w:left="397" w:hanging="197"/>
      <w:spacing w:after="100" w:line="264" w:lineRule="auto"/>
      <w:jc w:val="left"/>
    </w:pPr>
    <w:rPr>
      <w:rFonts w:eastAsia="Times New Roman" w:cs="Tahoma"/>
      <w:color w:val="000000"/>
      <w:sz w:val="22"/>
      <w:szCs w:val="22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850" w:leader="none"/>
        <w:tab w:val="right" w:pos="9056" w:leader="dot"/>
      </w:tabs>
    </w:p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417" w:leader="none"/>
        <w:tab w:val="right" w:pos="9056" w:leader="dot"/>
      </w:tabs>
    </w:pPr>
  </w:style>
  <w:style w:type="paragraph" w:styleId="para22">
    <w:name w:val="toc 4"/>
    <w:qFormat/>
    <w:basedOn w:val="para0"/>
    <w:next w:val="para0"/>
    <w:pPr>
      <w:ind w:left="1276"/>
      <w:spacing w:after="80"/>
      <w:tabs defTabSz="708">
        <w:tab w:val="left" w:pos="1985" w:leader="none"/>
        <w:tab w:val="right" w:pos="9056" w:leader="dot"/>
      </w:tabs>
    </w:pPr>
  </w:style>
  <w:style w:type="paragraph" w:styleId="para23">
    <w:name w:val="toc 5"/>
    <w:qFormat/>
    <w:basedOn w:val="para0"/>
    <w:next w:val="para0"/>
    <w:pPr>
      <w:ind w:left="1985"/>
      <w:tabs defTabSz="708">
        <w:tab w:val="left" w:pos="2835" w:leader="none"/>
        <w:tab w:val="right" w:pos="9056" w:leader="dot"/>
      </w:tabs>
    </w:pPr>
  </w:style>
  <w:style w:type="paragraph" w:styleId="para24">
    <w:name w:val="toc 6"/>
    <w:qFormat/>
    <w:basedOn w:val="para0"/>
    <w:next w:val="para0"/>
    <w:pPr>
      <w:ind w:left="900"/>
    </w:p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0"/>
        <w:numId w:val="61"/>
      </w:numPr>
      <w:ind w:left="454" w:hanging="284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63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62"/>
      </w:numPr>
      <w:ind w:left="340" w:hanging="283"/>
      <w:contextualSpacing/>
    </w:pPr>
  </w:style>
  <w:style w:type="paragraph" w:styleId="para31" w:customStyle="1">
    <w:name w:val="Bullet 5 pt Ebene 2"/>
    <w:qFormat/>
    <w:basedOn w:val="para17"/>
    <w:pPr>
      <w:ind w:left="680"/>
    </w:pPr>
  </w:style>
  <w:style w:type="paragraph" w:styleId="para32" w:customStyle="1">
    <w:name w:val="u_Fußzeile"/>
    <w:qFormat/>
    <w:basedOn w:val="para0"/>
    <w:pPr>
      <w:spacing/>
      <w:jc w:val="right"/>
    </w:pPr>
    <w:rPr>
      <w:color w:val="717D87"/>
      <w:sz w:val="20"/>
    </w:rPr>
  </w:style>
  <w:style w:type="paragraph" w:styleId="para33" w:customStyle="1">
    <w:name w:val="Bullet Ebene 2 5 pt"/>
    <w:qFormat/>
    <w:basedOn w:val="para12"/>
    <w:pPr>
      <w:numPr>
        <w:ilvl w:val="1"/>
        <w:numId w:val="65"/>
      </w:numPr>
      <w:ind w:left="680" w:hanging="226"/>
      <w:spacing w:after="40"/>
      <w:jc w:val="left"/>
    </w:pPr>
  </w:style>
  <w:style w:type="paragraph" w:styleId="para34">
    <w:name w:val="Title"/>
    <w:qFormat/>
    <w:basedOn w:val="para0"/>
    <w:next w:val="para0"/>
    <w:pPr>
      <w:spacing w:after="100" w:line="312" w:lineRule="auto"/>
      <w:jc w:val="right"/>
    </w:pPr>
    <w:rPr>
      <w:rFonts w:ascii="Arial" w:hAnsi="Arial" w:eastAsia="Arial" w:cs="Arial"/>
      <w:b/>
      <w:color w:val="00998A"/>
      <w:sz w:val="48"/>
      <w:szCs w:val="22"/>
    </w:r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character" w:styleId="char19">
    <w:name w:val="Hyperlink"/>
    <w:rPr>
      <w:color w:val="0000FF" w:themeColor="hlink"/>
      <w:u w:color="auto" w:val="single"/>
    </w:rPr>
  </w:style>
  <w:style w:type="character" w:styleId="char20" w:customStyle="1">
    <w:name w:val="u_Kopfzeile Zchn"/>
    <w:basedOnNormal/>
    <w:rPr>
      <w:color w:val="auto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header" Target="header1.xml"/><Relationship Id="rId11" Type="http://schemas.openxmlformats.org/officeDocument/2006/relationships/footer" Target="footer1.xml"/><Relationship Id="rId12" Type="http://schemas.openxmlformats.org/officeDocument/2006/relationships/header" Target="header2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header" Target="header4.xml"/><Relationship Id="rId17" Type="http://schemas.openxmlformats.org/officeDocument/2006/relationships/footer" Target="footer4.xml"/><Relationship Id="rId18" Type="http://schemas.openxmlformats.org/officeDocument/2006/relationships/header" Target="header5.xml"/><Relationship Id="rId19" Type="http://schemas.openxmlformats.org/officeDocument/2006/relationships/footer" Target="footer5.xml"/><Relationship Id="rId20" Type="http://schemas.openxmlformats.org/officeDocument/2006/relationships/header" Target="header6.xml"/><Relationship Id="rId21" Type="http://schemas.openxmlformats.org/officeDocument/2006/relationships/footer" Target="footer6.xml"/></Relationships>
</file>

<file path=word/_rels/header3.xml.rels><?xml version="1.0" encoding="UTF-8" standalone="yes" 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4.jpeg"/><Relationship Id="rId3" Type="http://schemas.openxmlformats.org/officeDocument/2006/relationships/image" Target="media/image5.jpeg"/></Relationships>
</file>

<file path=word/_rels/header4.xml.rels><?xml version="1.0" encoding="UTF-8" standalone="yes" ?>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jpeg"/><Relationship Id="rId3" Type="http://schemas.openxmlformats.org/officeDocument/2006/relationships/image" Target="media/image3.jpeg"/></Relationships>
</file>

<file path=word/_rels/header5.xml.rels><?xml version="1.0" encoding="UTF-8" standalone="yes" 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4.jpeg"/><Relationship Id="rId3" Type="http://schemas.openxmlformats.org/officeDocument/2006/relationships/image" Target="media/image5.jpeg"/></Relationships>
</file>

<file path=word/_rels/header6.xml.rels><?xml version="1.0" encoding="UTF-8" standalone="yes" ?>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jpeg"/><Relationship Id="rId3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ahoma"/>
        <a:ea typeface="Tahoma"/>
        <a:cs typeface="Tahoma"/>
      </a:majorFont>
      <a:minorFont>
        <a:latin typeface="Tahoma"/>
        <a:ea typeface="Cambria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rev.1504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Gerhard Peise</cp:lastModifiedBy>
  <cp:revision>229</cp:revision>
  <dcterms:created xsi:type="dcterms:W3CDTF">2026-10-21T06:01:55Z</dcterms:created>
  <dcterms:modified xsi:type="dcterms:W3CDTF">2026-10-21T06:07:38Z</dcterms:modified>
</cp:coreProperties>
</file>