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pPr>
      <w:r>
        <w:rPr>
          <w:b/>
          <w:bCs/>
          <w:color w:val="1F3864"/>
          <w:sz w:val="40"/>
          <w:szCs w:val="40"/>
        </w:rPr>
        <w:t xml:space="preserve">Fehlerbericht TextMaker</w:t>
      </w:r>
    </w:p>
    <w:p>
      <w:pPr>
        <w:spacing w:after="80"/>
      </w:pPr>
      <w:r>
        <w:rPr>
          <w:color w:val="444444"/>
          <w:sz w:val="24"/>
          <w:szCs w:val="24"/>
        </w:rPr>
        <w:t xml:space="preserve">Fehlerhafte Nummerierungsdarstellung bei w:lvlOverride/w:startOverride auf stilgebundenen Mehrebenenlisten (.docx-Import)</w:t>
      </w:r>
    </w:p>
    <w:p>
      <w:pPr>
        <w:spacing w:after="320"/>
      </w:pPr>
      <w:r>
        <w:rPr>
          <w:i/>
          <w:iCs/>
          <w:color w:val="777777"/>
          <w:sz w:val="20"/>
          <w:szCs w:val="20"/>
        </w:rPr>
        <w:t xml:space="preserve">Erstellt am 23.09.2026</w:t>
      </w:r>
    </w:p>
    <w:p>
      <w:pPr>
        <w:pStyle w:val="Heading1"/>
        <w:spacing w:after="160" w:before="320"/>
      </w:pPr>
      <w:r>
        <w:t xml:space="preserve">1. Zusammenfassung</w:t>
      </w:r>
    </w:p>
    <w:p>
      <w:pPr>
        <w:spacing w:after="160"/>
      </w:pPr>
      <w:r>
        <w:t xml:space="preserve">Beim Öffnen einer .docx-Datei in TextMaker werden Überschriften ab der zweiten Gliederungsebene falsch nummeriert, sofern die zugrunde liegende, an Formatvorlagen gekoppelte Mehrebenenliste für die betreffende Listeninstanz einen Ebenen-Override mit eigenem Startwert enthält (w:lvlOverride mit w:startOverride). Statt der in der Formatvorlage festgelegten Dezimalnummerierung (z. B. „4.1“, „4.1.1“) erscheinen Kleinbuchstabe und kleine römische Zahl (z. B. „a.“, „i.“), so als würde TextMaker in diesem Fall komplett auf ein internes Standard-Gliederungsschema zurückfallen.</w:t>
      </w:r>
    </w:p>
    <w:p>
      <w:pPr>
        <w:spacing w:after="160"/>
      </w:pPr>
      <w:r>
        <w:t xml:space="preserve">Microsoft Word und LibreOffice Writer zeigen dieselbe Datei korrekt an. Eine XSD-Schemaprüfung der Datei gegen das offizielle WordprocessingML-Schema ergibt keinen Fehler. Der Fehler ist mit zwei beigefügten Minimaldateien (je vier Absätze) reproduzierbar, die sich in genau einem XML-Element unterscheiden.</w:t>
      </w:r>
    </w:p>
    <w:p>
      <w:pPr>
        <w:pStyle w:val="Heading1"/>
        <w:spacing w:after="160" w:before="320"/>
      </w:pPr>
      <w:r>
        <w:t xml:space="preserve">2. Systemumgebung</w:t>
      </w:r>
    </w:p>
    <w:tbl>
      <w:tblPr>
        <w:tblW w:type="dxa" w:w="9639"/>
        <w:tblBorders>
          <w:top w:val="single" w:color="auto" w:sz="4"/>
          <w:left w:val="single" w:color="auto" w:sz="4"/>
          <w:bottom w:val="single" w:color="auto" w:sz="4"/>
          <w:right w:val="single" w:color="auto" w:sz="4"/>
          <w:insideH w:val="single" w:color="auto" w:sz="4"/>
          <w:insideV w:val="single" w:color="auto" w:sz="4"/>
        </w:tblBorders>
      </w:tblPr>
      <w:tblGrid>
        <w:gridCol w:w="3374"/>
        <w:gridCol w:w="6265"/>
      </w:tblGrid>
      <w:tr>
        <w:tc>
          <w:tcPr>
            <w:tcW w:type="dxa" w:w="3374"/>
            <w:shd w:fill="EFEFEF" w:val="clear"/>
            <w:tcMar>
              <w:top w:type="dxa" w:w="80"/>
              <w:left w:type="dxa" w:w="120"/>
              <w:bottom w:type="dxa" w:w="80"/>
              <w:right w:type="dxa" w:w="120"/>
            </w:tcMar>
          </w:tcPr>
          <w:p>
            <w:r>
              <w:rPr>
                <w:b/>
                <w:bCs/>
              </w:rPr>
              <w:t xml:space="preserve">TextMaker-Version</w:t>
            </w:r>
          </w:p>
        </w:tc>
        <w:tc>
          <w:tcPr>
            <w:tcW w:type="dxa" w:w="6265"/>
            <w:tcMar>
              <w:top w:type="dxa" w:w="80"/>
              <w:left w:type="dxa" w:w="120"/>
              <w:bottom w:type="dxa" w:w="80"/>
              <w:right w:type="dxa" w:w="120"/>
            </w:tcMar>
          </w:tcPr>
          <w:p>
            <w:r>
              <w:rPr>
                <w:b w:val="false"/>
                <w:bCs w:val="false"/>
              </w:rPr>
              <w:t xml:space="preserve">[bitte ergänzen, z. B. über Hilfe -&gt; Info]</w:t>
            </w:r>
          </w:p>
        </w:tc>
      </w:tr>
      <w:tr>
        <w:tc>
          <w:tcPr>
            <w:tcW w:type="dxa" w:w="3374"/>
            <w:shd w:fill="EFEFEF" w:val="clear"/>
            <w:tcMar>
              <w:top w:type="dxa" w:w="80"/>
              <w:left w:type="dxa" w:w="120"/>
              <w:bottom w:type="dxa" w:w="80"/>
              <w:right w:type="dxa" w:w="120"/>
            </w:tcMar>
          </w:tcPr>
          <w:p>
            <w:r>
              <w:rPr>
                <w:b/>
                <w:bCs/>
              </w:rPr>
              <w:t xml:space="preserve">Betriebssystem</w:t>
            </w:r>
          </w:p>
        </w:tc>
        <w:tc>
          <w:tcPr>
            <w:tcW w:type="dxa" w:w="6265"/>
            <w:tcMar>
              <w:top w:type="dxa" w:w="80"/>
              <w:left w:type="dxa" w:w="120"/>
              <w:bottom w:type="dxa" w:w="80"/>
              <w:right w:type="dxa" w:w="120"/>
            </w:tcMar>
          </w:tcPr>
          <w:p>
            <w:r>
              <w:rPr>
                <w:b w:val="false"/>
                <w:bCs w:val="false"/>
              </w:rPr>
              <w:t xml:space="preserve">[bitte ergänzen]</w:t>
            </w:r>
          </w:p>
        </w:tc>
      </w:tr>
      <w:tr>
        <w:tc>
          <w:tcPr>
            <w:tcW w:type="dxa" w:w="3374"/>
            <w:shd w:fill="EFEFEF" w:val="clear"/>
            <w:tcMar>
              <w:top w:type="dxa" w:w="80"/>
              <w:left w:type="dxa" w:w="120"/>
              <w:bottom w:type="dxa" w:w="80"/>
              <w:right w:type="dxa" w:w="120"/>
            </w:tcMar>
          </w:tcPr>
          <w:p>
            <w:r>
              <w:rPr>
                <w:b/>
                <w:bCs/>
              </w:rPr>
              <w:t xml:space="preserve">Dateiformat</w:t>
            </w:r>
          </w:p>
        </w:tc>
        <w:tc>
          <w:tcPr>
            <w:tcW w:type="dxa" w:w="6265"/>
            <w:tcMar>
              <w:top w:type="dxa" w:w="80"/>
              <w:left w:type="dxa" w:w="120"/>
              <w:bottom w:type="dxa" w:w="80"/>
              <w:right w:type="dxa" w:w="120"/>
            </w:tcMar>
          </w:tcPr>
          <w:p>
            <w:r>
              <w:rPr>
                <w:b w:val="false"/>
                <w:bCs w:val="false"/>
              </w:rPr>
              <w:t xml:space="preserve">Word Open XML (.docx) nach ECMA-376 / ISO-IEC 29500</w:t>
            </w:r>
          </w:p>
        </w:tc>
      </w:tr>
      <w:tr>
        <w:tc>
          <w:tcPr>
            <w:tcW w:type="dxa" w:w="3374"/>
            <w:shd w:fill="EFEFEF" w:val="clear"/>
            <w:tcMar>
              <w:top w:type="dxa" w:w="80"/>
              <w:left w:type="dxa" w:w="120"/>
              <w:bottom w:type="dxa" w:w="80"/>
              <w:right w:type="dxa" w:w="120"/>
            </w:tcMar>
          </w:tcPr>
          <w:p>
            <w:r>
              <w:rPr>
                <w:b/>
                <w:bCs/>
              </w:rPr>
              <w:t xml:space="preserve">Getestet gegen</w:t>
            </w:r>
          </w:p>
        </w:tc>
        <w:tc>
          <w:tcPr>
            <w:tcW w:type="dxa" w:w="6265"/>
            <w:tcMar>
              <w:top w:type="dxa" w:w="80"/>
              <w:left w:type="dxa" w:w="120"/>
              <w:bottom w:type="dxa" w:w="80"/>
              <w:right w:type="dxa" w:w="120"/>
            </w:tcMar>
          </w:tcPr>
          <w:p>
            <w:r>
              <w:rPr>
                <w:b w:val="false"/>
                <w:bCs w:val="false"/>
              </w:rPr>
              <w:t xml:space="preserve">Microsoft Word (korrekt), LibreOffice Writer (korrekt), XSD-Schemaprüfung (keine Fehler)</w:t>
            </w:r>
          </w:p>
        </w:tc>
      </w:tr>
    </w:tbl>
    <w:p>
      <w:pPr>
        <w:spacing w:after="240"/>
      </w:pPr>
    </w:p>
    <w:p>
      <w:pPr>
        <w:pStyle w:val="Heading1"/>
        <w:spacing w:after="160" w:before="320"/>
      </w:pPr>
      <w:r>
        <w:t xml:space="preserve">3. Beobachtetes vs. erwartetes Verhalten</w:t>
      </w:r>
    </w:p>
    <w:p>
      <w:pPr>
        <w:spacing w:after="160"/>
      </w:pPr>
      <w:r>
        <w:t xml:space="preserve">Anbei zwei minimale Testdateien mit identischem sichtbarem Inhalt (drei Überschriftenebenen plus ein Fließtextabsatz), die sich ausschließlich in einem XML-Element der numbering.xml unterscheiden:</w:t>
      </w:r>
    </w:p>
    <w:p>
      <w:pPr>
        <w:spacing w:after="160"/>
      </w:pPr>
      <w:r>
        <w:rPr>
          <w:b/>
          <w:bCs/>
        </w:rPr>
        <w:t xml:space="preserve">TEST_A_ohne_startOverride.docx</w:t>
      </w:r>
      <w:r>
        <w:t xml:space="preserve">  – die Listeninstanz für die Überschriftennummerierung enthält keinen Override. Anzeige in TextMaker: korrekt „1“, „1.1“, „1.1.1“.</w:t>
      </w:r>
    </w:p>
    <w:p>
      <w:pPr>
        <w:spacing w:after="160"/>
      </w:pPr>
      <w:r>
        <w:rPr>
          <w:b/>
          <w:bCs/>
        </w:rPr>
        <w:t xml:space="preserve">TEST_B_mit_startOverride.docx</w:t>
      </w:r>
      <w:r>
        <w:t xml:space="preserve">  – dieselbe Listeninstanz enthält zusätzlich einen Override, der Ebene 0 bei 4 statt bei 1 beginnen lassen soll. Anzeige in TextMaker: „1“ (Ebene 1, fälschlich ebenfalls nicht bei 4 beginnend), „a.“ statt „1.1“, „i.“ statt „1.1.1“.</w:t>
      </w:r>
    </w:p>
    <w:p>
      <w:pPr>
        <w:spacing w:after="160"/>
      </w:pPr>
      <w:r>
        <w:t xml:space="preserve">Erwartet wird, dass ein startOverride ausschließlich den Startwert der betroffenen Ebene verändert, ohne Zahlenformat (numFmt) und Text (lvlText) der übrigen, nicht überschriebenen Ebenen zu beeinflussen – so wie es sowohl Word als auch LibreOffice Writer bei derselben Datei tatsächlich umsetzen.</w:t>
      </w:r>
    </w:p>
    <w:p>
      <w:pPr>
        <w:pStyle w:val="Heading1"/>
        <w:spacing w:after="160" w:before="320"/>
      </w:pPr>
      <w:r>
        <w:t xml:space="preserve">4. Technische Analyse</w:t>
      </w:r>
    </w:p>
    <w:p>
      <w:pPr>
        <w:spacing w:after="160"/>
      </w:pPr>
      <w:r>
        <w:t xml:space="preserve">Die betroffene Mehrebenenliste ist über w:pStyle an drei Absatzformatvorlagen gekoppelt (Ebene 0 → „heading 1“, Ebene 1 → „heading 2“, Ebene 2 → „heading 3“) und definiert auf allen drei Ebenen das Zahlenformat decimal:</w:t>
      </w:r>
    </w:p>
    <w:tbl>
      <w:tblPr>
        <w:tblW w:type="dxa" w:w="9639"/>
        <w:tblBorders>
          <w:top w:val="single" w:color="auto" w:sz="4"/>
          <w:left w:val="single" w:color="auto" w:sz="4"/>
          <w:bottom w:val="single" w:color="auto" w:sz="4"/>
          <w:right w:val="single" w:color="auto" w:sz="4"/>
          <w:insideH w:val="single" w:color="auto" w:sz="4"/>
          <w:insideV w:val="single" w:color="auto" w:sz="4"/>
        </w:tblBorders>
      </w:tblPr>
      <w:tblGrid>
        <w:gridCol w:w="9639"/>
      </w:tblGrid>
      <w:tr>
        <w:tc>
          <w:tcPr>
            <w:tcW w:type="dxa" w:w="9639"/>
            <w:tcBorders>
              <w:top w:val="single" w:color="CCCCCC" w:sz="4"/>
              <w:left w:val="single" w:color="CCCCCC" w:sz="4"/>
              <w:bottom w:val="single" w:color="CCCCCC" w:sz="4"/>
              <w:right w:val="single" w:color="CCCCCC" w:sz="4"/>
            </w:tcBorders>
            <w:shd w:fill="F0F0F0" w:val="clear"/>
            <w:tcMar>
              <w:top w:type="dxa" w:w="100"/>
              <w:left w:type="dxa" w:w="200"/>
              <w:bottom w:type="dxa" w:w="100"/>
              <w:right w:type="dxa" w:w="200"/>
            </w:tcMar>
          </w:tcPr>
          <w:p>
            <w:pPr>
              <w:spacing w:after="0" w:line="260"/>
            </w:pPr>
            <w:r>
              <w:rPr>
                <w:rFonts w:ascii="Consolas" w:cs="Consolas" w:eastAsia="Consolas" w:hAnsi="Consolas"/>
                <w:sz w:val="18"/>
                <w:szCs w:val="18"/>
              </w:rPr>
              <w:t xml:space="preserve">&lt;w:abstractNum w:abstractNumId="900"&gt;</w:t>
            </w:r>
          </w:p>
          <w:p>
            <w:pPr>
              <w:spacing w:after="0" w:line="260"/>
            </w:pPr>
            <w:r>
              <w:rPr>
                <w:rFonts w:ascii="Consolas" w:cs="Consolas" w:eastAsia="Consolas" w:hAnsi="Consolas"/>
                <w:sz w:val="18"/>
                <w:szCs w:val="18"/>
              </w:rPr>
              <w:t xml:space="preserve">  &lt;w:lvl w:ilvl="0"&gt;&lt;w:start w:val="1"/&gt;&lt;w:numFmt w:val="decimal"/&gt;</w:t>
            </w:r>
          </w:p>
          <w:p>
            <w:pPr>
              <w:spacing w:after="0" w:line="260"/>
            </w:pPr>
            <w:r>
              <w:rPr>
                <w:rFonts w:ascii="Consolas" w:cs="Consolas" w:eastAsia="Consolas" w:hAnsi="Consolas"/>
                <w:sz w:val="18"/>
                <w:szCs w:val="18"/>
              </w:rPr>
              <w:t xml:space="preserve">    &lt;w:pStyle w:val="para2"/&gt;&lt;w:suff w:val="tab"/&gt;&lt;w:lvlText w:val="%1"/&gt;</w:t>
            </w:r>
          </w:p>
          <w:p>
            <w:pPr>
              <w:spacing w:after="0" w:line="260"/>
            </w:pPr>
            <w:r>
              <w:rPr>
                <w:rFonts w:ascii="Consolas" w:cs="Consolas" w:eastAsia="Consolas" w:hAnsi="Consolas"/>
                <w:sz w:val="18"/>
                <w:szCs w:val="18"/>
              </w:rPr>
              <w:t xml:space="preserve">    &lt;w:lvlJc w:val="left"/&gt;&lt;w:pPr&gt;&lt;w:ind w:left="0" w:hanging="0"/&gt;&lt;/w:pPr&gt;&lt;/w:lvl&gt;</w:t>
            </w:r>
          </w:p>
          <w:p>
            <w:pPr>
              <w:spacing w:after="0" w:line="260"/>
            </w:pPr>
            <w:r>
              <w:rPr>
                <w:rFonts w:ascii="Consolas" w:cs="Consolas" w:eastAsia="Consolas" w:hAnsi="Consolas"/>
                <w:sz w:val="18"/>
                <w:szCs w:val="18"/>
              </w:rPr>
              <w:t xml:space="preserve">  &lt;w:lvl w:ilvl="1"&gt;&lt;w:start w:val="1"/&gt;&lt;w:numFmt w:val="decimal"/&gt;</w:t>
            </w:r>
          </w:p>
          <w:p>
            <w:pPr>
              <w:spacing w:after="0" w:line="260"/>
            </w:pPr>
            <w:r>
              <w:rPr>
                <w:rFonts w:ascii="Consolas" w:cs="Consolas" w:eastAsia="Consolas" w:hAnsi="Consolas"/>
                <w:sz w:val="18"/>
                <w:szCs w:val="18"/>
              </w:rPr>
              <w:t xml:space="preserve">    &lt;w:pStyle w:val="para3"/&gt;&lt;w:suff w:val="tab"/&gt;&lt;w:lvlText w:val="%1.%2"/&gt;</w:t>
            </w:r>
          </w:p>
          <w:p>
            <w:pPr>
              <w:spacing w:after="0" w:line="260"/>
            </w:pPr>
            <w:r>
              <w:rPr>
                <w:rFonts w:ascii="Consolas" w:cs="Consolas" w:eastAsia="Consolas" w:hAnsi="Consolas"/>
                <w:sz w:val="18"/>
                <w:szCs w:val="18"/>
              </w:rPr>
              <w:t xml:space="preserve">    &lt;w:lvlJc w:val="left"/&gt;&lt;w:pPr&gt;&lt;w:ind w:left="360" w:hanging="0"/&gt;&lt;/w:pPr&gt;&lt;/w:lvl&gt;</w:t>
            </w:r>
          </w:p>
          <w:p>
            <w:pPr>
              <w:spacing w:after="0" w:line="260"/>
            </w:pPr>
            <w:r>
              <w:rPr>
                <w:rFonts w:ascii="Consolas" w:cs="Consolas" w:eastAsia="Consolas" w:hAnsi="Consolas"/>
                <w:sz w:val="18"/>
                <w:szCs w:val="18"/>
              </w:rPr>
              <w:t xml:space="preserve">  &lt;w:lvl w:ilvl="2"&gt;&lt;w:start w:val="1"/&gt;&lt;w:numFmt w:val="decimal"/&gt;</w:t>
            </w:r>
          </w:p>
          <w:p>
            <w:pPr>
              <w:spacing w:after="0" w:line="260"/>
            </w:pPr>
            <w:r>
              <w:rPr>
                <w:rFonts w:ascii="Consolas" w:cs="Consolas" w:eastAsia="Consolas" w:hAnsi="Consolas"/>
                <w:sz w:val="18"/>
                <w:szCs w:val="18"/>
              </w:rPr>
              <w:t xml:space="preserve">    &lt;w:pStyle w:val="para4"/&gt;&lt;w:suff w:val="tab"/&gt;&lt;w:lvlText w:val="%1.%2.%3"/&gt;</w:t>
            </w:r>
          </w:p>
          <w:p>
            <w:pPr>
              <w:spacing w:after="0" w:line="260"/>
            </w:pPr>
            <w:r>
              <w:rPr>
                <w:rFonts w:ascii="Consolas" w:cs="Consolas" w:eastAsia="Consolas" w:hAnsi="Consolas"/>
                <w:sz w:val="18"/>
                <w:szCs w:val="18"/>
              </w:rPr>
              <w:t xml:space="preserve">    &lt;w:lvlJc w:val="left"/&gt;&lt;w:pPr&gt;&lt;w:ind w:left="720" w:hanging="0"/&gt;&lt;/w:pPr&gt;&lt;/w:lvl&gt;</w:t>
            </w:r>
          </w:p>
          <w:p>
            <w:pPr>
              <w:spacing w:after="0" w:line="260"/>
            </w:pPr>
            <w:r>
              <w:rPr>
                <w:rFonts w:ascii="Consolas" w:cs="Consolas" w:eastAsia="Consolas" w:hAnsi="Consolas"/>
                <w:sz w:val="18"/>
                <w:szCs w:val="18"/>
              </w:rPr>
              <w:t xml:space="preserve">&lt;/w:abstractNum&gt;</w:t>
            </w:r>
          </w:p>
        </w:tc>
      </w:tr>
    </w:tbl>
    <w:p>
      <w:pPr>
        <w:spacing w:after="160"/>
      </w:pPr>
    </w:p>
    <w:p>
      <w:pPr>
        <w:spacing w:after="160"/>
      </w:pPr>
      <w:r>
        <w:t xml:space="preserve">Die im Dokument tatsächlich verwendete Listeninstanz (w:num) verweist auf diese abstrakte Definition. Ohne Override (TEST_A) ist sie minimal:</w:t>
      </w:r>
    </w:p>
    <w:tbl>
      <w:tblPr>
        <w:tblW w:type="dxa" w:w="9639"/>
        <w:tblBorders>
          <w:top w:val="single" w:color="auto" w:sz="4"/>
          <w:left w:val="single" w:color="auto" w:sz="4"/>
          <w:bottom w:val="single" w:color="auto" w:sz="4"/>
          <w:right w:val="single" w:color="auto" w:sz="4"/>
          <w:insideH w:val="single" w:color="auto" w:sz="4"/>
          <w:insideV w:val="single" w:color="auto" w:sz="4"/>
        </w:tblBorders>
      </w:tblPr>
      <w:tblGrid>
        <w:gridCol w:w="9639"/>
      </w:tblGrid>
      <w:tr>
        <w:tc>
          <w:tcPr>
            <w:tcW w:type="dxa" w:w="9639"/>
            <w:tcBorders>
              <w:top w:val="single" w:color="CCCCCC" w:sz="4"/>
              <w:left w:val="single" w:color="CCCCCC" w:sz="4"/>
              <w:bottom w:val="single" w:color="CCCCCC" w:sz="4"/>
              <w:right w:val="single" w:color="CCCCCC" w:sz="4"/>
            </w:tcBorders>
            <w:shd w:fill="F0F0F0" w:val="clear"/>
            <w:tcMar>
              <w:top w:type="dxa" w:w="100"/>
              <w:left w:type="dxa" w:w="200"/>
              <w:bottom w:type="dxa" w:w="100"/>
              <w:right w:type="dxa" w:w="200"/>
            </w:tcMar>
          </w:tcPr>
          <w:p>
            <w:pPr>
              <w:spacing w:after="0" w:line="260"/>
            </w:pPr>
            <w:r>
              <w:rPr>
                <w:rFonts w:ascii="Consolas" w:cs="Consolas" w:eastAsia="Consolas" w:hAnsi="Consolas"/>
                <w:sz w:val="18"/>
                <w:szCs w:val="18"/>
              </w:rPr>
              <w:t xml:space="preserve">&lt;w:num w:numId="900"&gt;&lt;w:abstractNumId w:val="900"/&gt;&lt;/w:num&gt;</w:t>
            </w:r>
          </w:p>
        </w:tc>
      </w:tr>
    </w:tbl>
    <w:p>
      <w:pPr>
        <w:spacing w:after="160"/>
      </w:pPr>
    </w:p>
    <w:p>
      <w:pPr>
        <w:spacing w:after="160"/>
      </w:pPr>
      <w:r>
        <w:t xml:space="preserve">Mit Override (TEST_B, fehlerhafte Darstellung) enthält sie zusätzlich:</w:t>
      </w:r>
    </w:p>
    <w:tbl>
      <w:tblPr>
        <w:tblW w:type="dxa" w:w="9639"/>
        <w:tblBorders>
          <w:top w:val="single" w:color="auto" w:sz="4"/>
          <w:left w:val="single" w:color="auto" w:sz="4"/>
          <w:bottom w:val="single" w:color="auto" w:sz="4"/>
          <w:right w:val="single" w:color="auto" w:sz="4"/>
          <w:insideH w:val="single" w:color="auto" w:sz="4"/>
          <w:insideV w:val="single" w:color="auto" w:sz="4"/>
        </w:tblBorders>
      </w:tblPr>
      <w:tblGrid>
        <w:gridCol w:w="9639"/>
      </w:tblGrid>
      <w:tr>
        <w:tc>
          <w:tcPr>
            <w:tcW w:type="dxa" w:w="9639"/>
            <w:tcBorders>
              <w:top w:val="single" w:color="CCCCCC" w:sz="4"/>
              <w:left w:val="single" w:color="CCCCCC" w:sz="4"/>
              <w:bottom w:val="single" w:color="CCCCCC" w:sz="4"/>
              <w:right w:val="single" w:color="CCCCCC" w:sz="4"/>
            </w:tcBorders>
            <w:shd w:fill="F0F0F0" w:val="clear"/>
            <w:tcMar>
              <w:top w:type="dxa" w:w="100"/>
              <w:left w:type="dxa" w:w="200"/>
              <w:bottom w:type="dxa" w:w="100"/>
              <w:right w:type="dxa" w:w="200"/>
            </w:tcMar>
          </w:tcPr>
          <w:p>
            <w:pPr>
              <w:spacing w:after="0" w:line="260"/>
            </w:pPr>
            <w:r>
              <w:rPr>
                <w:rFonts w:ascii="Consolas" w:cs="Consolas" w:eastAsia="Consolas" w:hAnsi="Consolas"/>
                <w:sz w:val="18"/>
                <w:szCs w:val="18"/>
              </w:rPr>
              <w:t xml:space="preserve">&lt;w:num w:numId="900"&gt;&lt;w:abstractNumId w:val="900"/&gt;</w:t>
            </w:r>
          </w:p>
          <w:p>
            <w:pPr>
              <w:spacing w:after="0" w:line="260"/>
            </w:pPr>
            <w:r>
              <w:rPr>
                <w:rFonts w:ascii="Consolas" w:cs="Consolas" w:eastAsia="Consolas" w:hAnsi="Consolas"/>
                <w:sz w:val="18"/>
                <w:szCs w:val="18"/>
              </w:rPr>
              <w:t xml:space="preserve">  &lt;w:lvlOverride w:ilvl="0"&gt;&lt;w:startOverride w:val="4"/&gt;&lt;/w:lvlOverride&gt;</w:t>
            </w:r>
          </w:p>
          <w:p>
            <w:pPr>
              <w:spacing w:after="0" w:line="260"/>
            </w:pPr>
            <w:r>
              <w:rPr>
                <w:rFonts w:ascii="Consolas" w:cs="Consolas" w:eastAsia="Consolas" w:hAnsi="Consolas"/>
                <w:sz w:val="18"/>
                <w:szCs w:val="18"/>
              </w:rPr>
              <w:t xml:space="preserve">&lt;/w:num&gt;</w:t>
            </w:r>
          </w:p>
        </w:tc>
      </w:tr>
    </w:tbl>
    <w:p>
      <w:pPr>
        <w:spacing w:after="160"/>
      </w:pPr>
    </w:p>
    <w:p>
      <w:pPr>
        <w:spacing w:after="160"/>
      </w:pPr>
      <w:r>
        <w:t xml:space="preserve">Beide Varianten sind gültiges WordprocessingML nach ECMA-376/ISO-IEC 29500, Teil 1, Abschnitt 17.9 (Numbering). w:lvlOverride/w:startOverride ist der spezifikationskonforme Mechanismus, um eine einzelne Listeninstanz an einer bestimmten Ebene mit einem abweichenden Startwert beginnen zu lassen, ohne die zugrunde liegende abstrakte Definition (und damit andere, dieselbe Definition nutzende Instanzen) zu verändern. Es ist derselbe Mechanismus, den Word selbst erzeugt, wenn ein Anwender in einer nummerierten Liste über „Nummerierungswert festlegen…“ einen eigenen Startwert vergibt.</w:t>
      </w:r>
    </w:p>
    <w:p>
      <w:pPr>
        <w:spacing w:after="160"/>
      </w:pPr>
      <w:r>
        <w:t xml:space="preserve">Die einzelnen Absätze tragen in beiden Testdateien zusätzlich jeweils eine identische, mit der Formatvorlage übereinstimmende Absatz-Nummerierung (w:pPr/w:numPr, z. B. ilvl=1, numId=900 bei einer Ebene-2-Überschrift). Der einzige Unterschied zwischen den beiden Dateien ist exakt das gezeigte w:lvlOverride-Fragment.</w:t>
      </w:r>
    </w:p>
    <w:p>
      <w:pPr>
        <w:pStyle w:val="Heading1"/>
        <w:spacing w:after="160" w:before="320"/>
      </w:pPr>
      <w:r>
        <w:t xml:space="preserve">5. Auswirkung</w:t>
      </w:r>
    </w:p>
    <w:p>
      <w:pPr>
        <w:spacing w:after="160"/>
      </w:pPr>
      <w:r>
        <w:t xml:space="preserve">In einem bei uns automatisiert aus strukturierten Inhalten erzeugten Lehrmaterial-Dokument (ein einzelnes, isoliert bearbeitetes Kapitel eines mehrteiligen Schulungsskripts) wurde ein startOverride verwendet, um das Kapitel bereits mit der später im Gesamtdokument gültigen Kapitelnummer beginnen zu lassen. Ergebnis: Sämtliche Unterkapitelüberschriften ab der zweiten Gliederungsebene erschienen in TextMaker mit Kleinbuchstaben bzw. römischen Ziffern statt mit der vorgesehenen Kapitel.Unterkapitel-Nummerierung – ohne jede Fehlermeldung oder sonstigen Hinweis beim Öffnen der Datei.</w:t>
      </w:r>
    </w:p>
    <w:p>
      <w:pPr>
        <w:spacing w:after="160"/>
      </w:pPr>
      <w:r>
        <w:t xml:space="preserve">Das verfälscht die Gliederungsstruktur des Dokuments auf eine Weise, die bei einem beiläufigen Blick leicht übersehen werden kann, insbesondere in umfangreicheren Texten mit vielen Unterkapiteln. Bei uns betraf es zusätzlich, mit demselben Mechanismus und derselben Ursache, auch einzelne nummerierte Listen im Fließtext (a, b, c-Aufzählungen), die jeweils bei 1 neu beginnen sollten.</w:t>
      </w:r>
    </w:p>
    <w:p>
      <w:pPr>
        <w:pStyle w:val="Heading1"/>
        <w:spacing w:after="160" w:before="320"/>
      </w:pPr>
      <w:r>
        <w:t xml:space="preserve">6. Einschätzung: TextMaker-Fehler oder Problem automatisierter/KI-gestützter Dokumenterstellung?</w:t>
      </w:r>
    </w:p>
    <w:p>
      <w:pPr>
        <w:spacing w:after="160"/>
      </w:pPr>
      <w:r>
        <w:t xml:space="preserve">Aus unserer Sicht handelt es sich um eine Einschränkung bzw. einen Fehler im .docx-Import von TextMaker, nicht um eine Besonderheit automatisiert oder KI-gestützt erzeugter Dokumente. Dafür sprechen mehrere Beobachtungen:</w:t>
      </w:r>
    </w:p>
    <w:p>
      <w:pPr>
        <w:pStyle w:val="ListParagraph"/>
        <w:numPr>
          <w:ilvl w:val="0"/>
          <w:numId w:val="1"/>
        </w:numPr>
        <w:spacing w:after="100"/>
      </w:pPr>
      <w:r>
        <w:t xml:space="preserve">Der auslösende XML-Mechanismus ist ein regulärer, spezifikationskonformer Bestandteil des Word-Open-XML-Formats, keine Besonderheit automatisiert erzeugter Dateien. Ein Anwender, der in Word von Hand über „Nummerierungswert festlegen…“ einen abweichenden Startwert setzt, erzeugt exakt dieselbe XML-Struktur.</w:t>
      </w:r>
    </w:p>
    <w:p>
      <w:pPr>
        <w:pStyle w:val="ListParagraph"/>
        <w:numPr>
          <w:ilvl w:val="0"/>
          <w:numId w:val="1"/>
        </w:numPr>
        <w:spacing w:after="100"/>
      </w:pPr>
      <w:r>
        <w:t xml:space="preserve">Der Fehler ist in einer minimalen, von Hand nachvollziehbaren Testdatei mit nur vier Absätzen reproduzierbar, ganz ohne Fußnoten, Kommentare, Bilder oder sonstige Elemente, die bei automatisiert erzeugten Dokumenten in größerem Umfang vorkommen können. Das schließt eine Mitverursachung durch andere, für automatisiert erzeugte Dokumente typische Eigenheiten praktisch aus.</w:t>
      </w:r>
    </w:p>
    <w:p>
      <w:pPr>
        <w:pStyle w:val="ListParagraph"/>
        <w:numPr>
          <w:ilvl w:val="0"/>
          <w:numId w:val="1"/>
        </w:numPr>
        <w:spacing w:after="100"/>
      </w:pPr>
      <w:r>
        <w:t xml:space="preserve">Microsoft Word und LibreOffice Writer interpretieren dieselbe Datei korrekt, das heißt spezifikationskonform.</w:t>
      </w:r>
    </w:p>
    <w:p>
      <w:pPr>
        <w:pStyle w:val="ListParagraph"/>
        <w:numPr>
          <w:ilvl w:val="0"/>
          <w:numId w:val="1"/>
        </w:numPr>
        <w:spacing w:after="100"/>
      </w:pPr>
      <w:r>
        <w:t xml:space="preserve">Eine XSD-Validierung der betroffenen Datei gegen das offizielle WordprocessingML-Schema meldet zu dieser Struktur keinen Fehler.</w:t>
      </w:r>
    </w:p>
    <w:p>
      <w:pPr>
        <w:spacing w:after="160"/>
      </w:pPr>
      <w:r>
        <w:t xml:space="preserve">Offen ist für uns, ob TextMaker beim Erzeugen eigener Dokumente über die eigene Benutzeroberfläche (etwa beim Setzen eines eigenen Nummerierungs-Startwerts) überhaupt jemals w:lvlOverride/w:startOverride auf einer stilgebundenen Liste erzeugt, oder ob TextMaker diesen Fall beim eigenen Export von vornherein vermeidet und der Fehler deshalb bislang nur beim Import fremd erzeugter Dateien auffällt. Diese Einschätzung überlassen wir gerne Ihrer Entwicklung.</w:t>
      </w:r>
    </w:p>
    <w:p>
      <w:pPr>
        <w:pStyle w:val="Heading1"/>
        <w:spacing w:after="160" w:before="320"/>
      </w:pPr>
      <w:r>
        <w:t xml:space="preserve">7. Bitte an den Support</w:t>
      </w:r>
    </w:p>
    <w:p>
      <w:pPr>
        <w:spacing w:after="160"/>
      </w:pPr>
      <w:r>
        <w:t xml:space="preserve">Wir bitten um Prüfung, ob w:lvlOverride/w:startOverride auf stilgebundenen Mehrebenenlisten beim .docx-Import korrekt ausschließlich den Startwert der betroffenen Ebene ändert, ohne das Zahlenformat der Formatvorlagen-gekoppelten Ebenen zu verändern. Sollte dies ein bekanntes Verhalten oder eine bekannte Einschränkung sein, sind wir für einen Hinweis auf eine unterstützte Alternative dankbar, mit der sich ein abweichender Nummerierungs-Startwert erzeugen lässt, ohne dass TextMaker auf ein Standard-Gliederungsschema zurückfällt.</w:t>
      </w:r>
    </w:p>
    <w:p>
      <w:pPr>
        <w:pStyle w:val="Heading1"/>
        <w:spacing w:after="160" w:before="320"/>
      </w:pPr>
      <w:r>
        <w:t xml:space="preserve">8. Anlagen</w:t>
      </w:r>
    </w:p>
    <w:p>
      <w:pPr>
        <w:pStyle w:val="ListParagraph"/>
        <w:numPr>
          <w:ilvl w:val="0"/>
          <w:numId w:val="1"/>
        </w:numPr>
        <w:spacing w:after="100"/>
      </w:pPr>
      <w:r>
        <w:t xml:space="preserve">TEST_A_ohne_startOverride.docx – korrekte Darstellung (Kontrolle)</w:t>
      </w:r>
    </w:p>
    <w:p>
      <w:pPr>
        <w:pStyle w:val="ListParagraph"/>
        <w:numPr>
          <w:ilvl w:val="0"/>
          <w:numId w:val="1"/>
        </w:numPr>
        <w:spacing w:after="100"/>
      </w:pPr>
      <w:r>
        <w:t xml:space="preserve">TEST_B_mit_startOverride.docx – fehlerhafte Darstellung (reproduziert den Fehler)</w:t>
      </w:r>
    </w:p>
    <w:sectPr>
      <w:pgSz w:w="11907" w:h="16839"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20"/>
    </w:pPr>
    <w:rPr>
      <w:b/>
      <w:bCs/>
      <w:color w:val="1F3864"/>
      <w:sz w:val="28"/>
      <w:szCs w:val="28"/>
    </w:rPr>
  </w:style>
  <w:style w:type="paragraph" w:styleId="Heading2">
    <w:name w:val="Heading 2"/>
    <w:basedOn w:val="Normal"/>
    <w:next w:val="Normal"/>
    <w:qFormat/>
    <w:pPr>
      <w:spacing w:after="120" w:before="240"/>
    </w:pPr>
    <w:rPr>
      <w:b/>
      <w:bCs/>
      <w:color w:val="2E5395"/>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2026-09-23T17:21:19.520Z</dcterms:created>
  <dcterms:modified xsi:type="dcterms:W3CDTF">2026-09-23T17:21:19.521Z</dcterms:modified>
</cp:coreProperties>
</file>

<file path=docProps/custom.xml><?xml version="1.0" encoding="utf-8"?>
<Properties xmlns="http://schemas.openxmlformats.org/officeDocument/2006/custom-properties" xmlns:vt="http://schemas.openxmlformats.org/officeDocument/2006/docPropsVTypes"/>
</file>