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Pr>
      <w:bookmarkEnd w:id="0"/>
      <w:r/>
      <w:bookmarkStart w:id="1" w:name="Xb9678c3c2069f516e3f8771443f7be100cdbac1"/>
      <w:r>
        <w:t>Appendix C — Key paragraphs from the Lima text (BEM, 1982)</w:t>
      </w:r>
    </w:p>
    <w:p>
      <w:pPr>
        <w:pStyle w:val="para4"/>
        <w:rPr>
          <w:rFonts w:ascii="Liberation Serif" w:hAnsi="Liberation Serif" w:eastAsia="Liberation Serif" w:cs="Liberation Serif"/>
          <w:kern w:val="1"/>
          <w:sz w:val="24"/>
          <w:szCs w:val="24"/>
          <w:lang w:val="en-gb" w:eastAsia="en-gb" w:bidi="en-gb"/>
        </w:rPr>
      </w:pPr>
      <w:r>
        <w:rPr>
          <w:rFonts w:ascii="Liberation Serif" w:hAnsi="Liberation Serif" w:eastAsia="Liberation Serif" w:cs="Liberation Serif"/>
          <w:kern w:val="1"/>
          <w:sz w:val="24"/>
          <w:szCs w:val="24"/>
          <w:lang w:val="en-gb" w:eastAsia="en-gb" w:bidi="en-gb"/>
        </w:rPr>
        <w:t>Cited by the Magdeburg Declaration itself.</w:t>
      </w:r>
    </w:p>
    <w:p>
      <w:pPr>
        <w:pStyle w:val="para5"/>
      </w:pPr>
      <w:r>
        <w:rPr>
          <w:b/>
          <w:bCs/>
        </w:rPr>
        <w:t>§6</w:t>
      </w:r>
      <w:r>
        <w:t xml:space="preserve"> — “Our common baptism, which unites us to Christ in faith, is thus a basic bond of unity… Therefore, our one baptism into Christ constitutes a call to the churches to overcome their divisions and visibly manifest their fellowship.”</w:t>
      </w:r>
    </w:p>
    <w:p>
      <w:pPr>
        <w:pStyle w:val="para5"/>
      </w:pPr>
      <w:r>
        <w:rPr>
          <w:b/>
          <w:bCs/>
        </w:rPr>
        <w:t>§8</w:t>
      </w:r>
      <w:r>
        <w:t xml:space="preserve"> — “Baptism is both God’s gift and our human response to that gift… The necessity of faith for the reception of the salvation embodied and set forth in baptism is acknowledged by all churches. Personal commitment is necessary for responsible membership in the body of Christ.”</w:t>
      </w:r>
    </w:p>
    <w:p>
      <w:pPr>
        <w:pStyle w:val="para5"/>
      </w:pPr>
      <w:r>
        <w:rPr>
          <w:b/>
          <w:bCs/>
        </w:rPr>
        <w:t>§11</w:t>
      </w:r>
      <w:r>
        <w:t xml:space="preserve"> — “While the possibility that infant baptism was also practised in the apostolic age cannot be excluded, baptism upon personal profession of faith is the most clearly attested pattern in the New Testament documents.”</w:t>
      </w:r>
    </w:p>
    <w:p>
      <w:pPr>
        <w:pStyle w:val="para5"/>
      </w:pPr>
      <w:r>
        <w:rPr>
          <w:b/>
          <w:bCs/>
        </w:rPr>
        <w:t>§12</w:t>
      </w:r>
      <w:r>
        <w:t xml:space="preserve"> — “When one who can answer for himself or herself is baptized, a personal confession of faith will be an integral part of the baptismal service. When an infant is baptized, the personal response will be offered at a later moment in life.”</w:t>
      </w:r>
    </w:p>
    <w:p>
      <w:pPr>
        <w:pStyle w:val="para5"/>
      </w:pPr>
      <w:r>
        <w:rPr>
          <w:b/>
          <w:bCs/>
        </w:rPr>
        <w:t>§12, commentary</w:t>
      </w:r>
      <w:r>
        <w:t xml:space="preserve"> — the distinction is “between those who baptize people at any age and those who baptize only those able to make a confession of faith for themselves”; and the “equivalent alternatives” paragraph quoted in §3.5 above.</w:t>
      </w:r>
    </w:p>
    <w:p>
      <w:pPr>
        <w:pStyle w:val="para5"/>
      </w:pPr>
      <w:r>
        <w:rPr>
          <w:b/>
          <w:bCs/>
        </w:rPr>
        <w:t>§13</w:t>
      </w:r>
      <w:r>
        <w:t xml:space="preserve"> — “Baptism is an unrepeatable act. Any practice which might be interpreted as ‘re-baptism’ must be avoided.” The commentary asks churches to “refrain from any practice which might call into question the sacramental integrity of other churches or which might diminish the unrepeatability of the sacrament of baptism.”</w:t>
      </w:r>
    </w:p>
    <w:p>
      <w:pPr>
        <w:pStyle w:val="para5"/>
      </w:pPr>
      <w:r>
        <w:rPr>
          <w:b/>
          <w:bCs/>
        </w:rPr>
        <w:t>§14, commentary (c)</w:t>
      </w:r>
      <w:r>
        <w:t xml:space="preserve"> — “Baptism needs to be constantly reaffirmed. The most obvious form of such reaffirmation is the celebration of the eucharist. The renewal of baptismal vows may also take place during such occasions as the annual celebration of the paschal mystery or during the baptism of others.”</w:t>
      </w:r>
    </w:p>
    <w:p>
      <w:pPr>
        <w:pStyle w:val="para5"/>
      </w:pPr>
      <w:r>
        <w:rPr>
          <w:b/>
          <w:bCs/>
        </w:rPr>
        <w:t>§15</w:t>
      </w:r>
      <w:r>
        <w:t xml:space="preserve"> — “Churches are increasingly recognizing one another’s baptism as the one baptism into Christ when Jesus Christ has been confessed as Lord by the candidate or, in the case of infant baptism, when confession has been made by the church (parents, guardians, godparents and congregation) and affirmed later by personal faith and commitment.”</w:t>
      </w:r>
    </w:p>
    <w:p>
      <w:pPr>
        <w:pStyle w:val="para5"/>
      </w:pPr>
      <w:r>
        <w:rPr>
          <w:b/>
          <w:bCs/>
        </w:rPr>
        <w:t>§16</w:t>
      </w:r>
      <w:r>
        <w:t xml:space="preserve"> — “In order to overcome their differences, believer baptists and those who practise infant baptism should reconsider certain aspects of their practices. The first may seek to express more visibly the fact that children are placed under the protection of God’s grace. The latter must guard themselves against the practice of apparently indiscriminate baptism and take more seriously their responsibility for the nurture of baptized children to mature commitment to Christ.”</w:t>
      </w:r>
    </w:p>
    <w:p>
      <w:pPr>
        <w:pStyle w:val="para5"/>
      </w:pPr>
      <w:r>
        <w:rPr>
          <w:b/>
          <w:bCs/>
        </w:rPr>
        <w:t>§18</w:t>
      </w:r>
      <w:r>
        <w:t xml:space="preserve"> — “In the celebration of baptism the symbolic dimension of water should be taken seriously and not minimized. The act of immersion can vividly express the reality that in baptism the Christian participates in the death, burial and resurrection of Christ.”</w:t>
      </w:r>
    </w:p>
    <w:p>
      <w:pPr>
        <w:pStyle w:val="para5"/>
      </w:pPr>
      <w:r>
        <w:rPr>
          <w:b/>
          <w:bCs/>
        </w:rPr>
        <w:t>§21, commentary (b)</w:t>
      </w:r>
      <w:r>
        <w:t xml:space="preserve"> — quoted in §2.1 above.</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Arial">
    <w:charset w:val="00"/>
    <w:family w:val="swiss"/>
    <w:pitch w:val="default"/>
  </w:font>
  <w:font w:name="Liberation Serif">
    <w:charset w:val="00"/>
    <w:family w:val="roman"/>
    <w:pitch w:val="default"/>
  </w:font>
  <w:font w:name="Cambria">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2"/>
      <w:tmLastPosIdx w:val="234"/>
    </w:tmLastPosCaret>
    <w:tmLastPosAnchor>
      <w:tmLastPosPgfIdx w:val="0"/>
      <w:tmLastPosIdx w:val="0"/>
    </w:tmLastPosAnchor>
    <w:tmLastPosTblRect w:left="0" w:top="0" w:right="0" w:bottom="0"/>
  </w:tmLastPos>
  <w:tmAppRevision w:date="1788945957" w:val="1502" w:fileVer="343"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hAnsi="Liberation Serif" w:eastAsia="Liberation Serif" w:cs="Liberation Serif"/>
        <w:kern w:val="1"/>
        <w:sz w:val="24"/>
        <w:szCs w:val="24"/>
        <w:lang w:val="en-gb" w:eastAsia="en-gb" w:bidi="en-gb"/>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First Paragraph"/>
    <w:qFormat/>
    <w:basedOn w:val="para5"/>
    <w:next w:val="para5"/>
  </w:style>
  <w:style w:type="paragraph" w:styleId="para5">
    <w:name w:val="Body Text"/>
    <w:qFormat/>
    <w:basedOn w:val="para0"/>
    <w:pPr>
      <w:spacing w:after="120"/>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Liberation Serif" w:hAnsi="Liberation Serif" w:eastAsia="Liberation Serif" w:cs="Liberation Serif"/>
        <w:kern w:val="1"/>
        <w:sz w:val="24"/>
        <w:szCs w:val="24"/>
        <w:lang w:val="en-gb" w:eastAsia="en-gb" w:bidi="en-gb"/>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First Paragraph"/>
    <w:qFormat/>
    <w:basedOn w:val="para5"/>
    <w:next w:val="para5"/>
  </w:style>
  <w:style w:type="paragraph" w:styleId="para5">
    <w:name w:val="Body Text"/>
    <w:qFormat/>
    <w:basedOn w:val="para0"/>
    <w:pPr>
      <w:spacing w:after="120"/>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Liberation Serif"/>
        <a:cs typeface="Arial"/>
      </a:majorFont>
      <a:minorFont>
        <a:latin typeface="Liberation Serif"/>
        <a:ea typeface="Liberation Serif"/>
        <a:cs typeface="Liberation Serif"/>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rev.1502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Wolfgang Köhler</cp:lastModifiedBy>
  <cp:revision>2</cp:revision>
  <dcterms:created xsi:type="dcterms:W3CDTF">2026-09-09T09:25:48Z</dcterms:created>
  <dcterms:modified xsi:type="dcterms:W3CDTF">2026-09-09T09:25:57Z</dcterms:modified>
</cp:coreProperties>
</file>