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numPr>
          <w:ilvl w:val="1"/>
          <w:numId w:val="43"/>
        </w:numPr>
        <w:ind w:left="576" w:hanging="576"/>
      </w:pPr>
      <w:bookmarkStart w:id="0" w:name="_Toc367795324"/>
      <w:r/>
      <w:bookmarkEnd w:id="0"/>
      <w:r>
        <w:t>Sechs Prinzipien für eine klare Mitarbeiterkommunikation</w:t>
      </w:r>
    </w:p>
    <w:p>
      <w:r>
        <w:t xml:space="preserve">Dieses Kapitel ist ein Auszug aus dem Artikel in managerSeminare, Heft 341, August 2026, Seite 16 - 24: Klarer werden mit KI - Prompten als Leadershiptraining. </w:t>
      </w:r>
    </w:p>
    <w:p>
      <w:pPr>
        <w:ind w:left="340"/>
      </w:pPr>
      <w:r>
        <w:t xml:space="preserve">Hintergrund: </w:t>
      </w:r>
    </w:p>
    <w:p>
      <w:pPr>
        <w:ind w:left="340"/>
      </w:pPr>
      <w:r>
        <w:t>Wenn die Benutzer von KI die Fragen unpräzise formulieren, gilt der Grundsatz: Wer Müll rein gibt, bekommt Müll zurück. Es ist ein reines Kommunikationsproblem. Diese lässt sich 1 zu 1 auf die Führungskommunikation abbilden.</w:t>
      </w:r>
    </w:p>
    <w:p>
      <w:pPr>
        <w:ind w:left="340"/>
      </w:pPr>
      <w:r>
        <w:t>Im Folgenden ist nur der Führungsanteil wiedergegeben.</w:t>
      </w:r>
    </w:p>
    <w:p>
      <w:r>
        <w:t>Im Arbeitsalltag kommunizieren wir oft nachlässig. Wir drücken uns unpräzise und kryptisch aus. Dies ist aus Sicht des Angesprochenen zu sehen, da dieser aus der empfangenen Botschaft und seinem Wissen Bedeutung erzeugen muss. Wenn es nicht eindeutig ist, wird interpretiert oder geraten, was genau gemeint war. Dies sabotiert aber den Führungserfolg, denn der Empfänger erzeugt eine Bedeutung, die in seinem Sinne richtig ist. Dies entzieht sich damit der Kontrolle der Führungskraft. Denn Führung ist im Kern genau das: eindeutige Kommunikation.</w:t>
      </w:r>
    </w:p>
    <w:p>
      <w:pPr>
        <w:pStyle w:val="para3"/>
        <w:numPr>
          <w:ilvl w:val="2"/>
          <w:numId w:val="43"/>
        </w:numPr>
        <w:ind w:left="720" w:hanging="720"/>
      </w:pPr>
      <w:r>
        <w:t>Erstes Prinzip: die eigene Rolle offenbaren</w:t>
      </w:r>
    </w:p>
    <w:p>
      <w:r>
        <w:t>Für den Empfänger ist es für die Bedeutungsgebung wichtig zu wissen, aus welcher Rolle heraus gesprochen wird. Ohne dieses Wissen ist es für den Empfänger schwer, die richtige Bedeutung zu geben. Zum eigenen Schutz wird eher ein Worst-Case-Szennario aufgebaut. Angesprochene brauchen einen Hinweis darauf, aus welcher Rolle heraus gesprochen wird. Ohne diese Klarheit wissen sie nicht, wie sie eine Botschaft einzusortieren haben.</w:t>
      </w:r>
    </w:p>
    <w:p>
      <w:r>
        <w:t>Beispiel:</w:t>
      </w:r>
    </w:p>
    <w:p>
      <w:r>
        <w:t xml:space="preserve">Als Chefin, die Management by Walking Around betreibt, ist Johanna beispielsweise ständig in ihrer Abteilung unterwegs und kommuniziert mit ihren Mitarbeitenden. Zum Beispiel mit Karl, dem sie, während sie an dessen Büro vorübereilt, zuruft: „Der Arbeitsrückstand bei den Sonderanfragen ist immer noch zu hoch." Das weiß Karl als zuständiger Sachbearbeiter natürlich. Was er dagegen nicht weiß: </w:t>
      </w:r>
    </w:p>
    <w:p>
      <w:pPr>
        <w:pStyle w:val="para17"/>
        <w:numPr>
          <w:ilvl w:val="0"/>
          <w:numId w:val="65"/>
        </w:numPr>
        <w:ind w:left="417" w:hanging="360"/>
      </w:pPr>
      <w:r>
        <w:t>Sagt Johanna ihm das jetzt gerade als disziplinarische Fachvorgesetzte? Das würde ihre Feststellung quasi zu einer bindenden Anweisung machen, deren Nichtbefolgung Folgen für Karl hatte.</w:t>
      </w:r>
    </w:p>
    <w:p>
      <w:pPr>
        <w:pStyle w:val="para17"/>
        <w:numPr>
          <w:ilvl w:val="0"/>
          <w:numId w:val="65"/>
        </w:numPr>
        <w:ind w:left="417" w:hanging="360"/>
      </w:pPr>
      <w:r>
        <w:t>Sagt sie es als Kollegin, die ganz kollegial und buchstäblich einen alten Missstand wieder aufs Tapet bringt?</w:t>
      </w:r>
    </w:p>
    <w:p>
      <w:pPr>
        <w:pStyle w:val="para17"/>
        <w:numPr>
          <w:ilvl w:val="0"/>
          <w:numId w:val="65"/>
        </w:numPr>
        <w:ind w:left="417" w:hanging="360"/>
      </w:pPr>
      <w:r>
        <w:t>Sagt sie es als Coach?</w:t>
      </w:r>
    </w:p>
    <w:p>
      <w:pPr>
        <w:pStyle w:val="para17"/>
        <w:numPr>
          <w:ilvl w:val="0"/>
          <w:numId w:val="65"/>
        </w:numPr>
        <w:ind w:left="417" w:hanging="360"/>
      </w:pPr>
      <w:r>
        <w:t>Oder sagt sie es in einer vierten, ihm unbekannten Rolle?</w:t>
      </w:r>
    </w:p>
    <w:p>
      <w:r>
        <w:t>Johanna verrät es nicht. Weil sie sich denkt, „Es geht doch um die Sache". Doch Karl erfährt das nicht und reagiert im Zweifel falsch, gar nicht oder verärgert.</w:t>
      </w:r>
    </w:p>
    <w:p>
      <w:pPr>
        <w:pStyle w:val="para3"/>
        <w:numPr>
          <w:ilvl w:val="2"/>
          <w:numId w:val="43"/>
        </w:numPr>
        <w:ind w:left="720" w:hanging="720"/>
      </w:pPr>
      <w:r>
        <w:t>Zweites Prinzip: Das Gegenüber in seiner Rolle ansprechen</w:t>
      </w:r>
    </w:p>
    <w:p>
      <w:r>
        <w:t>Ein weiterer Kommunikationskniff ist, zu sagen, in welcher Rolle man einem antworten soll.</w:t>
      </w:r>
    </w:p>
    <w:p>
      <w:r>
        <w:t>Nehmen wir als Beispiel Jenny: Sie empfindet die Fragen ihres Chefs Marc als nicht eindeutig, obwohl sie das natürlich nie so ausdrücken würde. Was sie schon seit geraumer Zeit ärgert: Marc schaut häufig bei ihr rein, schildert ihr einen schwierigen Sachverhalt und fragt sie: „Wie würdest du dieses Problem lösen?" Was auf den ersten Blick wertschätzend und partizipativ klingt, ist auf den zweiten Blick einfach nur miese Kommunikation. Denn Jenny fragt sich in diesen Fällen fast immer: „Was soll das nun wieder?</w:t>
      </w:r>
    </w:p>
    <w:p>
      <w:pPr>
        <w:pStyle w:val="para17"/>
        <w:numPr>
          <w:ilvl w:val="0"/>
          <w:numId w:val="65"/>
        </w:numPr>
        <w:ind w:left="417" w:hanging="360"/>
      </w:pPr>
      <w:r>
        <w:t>Fragt er mich als Ingenieurin?</w:t>
      </w:r>
    </w:p>
    <w:p>
      <w:pPr>
        <w:pStyle w:val="para17"/>
        <w:numPr>
          <w:ilvl w:val="0"/>
          <w:numId w:val="65"/>
        </w:numPr>
        <w:ind w:left="417" w:hanging="360"/>
      </w:pPr>
      <w:r>
        <w:t>Oder als kostenbewusste Technikerin?"</w:t>
      </w:r>
    </w:p>
    <w:p>
      <w:r>
        <w:t>Jennys Frage ist vollkommen berechtigt. Denn je nachdem, wie wir eine Person adressieren, aktiviert dies unterschiedliche Expertisen in ihr - und führt daher auch zu unterschiedlichen Antworten. Wer die Rolle des Gegenübers nicht klärt, bekommt zum Beispiel Luxuslösungen, wo Pragmatismus gefragt war, oder umgekehrt.</w:t>
      </w:r>
    </w:p>
    <w:p>
      <w:pPr>
        <w:pStyle w:val="para3"/>
        <w:numPr>
          <w:ilvl w:val="2"/>
          <w:numId w:val="43"/>
        </w:numPr>
        <w:ind w:left="720" w:hanging="720"/>
      </w:pPr>
      <w:r>
        <w:t>Drittes Prinzip: Die Aufgabe klarmachen und vom Ergebnis her denken</w:t>
      </w:r>
    </w:p>
    <w:p>
      <w:r>
        <w:t xml:space="preserve">Wenn etwa Führungskraft Steven zu seinem Angestellten Dominik sagt: „Der Fliesen-Mayer hat seine letzte Rechnung nicht bezahlt. Hake da mal nach!", dann ist das schlicht eine uneindeutige Kommunikation. Es ist zwar klar, dass Steven Geld sehen will, weil die Liquidität der Firma momentan nicht die beste ist. Aber soll Dominik dem Fliesen-Mayer deshalb </w:t>
      </w:r>
    </w:p>
    <w:p>
      <w:r>
        <w:t xml:space="preserve">a) gleich die Pistole auf die Brust setzen? Immerhin ist das ein langjähriger Kunde, bei dem die Rechnung auch einfach nur auf dem Instanzenweg vorübergehend verschollen sein könnte. Deshalb wäre </w:t>
      </w:r>
    </w:p>
    <w:p>
      <w:r>
        <w:t>b) eine sachte Anfrage vielleicht eher opportun.</w:t>
      </w:r>
    </w:p>
    <w:p>
      <w:r>
        <w:t>Was also will Steven von Dominik? Vielleicht auch etwas dazwischen? Wir können sicher sein: Auch in dieser Sekunde fragen sich zig Millionen Arbeitnehmende weltweit: Was um Himmels willen will der Chef, was will die Chefin von mir?</w:t>
      </w:r>
    </w:p>
    <w:p>
      <w:r>
        <w:t>Denn typischerweise denken Führungskräfte: „Die Leute wissen doch, was ich von ihnen erwarte!" Nein. Eben nicht. Gute Kommunikation erfordert es deswegen, das erwünschte Endergebnis zu beschreiben. Und am besten auch, relevante Elemente der Vorgehensweise, die das Endergebnis wesentlich prägen können, zu definieren.</w:t>
      </w:r>
    </w:p>
    <w:p>
      <w:r>
        <w:t>Eine eindeutige Führungssaussage wäre im Fall Steven zum Beispiel gewesen: „Der Mayer ist ein langjähriger guter Kunde, der uns einen Riesenumsatz bringt und bislang nur zweimal säumig war. Also hake da erst mal ganz behutsam nach. Aber um Gottes willen nicht beim alten Mayer selbst. Das könnte peinlich für alle werden. Du hast doch gute Connections zur Chefsekretärin: Nutze sie erst mal zur Fernaufklärung."</w:t>
      </w:r>
    </w:p>
    <w:p>
      <w:r>
        <w:t xml:space="preserve">Wer eine bestimmtes Ergebnis möchte, muss das auch deutlich machen. Statt einer Mitarbeiterin beispielsweise zu sagen: </w:t>
      </w:r>
    </w:p>
    <w:p>
      <w:pPr>
        <w:pStyle w:val="para17"/>
        <w:numPr>
          <w:ilvl w:val="0"/>
          <w:numId w:val="65"/>
        </w:numPr>
        <w:ind w:left="417" w:hanging="360"/>
      </w:pPr>
      <w:r>
        <w:t xml:space="preserve">„Machen Sie sich bitte Gedanken über die Marktchancen unseres neuen Mähroboters!", </w:t>
      </w:r>
    </w:p>
    <w:p>
      <w:r>
        <w:t xml:space="preserve">könnten wir hinzufügen: </w:t>
      </w:r>
    </w:p>
    <w:p>
      <w:pPr>
        <w:pStyle w:val="para17"/>
        <w:numPr>
          <w:ilvl w:val="0"/>
          <w:numId w:val="65"/>
        </w:numPr>
        <w:ind w:left="417" w:hanging="360"/>
        <w:contextualSpacing/>
      </w:pPr>
      <w:r>
        <w:t xml:space="preserve">„auf einer Skala von 0 bis 10", </w:t>
      </w:r>
    </w:p>
    <w:p>
      <w:pPr>
        <w:pStyle w:val="para17"/>
        <w:numPr>
          <w:ilvl w:val="0"/>
          <w:numId w:val="65"/>
        </w:numPr>
        <w:ind w:left="417" w:hanging="360"/>
        <w:contextualSpacing/>
      </w:pPr>
      <w:r>
        <w:t xml:space="preserve">„in Prozent bitte" oder </w:t>
      </w:r>
    </w:p>
    <w:p>
      <w:pPr>
        <w:pStyle w:val="para17"/>
        <w:numPr>
          <w:ilvl w:val="0"/>
          <w:numId w:val="65"/>
        </w:numPr>
        <w:ind w:left="417" w:hanging="360"/>
        <w:contextualSpacing/>
      </w:pPr>
      <w:r>
        <w:t>„in Form des erwarteten Umsatzes im ersten Jahr".</w:t>
      </w:r>
    </w:p>
    <w:p>
      <w:r>
        <w:t>Ein weiterer Kniff, der oft zu besseren Ergebnissen führt, ist , das Ergebnis genauer einzuordnen. Ich höre ständig von frustrierten Mitarbeitenden Klagen wie diese: „Ich mache die Analyse, die der Chef wollte, stelle das Wesentliche in einem Kuchendiagramm dar - und jetzt sagt mir der Chef, dass er lieber ein Balkendiagramm möchte. Warum sagt es das dann nicht gleich?"</w:t>
      </w:r>
    </w:p>
    <w:p>
      <w:pPr>
        <w:pStyle w:val="para3"/>
        <w:numPr>
          <w:ilvl w:val="2"/>
          <w:numId w:val="43"/>
        </w:numPr>
        <w:ind w:left="720" w:hanging="720"/>
      </w:pPr>
      <w:r>
        <w:t>Viertes Prinzip: Schritt für Schritt vorgehen</w:t>
      </w:r>
    </w:p>
    <w:p>
      <w:r>
        <w:t>Ein typischer Fall: "McKinsey hat eine neue Studie zur 4-Tage-Woche veröffentlicht", sagt die Chefin. „Die soll gut sein, aber ich hab nicht die Zeit dafür. Gehen Sie da mal durch und berichten Sie mir morgen früh!" Klar genug? Könnte man meinen. Trotzdem war die Chefin mit den Ergebnissen solcher delegierten Studienanalysen nie wirklich zufrieden.</w:t>
      </w:r>
    </w:p>
    <w:p>
      <w:r>
        <w:t xml:space="preserve">Das änderte sich erst, als sie begann, mit ihren Mitarbeitenden mit Struktur zu kommunizieren: </w:t>
      </w:r>
    </w:p>
    <w:p>
      <w:pPr>
        <w:pStyle w:val="para17"/>
        <w:numPr>
          <w:ilvl w:val="0"/>
          <w:numId w:val="65"/>
        </w:numPr>
        <w:ind w:left="417" w:hanging="360"/>
        <w:contextualSpacing/>
      </w:pPr>
      <w:r>
        <w:t xml:space="preserve">„Hier ist die Studie, </w:t>
      </w:r>
    </w:p>
    <w:p>
      <w:pPr>
        <w:pStyle w:val="para17"/>
        <w:numPr>
          <w:ilvl w:val="0"/>
          <w:numId w:val="65"/>
        </w:numPr>
        <w:ind w:left="417" w:hanging="360"/>
        <w:contextualSpacing/>
      </w:pPr>
      <w:r>
        <w:t xml:space="preserve">lesen Sie sie bitte sorgfältig durch, </w:t>
      </w:r>
    </w:p>
    <w:p>
      <w:pPr>
        <w:pStyle w:val="para17"/>
        <w:numPr>
          <w:ilvl w:val="0"/>
          <w:numId w:val="65"/>
        </w:numPr>
        <w:ind w:left="417" w:hanging="360"/>
        <w:contextualSpacing/>
      </w:pPr>
      <w:r>
        <w:t xml:space="preserve">arbeiten Sie die aus Ihrer Sicht wesentlichen drei für uns relevanten Thesen heraus, </w:t>
      </w:r>
    </w:p>
    <w:p>
      <w:pPr>
        <w:pStyle w:val="para17"/>
        <w:numPr>
          <w:ilvl w:val="0"/>
          <w:numId w:val="65"/>
        </w:numPr>
        <w:ind w:left="417" w:hanging="360"/>
        <w:contextualSpacing/>
      </w:pPr>
      <w:r>
        <w:t xml:space="preserve">schreiben Sie einen Abstract, bitte nicht mehr als eine A4-Seite, </w:t>
      </w:r>
    </w:p>
    <w:p>
      <w:pPr>
        <w:pStyle w:val="para17"/>
        <w:numPr>
          <w:ilvl w:val="0"/>
          <w:numId w:val="65"/>
        </w:numPr>
        <w:ind w:left="417" w:hanging="360"/>
        <w:contextualSpacing/>
      </w:pPr>
      <w:r>
        <w:t xml:space="preserve">leiten Sie drei Vorschläge für uns ab und </w:t>
      </w:r>
    </w:p>
    <w:p>
      <w:pPr>
        <w:pStyle w:val="para17"/>
        <w:numPr>
          <w:ilvl w:val="0"/>
          <w:numId w:val="65"/>
        </w:numPr>
        <w:ind w:left="417" w:hanging="360"/>
        <w:contextualSpacing/>
      </w:pPr>
      <w:r>
        <w:t xml:space="preserve">am besten noch ein konkretes Projekt, das wir bereits nächsten Montag starten könnten." </w:t>
      </w:r>
    </w:p>
    <w:p>
      <w:r>
        <w:t xml:space="preserve">Wie viel Zeit hat das gekostet? Weniger als eine Minute. Aber so redet doch keine Chefin?' Nicht Chefinnen an sich, nur die besten. </w:t>
      </w:r>
    </w:p>
    <w:p>
      <w:r>
        <w:t>Seien Sie sich dabei stets bewusst: Das Ausmaß der Vorgaben muss situativ ans Ausmaß der vorhandenen Kompetenzen angepasst werden. Das sollten Führungskräfte natürlich schon lange wissen und befolgen.</w:t>
      </w:r>
    </w:p>
    <w:p>
      <w:pPr>
        <w:pStyle w:val="para3"/>
        <w:numPr>
          <w:ilvl w:val="2"/>
          <w:numId w:val="43"/>
        </w:numPr>
        <w:ind w:left="720" w:hanging="720"/>
      </w:pPr>
      <w:r>
        <w:t>Fünftes Prinzip: Zielgruppe mitdenken</w:t>
      </w:r>
    </w:p>
    <w:p>
      <w:r>
        <w:t>Einfaches Beispiel: Ein Bericht an den Vorstand braucht eine andere Sprache als einer für die IT-Umsetzung. Es ist also klug, der Mitarbeitenden mitzuteilen, für wen der Bericht, den sie für uns verfassen soll, letztlich gedacht ist. Die Empfangsperson der Aufgabenstellung muss klar benannt, mitunter auch genauer charakterisiert werden. Das erspart anderen unnötige Arbeitsschleifen.</w:t>
      </w:r>
    </w:p>
    <w:p>
      <w:pPr>
        <w:pStyle w:val="para3"/>
        <w:numPr>
          <w:ilvl w:val="2"/>
          <w:numId w:val="43"/>
        </w:numPr>
        <w:ind w:left="720" w:hanging="720"/>
      </w:pPr>
      <w:r>
        <w:t>Sechstes Prinzip: Sagen, was nicht passieren darf</w:t>
      </w:r>
    </w:p>
    <w:p>
      <w:r>
        <w:t>Wer einem belasteten Mitarbeiter beispielsweise einfach hinwirft »Ich brauche bis heute Nachmittag die Monatszahlen" und dem Mitarbeiter später dann eröffnet „Also so ausführlich hätte es nicht sein müssen", erzielt nicht nur ein Ergebnis, das ihm nicht passt, sondern Frust.</w:t>
      </w:r>
    </w:p>
    <w:p>
      <w:r>
        <w:t>Zu sagen: „Ich brauch' bis heute Nachmittag die Monatszahlen. Aber bitte einfach nur die aggregierten Zahlen pro Geschäftsfeld, keinen Detaildschungel bis hinunter auf die Artikelebene. Alles klar?" hätte dagegen allen Beteiligten Zeit und Nerven gespart.</w:t>
      </w:r>
    </w:p>
    <w:p>
      <w:r/>
    </w:p>
    <w:p>
      <w:r/>
    </w:p>
    <w:p>
      <w:r/>
    </w:p>
    <w:p>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tmUseOutlineLevel val="0"/>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
    <w:multiLevelType w:val="singleLevel"/>
    <w:name w:val="Bullet 42"/>
    <w:lvl w:ilvl="0">
      <w:start w:val="1"/>
      <w:numFmt w:val="decimal"/>
      <w:suff w:val="tab"/>
      <w:lvlText w:val="%1."/>
      <w:lvlJc w:val="left"/>
      <w:pPr>
        <w:ind w:left="0" w:hanging="0"/>
      </w:pPr>
    </w:lvl>
    <w:tmUseOutlineLevel val="0"/>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tmUseOutlineLevel val="0"/>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tmUseOutlineLevel val="0"/>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tmUseOutlineLevel val="0"/>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tmUseOutlineLevel val="0"/>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tmUseOutlineLevel val="0"/>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4">
    <w:multiLevelType w:val="singleLevel"/>
    <w:name w:val="Bullet 48"/>
    <w:lvl w:ilvl="0">
      <w:start w:val="1"/>
      <w:numFmt w:val="decimal"/>
      <w:suff w:val="tab"/>
      <w:lvlText w:val="%1."/>
      <w:lvlJc w:val="left"/>
      <w:pPr>
        <w:ind w:left="0" w:hanging="0"/>
      </w:pPr>
    </w:lvl>
    <w:tmUseOutlineLevel val="0"/>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tmUseOutlineLevel val="0"/>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tmUseOutlineLevel val="0"/>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tmUseOutlineLevel val="0"/>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1">
    <w:multiLevelType w:val="singleLevel"/>
    <w:name w:val="Bullet 41"/>
    <w:lvl w:ilvl="0">
      <w:start w:val="1"/>
      <w:numFmt w:val="decimal"/>
      <w:suff w:val="tab"/>
      <w:lvlText w:val="%1."/>
      <w:lvlJc w:val="left"/>
      <w:pPr>
        <w:ind w:left="0" w:hanging="0"/>
      </w:pPr>
    </w:lvl>
    <w:tmUseOutlineLevel val="0"/>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1"/>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tmUseOutlineLevel val="0"/>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8">
    <w:multiLevelType w:val="singleLevel"/>
    <w:name w:val="Bullet 43"/>
    <w:lvl w:ilvl="0">
      <w:start w:val="1"/>
      <w:numFmt w:val="decimal"/>
      <w:suff w:val="tab"/>
      <w:lvlText w:val="%1."/>
      <w:lvlJc w:val="left"/>
      <w:pPr>
        <w:ind w:left="0" w:hanging="0"/>
      </w:pPr>
    </w:lvl>
    <w:tmUseOutlineLevel val="0"/>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3">
    <w:multiLevelType w:val="singleLevel"/>
    <w:name w:val="Bullet 44"/>
    <w:lvl w:ilvl="0">
      <w:start w:val="1"/>
      <w:numFmt w:val="decimal"/>
      <w:suff w:val="tab"/>
      <w:lvlText w:val="%1."/>
      <w:lvlJc w:val="left"/>
      <w:pPr>
        <w:ind w:left="0" w:hanging="0"/>
      </w:pPr>
    </w:lvl>
    <w:tmUseOutlineLevel val="0"/>
  </w:abstractNum>
  <w:abstractNum w:abstractNumId="54">
    <w:multiLevelType w:val="singleLevel"/>
    <w:name w:val="Bullet 49"/>
    <w:lvl w:ilvl="0">
      <w:start w:val="1"/>
      <w:numFmt w:val="decimal"/>
      <w:suff w:val="tab"/>
      <w:lvlText w:val="%1."/>
      <w:lvlJc w:val="left"/>
      <w:pPr>
        <w:ind w:left="0" w:hanging="0"/>
      </w:pPr>
    </w:lvl>
    <w:tmUseOutlineLevel val="0"/>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tmUseOutlineLevel val="0"/>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tmUseOutlineLevel val="0"/>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tmUseOutlineLevel val="0"/>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color w:val="007F7F"/>
      </w:rPr>
    </w:lvl>
    <w:lvl w:ilvl="1">
      <w:numFmt w:val="bullet"/>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tmUseOutlineLevel val="0"/>
  </w:abstractNum>
  <w:abstractNum w:abstractNumId="61">
    <w:multiLevelType w:val="singleLevel"/>
    <w:name w:val="Bullet 60"/>
    <w:lvl w:ilvl="0">
      <w:numFmt w:val="bullet"/>
      <w:suff w:val="tab"/>
      <w:lvlText w:val=""/>
      <w:lvlJc w:val="left"/>
      <w:pPr>
        <w:ind w:left="0" w:hanging="0"/>
      </w:pPr>
      <w:rPr>
        <w:rFonts w:ascii="Wingdings" w:hAnsi="Wingdings" w:eastAsia="Wingdings" w:cs="Wingdings"/>
      </w:rPr>
    </w:lvl>
    <w:tmUseOutlineLevel val="0"/>
  </w:abstractNum>
  <w:abstractNum w:abstractNumId="62">
    <w:multiLevelType w:val="singleLevel"/>
    <w:name w:val="Bullet 63"/>
    <w:lvl w:ilvl="0">
      <w:start w:val="1"/>
      <w:numFmt w:val="decimal"/>
      <w:pStyle w:val="para30"/>
      <w:suff w:val="tab"/>
      <w:lvlText w:val="%1."/>
      <w:lvlJc w:val="left"/>
      <w:pPr>
        <w:ind w:left="0" w:hanging="0"/>
      </w:pPr>
    </w:lvl>
    <w:tmUseOutlineLevel val="0"/>
  </w:abstractNum>
  <w:abstractNum w:abstractNumId="63">
    <w:multiLevelType w:val="singleLevel"/>
    <w:name w:val="Bullet 63_1"/>
    <w:lvl w:ilvl="0">
      <w:start w:val="1"/>
      <w:numFmt w:val="decimal"/>
      <w:pStyle w:val="para29"/>
      <w:suff w:val="tab"/>
      <w:lvlText w:val="%1."/>
      <w:lvlJc w:val="left"/>
      <w:pPr>
        <w:ind w:left="0" w:hanging="0"/>
      </w:pPr>
    </w:lvl>
    <w:tmUseOutlineLevel val="0"/>
  </w:abstractNum>
  <w:abstractNum w:abstractNumId="64">
    <w:multiLevelType w:val="singleLevel"/>
    <w:name w:val="Bullet 64"/>
    <w:lvl w:ilvl="0">
      <w:start w:val="1"/>
      <w:numFmt w:val="decimal"/>
      <w:suff w:val="tab"/>
      <w:lvlText w:val="%1."/>
      <w:lvlJc w:val="left"/>
      <w:pPr>
        <w:ind w:left="0" w:hanging="0"/>
      </w:pPr>
    </w:lvl>
    <w:tmUseOutlineLevel val="0"/>
  </w:abstractNum>
  <w:abstractNum w:abstractNumId="65">
    <w:multiLevelType w:val="singleLevel"/>
    <w:name w:val="Bullet 65"/>
    <w:lvl w:ilvl="0">
      <w:numFmt w:val="bullet"/>
      <w:lvlText w:val=""/>
      <w:lvlJc w:val="left"/>
      <w:pPr>
        <w:tabs>
          <w:tab w:val="num" w:pos="360"/>
        </w:tabs>
        <w:ind w:left="360" w:hanging="360"/>
      </w:pPr>
      <w:rPr>
        <w:rFonts w:ascii="Wingdings" w:hAnsi="Wingdings" w:eastAsia="Wingdings" w:cs="Wingdings"/>
        <w:color w:val="007F7F"/>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1"/>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8"/>
    <w:tmReviewMarkIns w:val="4"/>
    <w:tmReviewColorIns w:val="-1"/>
    <w:tmReviewMarkDel w:val="7"/>
    <w:tmReviewColorDel w:val="-1"/>
    <w:tmReviewMarkFmt w:val="7"/>
    <w:tmReviewColorFmt w:val="-1"/>
    <w:tmReviewMarkLn w:val="1"/>
    <w:tmReviewColorLn w:val="0"/>
    <w:tmReviewToolTip w:val="1"/>
  </w:tmReviewPr>
  <w:tmLastPos>
    <w:tmLastPosPage w:val="1"/>
    <w:tmLastPosSelect w:val="0"/>
    <w:tmLastPosFrameIdx w:val="0"/>
    <w:tmLastPosCaret>
      <w:tmLastPosPgfIdx w:val="28"/>
      <w:tmLastPosIdx w:val="8"/>
    </w:tmLastPosCaret>
    <w:tmLastPosAnchor>
      <w:tmLastPosPgfIdx w:val="0"/>
      <w:tmLastPosIdx w:val="0"/>
    </w:tmLastPosAnchor>
    <w:tmLastPosTblRect w:left="0" w:top="0" w:right="0" w:bottom="0"/>
  </w:tmLastPos>
  <w:tmAppRevision w:date="1785759128" w:val="1500" w:fileVer="343"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0"/>
        <w:numId w:val="65"/>
      </w:numPr>
      <w:ind w:left="417" w:hanging="360"/>
      <w:spacing w:after="100" w:line="264" w:lineRule="auto"/>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5"/>
      </w:numPr>
      <w:ind w:left="417" w:hanging="360"/>
      <w:spacing w:after="100" w:line="264" w:lineRule="auto"/>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70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0"/>
        <w:numId w:val="65"/>
      </w:numPr>
      <w:ind w:left="417" w:hanging="360"/>
      <w:spacing w:after="100" w:line="264" w:lineRule="auto"/>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5"/>
      </w:numPr>
      <w:ind w:left="417" w:hanging="360"/>
      <w:spacing w:after="100" w:line="264" w:lineRule="auto"/>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70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228</cp:revision>
  <dcterms:created xsi:type="dcterms:W3CDTF">2026-08-03T07:51:58Z</dcterms:created>
  <dcterms:modified xsi:type="dcterms:W3CDTF">2026-08-03T12:12:08Z</dcterms:modified>
</cp:coreProperties>
</file>