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notes.xml" ContentType="application/vnd.openxmlformats-officedocument.wordprocessingml.footnotes+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after="120"/>
        <w:jc w:val="right"/>
        <w:rPr>
          <w:rFonts w:eastAsia="Cambria" w:cs="Basic Roman"/>
          <w:szCs w:val="24"/>
        </w:rPr>
      </w:pPr>
      <w:r/>
      <w:r>
        <w:rPr>
          <w:noProof/>
        </w:rPr>
        <w:drawing>
          <wp:inline distT="89535" distB="89535" distL="89535" distR="89535">
            <wp:extent cx="1860550" cy="1220470"/>
            <wp:effectExtent l="0" t="0" r="0" b="0"/>
            <wp:docPr id="1" name="Grafik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97"/>
                    <pic:cNvPicPr>
                      <a:picLocks noChangeAspect="1"/>
                    </pic:cNvPicPr>
                  </pic:nvPicPr>
                  <pic:blipFill>
                    <a:blip r:embed="rId8">
                      <a:colorize val="10" sat="100" blend="0">
                        <a:clrTo>
                          <a:srgbClr val="7F7F7F"/>
                        </a:clrTo>
                      </a:colorize>
                    </a:blip>
                    <a:stretch>
                      <a:fillRect/>
                    </a:stretch>
                  </pic:blipFill>
                  <pic:spPr>
                    <a:xfrm>
                      <a:off x="0" y="0"/>
                      <a:ext cx="1860550" cy="1220470"/>
                    </a:xfrm>
                    <a:prstGeom prst="rect">
                      <a:avLst/>
                    </a:prstGeom>
                    <a:noFill/>
                    <a:ln w="12700">
                      <a:noFill/>
                    </a:ln>
                  </pic:spPr>
                </pic:pic>
              </a:graphicData>
            </a:graphic>
          </wp:inline>
        </w:drawing>
      </w:r>
      <w: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Cs w:val="24"/>
        </w:rPr>
      </w:pPr>
      <w:r>
        <w:rPr>
          <w:rFonts w:eastAsia="Cambria" w:cs="Basic Roman"/>
          <w:szCs w:val="24"/>
        </w:rPr>
      </w:r>
    </w:p>
    <w:p>
      <w:pPr>
        <w:spacing w:after="120"/>
        <w:jc w:val="right"/>
        <w:rPr>
          <w:rFonts w:eastAsia="Cambria" w:cs="Basic Roman"/>
          <w:sz w:val="56"/>
          <w:szCs w:val="56"/>
        </w:rPr>
      </w:pPr>
      <w:r>
        <w:rPr>
          <w:rFonts w:eastAsia="Cambria" w:cs="Basic Roman"/>
          <w:sz w:val="56"/>
          <w:szCs w:val="56"/>
        </w:rPr>
        <w:t>Mitarbeiter-Führung</w:t>
      </w:r>
    </w:p>
    <w:p>
      <w:pPr>
        <w:spacing w:after="120"/>
        <w:jc w:val="right"/>
        <w:rPr>
          <w:rFonts w:eastAsia="Cambria" w:cs="Basic Roman"/>
          <w:sz w:val="20"/>
          <w:szCs w:val="20"/>
        </w:rPr>
      </w:pPr>
      <w:r>
        <w:rPr>
          <w:rFonts w:eastAsia="Cambria" w:cs="Basic Roman"/>
          <w:sz w:val="20"/>
          <w:szCs w:val="20"/>
        </w:rPr>
        <w:t>Dr. rer. nat. Gerhard H. Peise</w:t>
      </w:r>
    </w:p>
    <w:p>
      <w:r/>
    </w:p>
    <w:p>
      <w:pPr>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headerReference w:type="even" r:id="rId11"/>
          <w:footerReference w:type="even" r:id="rId12"/>
          <w:headerReference w:type="first" r:id="rId13"/>
          <w:footerReference w:type="first" r:id="rId14"/>
          <w:type w:val="nextPage"/>
          <w:pgSz w:h="16838" w:w="11906"/>
          <w:pgMar w:left="1701" w:top="1418" w:right="1418" w:bottom="1418" w:header="709" w:footer="709"/>
          <w:paperSrc w:first="0" w:other="0" a="0" b="0"/>
          <w:pgNumType w:fmt="decimal"/>
          <w:titlePg/>
          <w:tmGutter w:val="1"/>
          <w:mirrorMargins w:val="0"/>
          <w:tmSection w:h="-1">
            <w:tmHeader w:id="0" w:h="0" edge="709" text="0">
              <w:shd w:val="none"/>
            </w:tmHeader>
            <w:tmFooter w:id="0" w:h="0" edge="709" text="0">
              <w:shd w:val="none"/>
            </w:tmFooter>
            <w:tmHeader w:id="1" w:h="0" edge="709" text="0">
              <w:shd w:val="none"/>
            </w:tmHeader>
            <w:tmFooter w:id="1"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after="120"/>
        <w:jc w:val="left"/>
        <w:rPr>
          <w:rFonts w:eastAsia="Cambria" w:cs="Basic Roman"/>
          <w:sz w:val="20"/>
          <w:szCs w:val="20"/>
        </w:rPr>
      </w:pPr>
      <w:r>
        <w:rPr>
          <w:rFonts w:eastAsia="Cambria" w:cs="Basic Roman"/>
          <w:sz w:val="20"/>
          <w:szCs w:val="20"/>
        </w:rPr>
      </w:r>
    </w:p>
    <w:p>
      <w:pPr>
        <w:sectPr>
          <w:footnotePr>
            <w:pos w:val="pageBottom"/>
            <w:numFmt w:val="decimal"/>
            <w:numStart w:val="1"/>
            <w:numRestart w:val="continuous"/>
          </w:footnotePr>
          <w:endnotePr>
            <w:pos w:val="docEnd"/>
            <w:numFmt w:val="decimal"/>
            <w:numStart w:val="1"/>
            <w:numRestart w:val="continuous"/>
          </w:endnotePr>
          <w:headerReference w:type="default" r:id="rId15"/>
          <w:footerReference w:type="default" r:id="rId16"/>
          <w:headerReference w:type="even" r:id="rId17"/>
          <w:footerReference w:type="even" r:id="rId18"/>
          <w:headerReference w:type="first" r:id="rId19"/>
          <w:footerReference w:type="first" r:id="rId20"/>
          <w:type w:val="nextPage"/>
          <w:pgSz w:h="16838" w:w="11906"/>
          <w:pgMar w:left="1701" w:top="1418" w:right="1418" w:bottom="1418" w:header="709" w:footer="709"/>
          <w:paperSrc w:first="0" w:other="0" a="0" b="0"/>
          <w:pgNumType w:fmt="decimal"/>
          <w:titlePg/>
          <w:tmGutter w:val="1"/>
          <w:mirrorMargins w:val="0"/>
          <w:tmSection w:h="-1">
            <w:tmHeader w:id="0" w:h="0" edge="709" text="0">
              <w:shd w:val="none"/>
            </w:tmHeader>
            <w:tmFooter w:id="0" w:h="0" edge="709" text="0">
              <w:shd w:val="none"/>
            </w:tmFooter>
            <w:tmHeader w:id="1" w:h="0" edge="709" text="0">
              <w:shd w:val="none"/>
            </w:tmHeader>
            <w:tmFooter w:id="1"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line="276" w:lineRule="auto"/>
        <w:jc w:val="left"/>
      </w:pPr>
      <w:r>
        <w:rPr>
          <w:color w:val="00998A"/>
          <w:sz w:val="32"/>
          <w:szCs w:val="28"/>
        </w:rPr>
        <w:t>Inhalt</w:t>
      </w:r>
      <w:r/>
    </w:p>
    <w:p>
      <w:pPr>
        <w:pStyle w:val="para23"/>
      </w:pPr>
      <w:r>
        <w:fldChar w:fldCharType="begin"/>
      </w:r>
      <w:r>
        <w:instrText xml:space="preserve"> TOC \o "1 - 9" </w:instrText>
      </w:r>
      <w:r>
        <w:fldChar w:fldCharType="separate"/>
      </w:r>
      <w:hyperlink w:anchor="_TOC000005" w:history="1">
        <w:r>
          <w:t>1</w:t>
          <w:tab/>
          <w:t xml:space="preserve"> Führung</w:t>
          <w:tab/>
          <w:t>1</w:t>
        </w:r>
      </w:hyperlink>
    </w:p>
    <w:p>
      <w:pPr>
        <w:pStyle w:val="para22"/>
      </w:pPr>
      <w:hyperlink w:anchor="_TOC000002" w:history="1">
        <w:r>
          <w:t>1.1</w:t>
          <w:tab/>
          <w:t xml:space="preserve"> Führungsstile und Instrumente</w:t>
          <w:tab/>
          <w:t>2</w:t>
        </w:r>
      </w:hyperlink>
    </w:p>
    <w:p>
      <w:pPr>
        <w:pStyle w:val="para24"/>
        <w:rPr>
          <w:lang w:eastAsia="de-de" w:bidi="de-de"/>
        </w:rPr>
      </w:pPr>
      <w:hyperlink w:anchor="_Toc349302519" w:history="1">
        <w:r>
          <w:rPr>
            <w:lang w:eastAsia="de-de" w:bidi="de-de"/>
          </w:rPr>
          <w:t>1.1.1</w:t>
          <w:tab/>
          <w:t xml:space="preserve"> Führungsinstrumente</w:t>
          <w:tab/>
          <w:t>2</w:t>
        </w:r>
      </w:hyperlink>
    </w:p>
    <w:p>
      <w:pPr>
        <w:pStyle w:val="para24"/>
        <w:rPr>
          <w:lang w:eastAsia="de-de" w:bidi="de-de"/>
        </w:rPr>
      </w:pPr>
      <w:hyperlink w:anchor="_Toc319914614" w:history="1">
        <w:r>
          <w:rPr>
            <w:lang w:eastAsia="de-de" w:bidi="de-de"/>
          </w:rPr>
          <w:t>1.1.2</w:t>
          <w:tab/>
          <w:t xml:space="preserve"> Klassische Führungsstile</w:t>
          <w:tab/>
          <w:t>2</w:t>
        </w:r>
      </w:hyperlink>
    </w:p>
    <w:p>
      <w:pPr>
        <w:pStyle w:val="para24"/>
        <w:rPr>
          <w:lang w:eastAsia="de-de" w:bidi="de-de"/>
        </w:rPr>
      </w:pPr>
      <w:hyperlink w:anchor="_Toc349302521" w:history="1">
        <w:r>
          <w:rPr>
            <w:lang w:eastAsia="de-de" w:bidi="de-de"/>
          </w:rPr>
          <w:t>1.1.3</w:t>
          <w:tab/>
          <w:t xml:space="preserve"> Die sechs Führungsstile nach Goleman</w:t>
          <w:tab/>
          <w:t>3</w:t>
        </w:r>
      </w:hyperlink>
    </w:p>
    <w:p>
      <w:pPr>
        <w:pStyle w:val="para25"/>
      </w:pPr>
      <w:hyperlink w:anchor="_Toc349302522" w:history="1">
        <w:r>
          <w:t>1.1.3.1</w:t>
          <w:tab/>
          <w:t xml:space="preserve"> Flexibilität in der Führung</w:t>
          <w:tab/>
          <w:t>3</w:t>
        </w:r>
      </w:hyperlink>
    </w:p>
    <w:p>
      <w:pPr>
        <w:pStyle w:val="para25"/>
      </w:pPr>
      <w:hyperlink w:anchor="_Toc349302523" w:history="1">
        <w:r>
          <w:t>1.1.3.2</w:t>
          <w:tab/>
          <w:t xml:space="preserve"> Der befehlende Führungsstil</w:t>
          <w:tab/>
          <w:t>3</w:t>
        </w:r>
      </w:hyperlink>
    </w:p>
    <w:p>
      <w:pPr>
        <w:pStyle w:val="para25"/>
      </w:pPr>
      <w:hyperlink w:anchor="_Toc349302524" w:history="1">
        <w:r>
          <w:t>1.1.3.3</w:t>
          <w:tab/>
          <w:t xml:space="preserve"> Der visionäre Führungsstil</w:t>
          <w:tab/>
          <w:t>3</w:t>
        </w:r>
      </w:hyperlink>
    </w:p>
    <w:p>
      <w:pPr>
        <w:pStyle w:val="para25"/>
      </w:pPr>
      <w:hyperlink w:anchor="_Toc349302525" w:history="1">
        <w:r>
          <w:t>1.1.3.4</w:t>
          <w:tab/>
          <w:t xml:space="preserve"> Der gefühlsorientierte Führungsstil</w:t>
          <w:tab/>
          <w:t>3</w:t>
        </w:r>
      </w:hyperlink>
    </w:p>
    <w:p>
      <w:pPr>
        <w:pStyle w:val="para25"/>
      </w:pPr>
      <w:hyperlink w:anchor="_Toc349302526" w:history="1">
        <w:r>
          <w:t>1.1.3.5</w:t>
          <w:tab/>
          <w:t xml:space="preserve"> Der demokratische Führungsstil</w:t>
          <w:tab/>
          <w:t>3</w:t>
        </w:r>
      </w:hyperlink>
    </w:p>
    <w:p>
      <w:pPr>
        <w:pStyle w:val="para25"/>
      </w:pPr>
      <w:hyperlink w:anchor="_Toc349302527" w:history="1">
        <w:r>
          <w:t>1.1.3.6</w:t>
          <w:tab/>
          <w:t xml:space="preserve"> Der leistungsorientierte Führungsstil</w:t>
          <w:tab/>
          <w:t>4</w:t>
        </w:r>
      </w:hyperlink>
    </w:p>
    <w:p>
      <w:pPr>
        <w:pStyle w:val="para25"/>
      </w:pPr>
      <w:hyperlink w:anchor="_Toc349302528" w:history="1">
        <w:r>
          <w:t>1.1.3.7</w:t>
          <w:tab/>
          <w:t xml:space="preserve"> Der beratende Führungsstil</w:t>
          <w:tab/>
          <w:t>4</w:t>
        </w:r>
      </w:hyperlink>
    </w:p>
    <w:p>
      <w:pPr>
        <w:pStyle w:val="para25"/>
      </w:pPr>
      <w:hyperlink w:anchor="_Toc349302529" w:history="1">
        <w:r>
          <w:t>1.1.3.8</w:t>
          <w:tab/>
          <w:t xml:space="preserve"> Die Mischung macht‘s</w:t>
          <w:tab/>
          <w:t>4</w:t>
        </w:r>
      </w:hyperlink>
    </w:p>
    <w:p>
      <w:pPr>
        <w:pStyle w:val="para24"/>
        <w:rPr>
          <w:lang w:eastAsia="de-de" w:bidi="de-de"/>
        </w:rPr>
      </w:pPr>
      <w:hyperlink w:anchor="_Toc349302530" w:history="1">
        <w:r>
          <w:rPr>
            <w:lang w:eastAsia="de-de" w:bidi="de-de"/>
          </w:rPr>
          <w:t>1.1.4</w:t>
          <w:tab/>
          <w:t xml:space="preserve"> Führung, Entscheidungen und Partizipation der Mitarbeiter</w:t>
          <w:tab/>
          <w:t>4</w:t>
        </w:r>
      </w:hyperlink>
    </w:p>
    <w:p>
      <w:pPr>
        <w:pStyle w:val="para24"/>
        <w:rPr>
          <w:lang w:eastAsia="de-de" w:bidi="de-de"/>
        </w:rPr>
      </w:pPr>
      <w:hyperlink w:anchor="_Toc349302531" w:history="1">
        <w:r>
          <w:rPr>
            <w:lang w:eastAsia="de-de" w:bidi="de-de"/>
          </w:rPr>
          <w:t>1.1.5</w:t>
          <w:tab/>
          <w:t xml:space="preserve"> Weitere Führungsstile</w:t>
          <w:tab/>
          <w:t>5</w:t>
        </w:r>
      </w:hyperlink>
    </w:p>
    <w:p>
      <w:pPr>
        <w:pStyle w:val="para24"/>
        <w:rPr>
          <w:lang w:eastAsia="de-de" w:bidi="de-de"/>
        </w:rPr>
      </w:pPr>
      <w:hyperlink w:anchor="_Toc349302532" w:history="1">
        <w:r>
          <w:rPr>
            <w:lang w:eastAsia="de-de" w:bidi="de-de"/>
          </w:rPr>
          <w:t>1.1.6</w:t>
          <w:tab/>
          <w:t xml:space="preserve"> Führung und Motivation</w:t>
          <w:tab/>
          <w:t>6</w:t>
        </w:r>
      </w:hyperlink>
    </w:p>
    <w:p>
      <w:pPr>
        <w:pStyle w:val="para25"/>
      </w:pPr>
      <w:hyperlink w:anchor="_Toc349302533" w:history="1">
        <w:r>
          <w:t>1.1.6.1</w:t>
          <w:tab/>
          <w:t xml:space="preserve"> Motivieren, aber richtig</w:t>
          <w:tab/>
          <w:t>6</w:t>
        </w:r>
      </w:hyperlink>
    </w:p>
    <w:p>
      <w:pPr>
        <w:pStyle w:val="para25"/>
      </w:pPr>
      <w:hyperlink w:anchor="_Toc349302534" w:history="1">
        <w:r>
          <w:t>1.1.6.2</w:t>
          <w:tab/>
          <w:t xml:space="preserve"> Erfolg durch Flexibilität</w:t>
          <w:tab/>
          <w:t>7</w:t>
        </w:r>
      </w:hyperlink>
    </w:p>
    <w:p>
      <w:pPr>
        <w:pStyle w:val="para25"/>
      </w:pPr>
      <w:hyperlink w:anchor="_Toc349302535" w:history="1">
        <w:r>
          <w:t>1.1.6.3</w:t>
          <w:tab/>
          <w:t xml:space="preserve"> Richtig führen ist lernbar</w:t>
          <w:tab/>
          <w:t>8</w:t>
        </w:r>
      </w:hyperlink>
    </w:p>
    <w:p>
      <w:pPr>
        <w:pStyle w:val="para25"/>
      </w:pPr>
      <w:hyperlink w:anchor="_Toc349302536" w:history="1">
        <w:r>
          <w:t>1.1.6.4</w:t>
          <w:tab/>
          <w:t xml:space="preserve"> 10 Motivationskiller vom Chef</w:t>
          <w:tab/>
          <w:t>8</w:t>
        </w:r>
      </w:hyperlink>
    </w:p>
    <w:p>
      <w:pPr>
        <w:pStyle w:val="para25"/>
      </w:pPr>
      <w:hyperlink w:anchor="_TOC000004" w:history="1">
        <w:r>
          <w:t>1.1.6.5</w:t>
          <w:tab/>
          <w:t xml:space="preserve"> Klare Kante zeigen: Dreiste Mitarbeiter erfolgreich führen</w:t>
          <w:tab/>
          <w:t>9</w:t>
        </w:r>
      </w:hyperlink>
    </w:p>
    <w:p>
      <w:pPr>
        <w:pStyle w:val="para24"/>
        <w:rPr>
          <w:lang w:eastAsia="de-de" w:bidi="de-de"/>
        </w:rPr>
      </w:pPr>
      <w:hyperlink w:anchor="_TOC000007" w:history="1">
        <w:r>
          <w:rPr>
            <w:lang w:eastAsia="de-de" w:bidi="de-de"/>
          </w:rPr>
          <w:t>1.1.7</w:t>
          <w:tab/>
          <w:t xml:space="preserve"> Leistungsfähigkeit und Pausen</w:t>
          <w:tab/>
          <w:t>10</w:t>
        </w:r>
      </w:hyperlink>
    </w:p>
    <w:p>
      <w:pPr>
        <w:pStyle w:val="para24"/>
        <w:rPr>
          <w:lang w:eastAsia="de-de" w:bidi="de-de"/>
        </w:rPr>
      </w:pPr>
      <w:hyperlink w:anchor="_TOC000017" w:history="1">
        <w:r>
          <w:rPr>
            <w:lang w:eastAsia="de-de" w:bidi="de-de"/>
          </w:rPr>
          <w:t>1.1.8</w:t>
          <w:tab/>
          <w:t xml:space="preserve"> Wertschätzung - 5 Wege, Mitarbeiter typgerecht zu motivieren</w:t>
          <w:tab/>
          <w:t>12</w:t>
        </w:r>
      </w:hyperlink>
    </w:p>
    <w:p>
      <w:pPr>
        <w:pStyle w:val="para25"/>
      </w:pPr>
      <w:hyperlink w:anchor="_TOC001829" w:history="1">
        <w:r>
          <w:t>1.1.8.1</w:t>
          <w:tab/>
          <w:t xml:space="preserve"> Wie können Führungskräfte Wertschätzung zeigen, die ankommt?</w:t>
          <w:tab/>
          <w:t>12</w:t>
        </w:r>
      </w:hyperlink>
    </w:p>
    <w:p>
      <w:pPr>
        <w:pStyle w:val="para25"/>
      </w:pPr>
      <w:hyperlink w:anchor="_TOC001830" w:history="1">
        <w:r>
          <w:t>1.1.8.2</w:t>
          <w:tab/>
          <w:t xml:space="preserve"> Die fünf Sprachen der Mitarbeitermotivation:</w:t>
          <w:tab/>
          <w:t>12</w:t>
        </w:r>
      </w:hyperlink>
    </w:p>
    <w:p>
      <w:pPr>
        <w:pStyle w:val="para26"/>
      </w:pPr>
      <w:hyperlink w:anchor="_TOC001831" w:history="1">
        <w:r>
          <w:t>1.1.8.2.1</w:t>
          <w:tab/>
          <w:t xml:space="preserve"> Lob</w:t>
          <w:tab/>
          <w:t>12</w:t>
        </w:r>
      </w:hyperlink>
    </w:p>
    <w:p>
      <w:pPr>
        <w:pStyle w:val="para26"/>
      </w:pPr>
      <w:hyperlink w:anchor="_TOC001832" w:history="1">
        <w:r>
          <w:t>1.1.8.2.2</w:t>
          <w:tab/>
          <w:t xml:space="preserve"> Ungeteilte Aufmerksamkeit</w:t>
          <w:tab/>
          <w:t>13</w:t>
        </w:r>
      </w:hyperlink>
    </w:p>
    <w:p>
      <w:pPr>
        <w:pStyle w:val="para26"/>
      </w:pPr>
      <w:hyperlink w:anchor="_TOC001833" w:history="1">
        <w:r>
          <w:t>1.1.8.2.3</w:t>
          <w:tab/>
          <w:t xml:space="preserve"> Hilfsbereitschaft und Unterstützung</w:t>
          <w:tab/>
          <w:t>13</w:t>
        </w:r>
      </w:hyperlink>
    </w:p>
    <w:p>
      <w:pPr>
        <w:pStyle w:val="para26"/>
      </w:pPr>
      <w:hyperlink w:anchor="_TOC001834" w:history="1">
        <w:r>
          <w:t>1.1.8.2.4</w:t>
          <w:tab/>
          <w:t xml:space="preserve"> Geschenke, die von Herzen kommen</w:t>
          <w:tab/>
          <w:t>13</w:t>
        </w:r>
      </w:hyperlink>
    </w:p>
    <w:p>
      <w:pPr>
        <w:pStyle w:val="para26"/>
      </w:pPr>
      <w:hyperlink w:anchor="_TOC001835" w:history="1">
        <w:r>
          <w:t>1.1.8.2.5</w:t>
          <w:tab/>
          <w:t xml:space="preserve"> Vertrauen schenken</w:t>
          <w:tab/>
          <w:t>13</w:t>
        </w:r>
      </w:hyperlink>
    </w:p>
    <w:p>
      <w:pPr>
        <w:pStyle w:val="para24"/>
        <w:rPr>
          <w:lang w:eastAsia="de-de" w:bidi="de-de"/>
        </w:rPr>
      </w:pPr>
      <w:hyperlink w:anchor="_TOC000018" w:history="1">
        <w:r>
          <w:rPr>
            <w:lang w:eastAsia="de-de" w:bidi="de-de"/>
          </w:rPr>
          <w:t>1.1.9</w:t>
          <w:tab/>
          <w:t xml:space="preserve"> Situative Führung</w:t>
          <w:tab/>
          <w:t>14</w:t>
        </w:r>
      </w:hyperlink>
    </w:p>
    <w:p>
      <w:pPr>
        <w:pStyle w:val="para24"/>
        <w:rPr>
          <w:lang w:eastAsia="de-de" w:bidi="de-de"/>
        </w:rPr>
      </w:pPr>
      <w:hyperlink w:anchor="_TOC001838" w:history="1">
        <w:r>
          <w:rPr>
            <w:lang w:eastAsia="de-de" w:bidi="de-de"/>
          </w:rPr>
          <w:t>1.1.10</w:t>
          <w:tab/>
          <w:t xml:space="preserve"> Führung und Beziehung</w:t>
          <w:tab/>
          <w:t>15</w:t>
        </w:r>
      </w:hyperlink>
    </w:p>
    <w:p>
      <w:pPr>
        <w:pStyle w:val="para24"/>
        <w:rPr>
          <w:lang w:eastAsia="de-de" w:bidi="de-de"/>
        </w:rPr>
      </w:pPr>
      <w:hyperlink w:anchor="_TOC001840" w:history="1">
        <w:r>
          <w:rPr>
            <w:lang w:eastAsia="de-de" w:bidi="de-de"/>
          </w:rPr>
          <w:t>1.1.11</w:t>
          <w:tab/>
          <w:t xml:space="preserve"> Führung und Geführte</w:t>
          <w:tab/>
          <w:t>15</w:t>
        </w:r>
      </w:hyperlink>
    </w:p>
    <w:p>
      <w:pPr>
        <w:pStyle w:val="para24"/>
        <w:rPr>
          <w:lang w:eastAsia="de-de" w:bidi="de-de"/>
        </w:rPr>
      </w:pPr>
      <w:hyperlink w:anchor="_Toc349302539" w:history="1">
        <w:r>
          <w:rPr>
            <w:lang w:eastAsia="de-de" w:bidi="de-de"/>
          </w:rPr>
          <w:t>1.1.12</w:t>
          <w:tab/>
          <w:t xml:space="preserve"> Vertrauen als Grundlage von Führung</w:t>
          <w:tab/>
          <w:t>16</w:t>
        </w:r>
      </w:hyperlink>
    </w:p>
    <w:p>
      <w:pPr>
        <w:pStyle w:val="para24"/>
        <w:rPr>
          <w:lang w:eastAsia="de-de" w:bidi="de-de"/>
        </w:rPr>
      </w:pPr>
      <w:hyperlink w:anchor="_TOC000011" w:history="1">
        <w:r>
          <w:rPr>
            <w:lang w:eastAsia="de-de" w:bidi="de-de"/>
          </w:rPr>
          <w:t>1.1.13</w:t>
          <w:tab/>
          <w:t xml:space="preserve"> Führung und 'Empowerment'</w:t>
          <w:tab/>
          <w:t>17</w:t>
        </w:r>
      </w:hyperlink>
    </w:p>
    <w:p>
      <w:pPr>
        <w:pStyle w:val="para24"/>
        <w:rPr>
          <w:lang w:eastAsia="de-de" w:bidi="de-de"/>
        </w:rPr>
      </w:pPr>
      <w:hyperlink w:anchor="_TOC000019" w:history="1">
        <w:r>
          <w:rPr>
            <w:lang w:eastAsia="de-de" w:bidi="de-de"/>
          </w:rPr>
          <w:t>1.1.14</w:t>
          <w:tab/>
          <w:t xml:space="preserve"> Führungskompetenzen</w:t>
          <w:tab/>
          <w:t>18</w:t>
        </w:r>
      </w:hyperlink>
    </w:p>
    <w:p>
      <w:pPr>
        <w:pStyle w:val="para24"/>
        <w:rPr>
          <w:lang w:eastAsia="de-de" w:bidi="de-de"/>
        </w:rPr>
      </w:pPr>
      <w:hyperlink w:anchor="_TOC000809" w:history="1">
        <w:r>
          <w:rPr>
            <w:lang w:eastAsia="de-de" w:bidi="de-de"/>
          </w:rPr>
          <w:t>1.1.15</w:t>
          <w:tab/>
          <w:t xml:space="preserve"> Übung: Eine Bestandsaufnahme der eigenen Führungskompetenzen</w:t>
          <w:tab/>
          <w:t>19</w:t>
        </w:r>
      </w:hyperlink>
    </w:p>
    <w:p>
      <w:pPr>
        <w:pStyle w:val="para22"/>
      </w:pPr>
      <w:hyperlink w:anchor="_TOC000356" w:history="1">
        <w:r>
          <w:t>1.2</w:t>
          <w:tab/>
          <w:t xml:space="preserve"> Governance</w:t>
          <w:tab/>
          <w:t>20</w:t>
        </w:r>
      </w:hyperlink>
    </w:p>
    <w:p>
      <w:pPr>
        <w:pStyle w:val="para24"/>
        <w:rPr>
          <w:lang w:eastAsia="de-de" w:bidi="de-de"/>
        </w:rPr>
      </w:pPr>
      <w:hyperlink w:anchor="_TOC000023" w:history="1">
        <w:r>
          <w:rPr>
            <w:lang w:eastAsia="de-de" w:bidi="de-de"/>
          </w:rPr>
          <w:t>1.2.1</w:t>
          <w:tab/>
          <w:t xml:space="preserve"> Definition von Governance</w:t>
          <w:tab/>
          <w:t>20</w:t>
        </w:r>
      </w:hyperlink>
    </w:p>
    <w:p>
      <w:pPr>
        <w:pStyle w:val="para24"/>
        <w:rPr>
          <w:lang w:eastAsia="de-de" w:bidi="de-de"/>
        </w:rPr>
      </w:pPr>
      <w:hyperlink w:anchor="_TOC000024" w:history="1">
        <w:r>
          <w:rPr>
            <w:lang w:eastAsia="de-de" w:bidi="de-de"/>
          </w:rPr>
          <w:t>1.2.2</w:t>
          <w:tab/>
          <w:t xml:space="preserve"> Ziele und Nutzen einer guten Governance</w:t>
          <w:tab/>
          <w:t>20</w:t>
        </w:r>
      </w:hyperlink>
    </w:p>
    <w:p>
      <w:pPr>
        <w:pStyle w:val="para24"/>
        <w:rPr>
          <w:lang w:eastAsia="de-de" w:bidi="de-de"/>
        </w:rPr>
      </w:pPr>
      <w:hyperlink w:anchor="_TOC000025" w:history="1">
        <w:r>
          <w:rPr>
            <w:lang w:eastAsia="de-de" w:bidi="de-de"/>
          </w:rPr>
          <w:t>1.2.3</w:t>
          <w:tab/>
          <w:t xml:space="preserve"> Governance-Strukturen in Unternehmen</w:t>
          <w:tab/>
          <w:t>20</w:t>
        </w:r>
      </w:hyperlink>
    </w:p>
    <w:p>
      <w:pPr>
        <w:pStyle w:val="para24"/>
        <w:rPr>
          <w:lang w:eastAsia="de-de" w:bidi="de-de"/>
        </w:rPr>
      </w:pPr>
      <w:hyperlink w:anchor="_TOC000026" w:history="1">
        <w:r>
          <w:rPr>
            <w:lang w:eastAsia="de-de" w:bidi="de-de"/>
          </w:rPr>
          <w:t>1.2.4</w:t>
          <w:tab/>
          <w:t xml:space="preserve"> Corporate Governance als spezieller Ansatz</w:t>
          <w:tab/>
          <w:t>20</w:t>
        </w:r>
      </w:hyperlink>
    </w:p>
    <w:p>
      <w:pPr>
        <w:pStyle w:val="para24"/>
        <w:rPr>
          <w:lang w:eastAsia="de-de" w:bidi="de-de"/>
        </w:rPr>
      </w:pPr>
      <w:hyperlink w:anchor="_TOC000027" w:history="1">
        <w:r>
          <w:rPr>
            <w:lang w:eastAsia="de-de" w:bidi="de-de"/>
          </w:rPr>
          <w:t>1.2.5</w:t>
          <w:tab/>
          <w:t xml:space="preserve"> Fragen zu Governance</w:t>
          <w:tab/>
          <w:t>20</w:t>
        </w:r>
      </w:hyperlink>
    </w:p>
    <w:p>
      <w:pPr>
        <w:pStyle w:val="para22"/>
      </w:pPr>
      <w:hyperlink w:anchor="_TOC000029" w:history="1">
        <w:r>
          <w:t>1.3</w:t>
          <w:tab/>
          <w:t xml:space="preserve"> Management und Führung</w:t>
          <w:tab/>
          <w:t>21</w:t>
        </w:r>
      </w:hyperlink>
    </w:p>
    <w:p>
      <w:pPr>
        <w:pStyle w:val="para24"/>
        <w:rPr>
          <w:lang w:eastAsia="de-de" w:bidi="de-de"/>
        </w:rPr>
      </w:pPr>
      <w:hyperlink w:anchor="_TOC002477" w:history="1">
        <w:r>
          <w:rPr>
            <w:lang w:eastAsia="de-de" w:bidi="de-de"/>
          </w:rPr>
          <w:t>1.3.1</w:t>
          <w:tab/>
          <w:t xml:space="preserve"> Was gute Führungskräfte von schlechten Managern unterscheidet</w:t>
          <w:tab/>
          <w:t>22</w:t>
        </w:r>
      </w:hyperlink>
    </w:p>
    <w:p>
      <w:pPr>
        <w:pStyle w:val="para25"/>
      </w:pPr>
      <w:hyperlink w:anchor="_TOC002478" w:history="1">
        <w:r>
          <w:t>1.3.1.1</w:t>
          <w:tab/>
          <w:t xml:space="preserve"> Empathie und emotionale Intelligenz:</w:t>
          <w:tab/>
          <w:t>22</w:t>
        </w:r>
      </w:hyperlink>
    </w:p>
    <w:p>
      <w:pPr>
        <w:pStyle w:val="para25"/>
      </w:pPr>
      <w:hyperlink w:anchor="_TOC002479" w:history="1">
        <w:r>
          <w:t>1.3.1.2</w:t>
          <w:tab/>
          <w:t xml:space="preserve"> Kommunikation und Transparenz:</w:t>
          <w:tab/>
          <w:t>22</w:t>
        </w:r>
      </w:hyperlink>
    </w:p>
    <w:p>
      <w:pPr>
        <w:pStyle w:val="para25"/>
      </w:pPr>
      <w:hyperlink w:anchor="_TOC002480" w:history="1">
        <w:r>
          <w:t>1.3.1.3</w:t>
          <w:tab/>
          <w:t xml:space="preserve"> Förderung von Teamarbeit und Zusammenhalt:</w:t>
          <w:tab/>
          <w:t>22</w:t>
        </w:r>
      </w:hyperlink>
    </w:p>
    <w:p>
      <w:pPr>
        <w:pStyle w:val="para25"/>
      </w:pPr>
      <w:hyperlink w:anchor="_TOC002481" w:history="1">
        <w:r>
          <w:t>1.3.1.4</w:t>
          <w:tab/>
          <w:t xml:space="preserve"> Flexibilität und Anpassungsfähigkeit:</w:t>
          <w:tab/>
          <w:t>22</w:t>
        </w:r>
      </w:hyperlink>
    </w:p>
    <w:p>
      <w:pPr>
        <w:pStyle w:val="para25"/>
      </w:pPr>
      <w:hyperlink w:anchor="_TOC002482" w:history="1">
        <w:r>
          <w:t>1.3.1.5</w:t>
          <w:tab/>
          <w:t xml:space="preserve"> Vorbild sein und Integrität zeigen:</w:t>
          <w:tab/>
          <w:t>22</w:t>
        </w:r>
      </w:hyperlink>
    </w:p>
    <w:p>
      <w:pPr>
        <w:pStyle w:val="para22"/>
        <w:rPr>
          <w:lang w:eastAsia="de-de" w:bidi="de-de"/>
        </w:rPr>
      </w:pPr>
      <w:hyperlink w:anchor="_TOC000030" w:history="1">
        <w:r>
          <w:rPr>
            <w:lang w:eastAsia="de-de" w:bidi="de-de"/>
          </w:rPr>
          <w:t>1.4</w:t>
          <w:tab/>
          <w:t xml:space="preserve"> Dienender Führungsstil</w:t>
          <w:tab/>
          <w:t>23</w:t>
        </w:r>
      </w:hyperlink>
    </w:p>
    <w:p>
      <w:pPr>
        <w:pStyle w:val="para22"/>
      </w:pPr>
      <w:hyperlink w:anchor="_TOC002122" w:history="1">
        <w:r>
          <w:t>1.5</w:t>
          <w:tab/>
          <w:t xml:space="preserve"> </w:t>
        </w:r>
        <w:r>
          <w:rPr>
            <w:lang w:eastAsia="de-de" w:bidi="de-de"/>
          </w:rPr>
          <w:t>Coachender Führungsstil</w:t>
        </w:r>
        <w:r>
          <w:tab/>
          <w:t>24</w:t>
        </w:r>
      </w:hyperlink>
    </w:p>
    <w:p>
      <w:pPr>
        <w:pStyle w:val="para24"/>
        <w:rPr>
          <w:lang w:eastAsia="de-de" w:bidi="de-de"/>
        </w:rPr>
      </w:pPr>
      <w:hyperlink w:anchor="_TOC000021" w:history="1">
        <w:r>
          <w:rPr>
            <w:lang w:eastAsia="de-de" w:bidi="de-de"/>
          </w:rPr>
          <w:t>1.5.1</w:t>
          <w:tab/>
          <w:t xml:space="preserve"> Führung ist nicht Coaching – zwei Rollen, zwei Logiken.</w:t>
          <w:tab/>
          <w:t>24</w:t>
        </w:r>
      </w:hyperlink>
    </w:p>
    <w:p>
      <w:pPr>
        <w:pStyle w:val="para24"/>
        <w:rPr>
          <w:lang w:eastAsia="de-de" w:bidi="de-de"/>
        </w:rPr>
      </w:pPr>
      <w:hyperlink w:anchor="_TOC000012" w:history="1">
        <w:r>
          <w:rPr>
            <w:lang w:eastAsia="de-de" w:bidi="de-de"/>
          </w:rPr>
          <w:t>1.5.2</w:t>
          <w:tab/>
          <w:t xml:space="preserve"> Die „lethologische Begabung“ – warum Coaches „nicht wissen“</w:t>
          <w:tab/>
          <w:t>24</w:t>
        </w:r>
      </w:hyperlink>
    </w:p>
    <w:p>
      <w:pPr>
        <w:pStyle w:val="para24"/>
        <w:rPr>
          <w:lang w:eastAsia="de-de" w:bidi="de-de"/>
        </w:rPr>
      </w:pPr>
      <w:hyperlink w:anchor="_TOC000013" w:history="1">
        <w:r>
          <w:rPr>
            <w:lang w:eastAsia="de-de" w:bidi="de-de"/>
          </w:rPr>
          <w:t>1.5.3</w:t>
          <w:tab/>
          <w:t xml:space="preserve"> Wo coachender Führungsstil passt – und wo nicht</w:t>
          <w:tab/>
          <w:t>25</w:t>
        </w:r>
      </w:hyperlink>
    </w:p>
    <w:p>
      <w:pPr>
        <w:pStyle w:val="para24"/>
        <w:rPr>
          <w:lang w:eastAsia="de-de" w:bidi="de-de"/>
        </w:rPr>
      </w:pPr>
      <w:hyperlink w:anchor="_TOC000014" w:history="1">
        <w:r>
          <w:rPr>
            <w:lang w:eastAsia="de-de" w:bidi="de-de"/>
          </w:rPr>
          <w:t>1.5.4</w:t>
          <w:tab/>
          <w:t xml:space="preserve"> Coaching-Elemente, die Führungskräfte nutzen können</w:t>
          <w:tab/>
          <w:t>25</w:t>
        </w:r>
      </w:hyperlink>
    </w:p>
    <w:p>
      <w:pPr>
        <w:pStyle w:val="para24"/>
        <w:rPr>
          <w:lang w:eastAsia="de-de" w:bidi="de-de"/>
        </w:rPr>
      </w:pPr>
      <w:hyperlink w:anchor="_TOC000015" w:history="1">
        <w:r>
          <w:rPr>
            <w:lang w:eastAsia="de-de" w:bidi="de-de"/>
          </w:rPr>
          <w:t>1.5.5</w:t>
          <w:tab/>
          <w:t xml:space="preserve"> Klare Grenzen: Führung bleibt Führung</w:t>
          <w:tab/>
          <w:t>25</w:t>
        </w:r>
      </w:hyperlink>
    </w:p>
    <w:p>
      <w:pPr>
        <w:pStyle w:val="para24"/>
        <w:rPr>
          <w:lang w:eastAsia="de-de" w:bidi="de-de"/>
        </w:rPr>
      </w:pPr>
      <w:hyperlink w:anchor="_TOC000016" w:history="1">
        <w:r>
          <w:rPr>
            <w:lang w:eastAsia="de-de" w:bidi="de-de"/>
          </w:rPr>
          <w:t>1.5.6</w:t>
          <w:tab/>
          <w:t xml:space="preserve"> Fazit</w:t>
          <w:tab/>
          <w:t>25</w:t>
        </w:r>
      </w:hyperlink>
    </w:p>
    <w:p>
      <w:pPr>
        <w:pStyle w:val="para22"/>
      </w:pPr>
      <w:hyperlink w:anchor="_TOC002069" w:history="1">
        <w:r>
          <w:t>1.6</w:t>
          <w:tab/>
          <w:t xml:space="preserve"> Laterale Führung</w:t>
          <w:tab/>
          <w:t>26</w:t>
        </w:r>
      </w:hyperlink>
    </w:p>
    <w:p>
      <w:pPr>
        <w:pStyle w:val="para22"/>
      </w:pPr>
      <w:hyperlink w:anchor="_TOC002292" w:history="1">
        <w:r>
          <w:t>1.7</w:t>
          <w:tab/>
          <w:t xml:space="preserve"> Veränderungen - Change Management</w:t>
          <w:tab/>
          <w:t>27</w:t>
        </w:r>
      </w:hyperlink>
    </w:p>
    <w:p>
      <w:pPr>
        <w:pStyle w:val="para24"/>
        <w:rPr>
          <w:lang w:eastAsia="de-de" w:bidi="de-de"/>
        </w:rPr>
      </w:pPr>
      <w:hyperlink w:anchor="_TOC002293" w:history="1">
        <w:r>
          <w:rPr>
            <w:lang w:eastAsia="de-de" w:bidi="de-de"/>
          </w:rPr>
          <w:t>1.7.1</w:t>
          <w:tab/>
          <w:t xml:space="preserve"> Handlungsempfehlungen</w:t>
          <w:tab/>
          <w:t>27</w:t>
        </w:r>
      </w:hyperlink>
    </w:p>
    <w:p>
      <w:pPr>
        <w:pStyle w:val="para24"/>
        <w:rPr>
          <w:lang w:eastAsia="de-de" w:bidi="de-de"/>
        </w:rPr>
      </w:pPr>
      <w:hyperlink w:anchor="_TOC002294" w:history="1">
        <w:r>
          <w:rPr>
            <w:lang w:eastAsia="de-de" w:bidi="de-de"/>
          </w:rPr>
          <w:t>1.7.2</w:t>
          <w:tab/>
          <w:t xml:space="preserve"> Fazit</w:t>
          <w:tab/>
          <w:t>28</w:t>
        </w:r>
      </w:hyperlink>
    </w:p>
    <w:p>
      <w:pPr>
        <w:pStyle w:val="para22"/>
      </w:pPr>
      <w:hyperlink w:anchor="_TOC000357" w:history="1">
        <w:r>
          <w:t>1.8</w:t>
          <w:tab/>
          <w:t xml:space="preserve"> Checkliste: 12 Anzeichen für einen schlechten Chef</w:t>
          <w:tab/>
          <w:t>29</w:t>
        </w:r>
      </w:hyperlink>
    </w:p>
    <w:p>
      <w:pPr>
        <w:pStyle w:val="para22"/>
      </w:pPr>
      <w:hyperlink w:anchor="_Toc367795324" w:history="1">
        <w:r>
          <w:t>1.9</w:t>
          <w:tab/>
          <w:t xml:space="preserve"> So lassen schlechte Chefs die Arbeitsmoral sinken</w:t>
          <w:tab/>
          <w:t>29</w:t>
        </w:r>
      </w:hyperlink>
    </w:p>
    <w:p>
      <w:pPr>
        <w:pStyle w:val="para23"/>
      </w:pPr>
      <w:hyperlink w:anchor="_TOC000008" w:history="1">
        <w:r>
          <w:t>2</w:t>
          <w:tab/>
          <w:t xml:space="preserve"> Standortbestimmung: Ich und Führung?</w:t>
          <w:tab/>
          <w:t>31</w:t>
        </w:r>
      </w:hyperlink>
    </w:p>
    <w:p>
      <w:pPr>
        <w:pStyle w:val="para22"/>
      </w:pPr>
      <w:hyperlink w:anchor="_TOC000358" w:history="1">
        <w:r>
          <w:t>2.1</w:t>
          <w:tab/>
          <w:t xml:space="preserve"> Übung: Eine vorbildliche Führungskraft</w:t>
          <w:tab/>
          <w:t>31</w:t>
        </w:r>
      </w:hyperlink>
    </w:p>
    <w:p>
      <w:pPr>
        <w:pStyle w:val="para22"/>
      </w:pPr>
      <w:hyperlink w:anchor="_TOC001056" w:history="1">
        <w:r>
          <w:t>2.2</w:t>
          <w:tab/>
          <w:t xml:space="preserve"> Fragen an die eigene Employability (Beschäftigungsfähigkeit, Arbeitsmarktfähigkeit)</w:t>
          <w:tab/>
          <w:t>31</w:t>
        </w:r>
      </w:hyperlink>
    </w:p>
    <w:p>
      <w:pPr>
        <w:pStyle w:val="para24"/>
        <w:rPr>
          <w:lang w:eastAsia="de-de" w:bidi="de-de"/>
        </w:rPr>
      </w:pPr>
      <w:hyperlink w:anchor="_TOC001294" w:history="1">
        <w:r>
          <w:rPr>
            <w:lang w:eastAsia="de-de" w:bidi="de-de"/>
          </w:rPr>
          <w:t>2.2.1</w:t>
          <w:tab/>
          <w:t xml:space="preserve"> Standortanalyse: Was kann ich?</w:t>
          <w:tab/>
          <w:t>32</w:t>
        </w:r>
      </w:hyperlink>
    </w:p>
    <w:p>
      <w:pPr>
        <w:pStyle w:val="para24"/>
        <w:rPr>
          <w:lang w:eastAsia="de-de" w:bidi="de-de"/>
        </w:rPr>
      </w:pPr>
      <w:hyperlink w:anchor="_TOC001058" w:history="1">
        <w:r>
          <w:rPr>
            <w:lang w:eastAsia="de-de" w:bidi="de-de"/>
          </w:rPr>
          <w:t>2.2.2</w:t>
          <w:tab/>
          <w:t xml:space="preserve"> Zielanalyse: Was will ich?</w:t>
          <w:tab/>
          <w:t>33</w:t>
        </w:r>
      </w:hyperlink>
    </w:p>
    <w:p>
      <w:pPr>
        <w:pStyle w:val="para24"/>
        <w:rPr>
          <w:lang w:eastAsia="de-de" w:bidi="de-de"/>
        </w:rPr>
      </w:pPr>
      <w:hyperlink w:anchor="_TOC001059" w:history="1">
        <w:r>
          <w:rPr>
            <w:lang w:eastAsia="de-de" w:bidi="de-de"/>
          </w:rPr>
          <w:t>2.2.3</w:t>
          <w:tab/>
          <w:t xml:space="preserve"> Trendanalyse: Was wird gebraucht?</w:t>
          <w:tab/>
          <w:t>34</w:t>
        </w:r>
      </w:hyperlink>
    </w:p>
    <w:p>
      <w:pPr>
        <w:pStyle w:val="para22"/>
      </w:pPr>
      <w:hyperlink w:anchor="_Toc362531520" w:history="1">
        <w:r>
          <w:t>2.3</w:t>
          <w:tab/>
          <w:t xml:space="preserve"> Eine Selbsteinschätzung in Bezug auf die berufliche Zukunft</w:t>
          <w:tab/>
          <w:t>35</w:t>
        </w:r>
      </w:hyperlink>
    </w:p>
    <w:p>
      <w:pPr>
        <w:pStyle w:val="para22"/>
      </w:pPr>
      <w:hyperlink w:anchor="_TOC001060" w:history="1">
        <w:r>
          <w:t>2.4</w:t>
          <w:tab/>
          <w:t xml:space="preserve"> Meine Stärken in der Führungsarbeit, worin bin ich richtig gut?</w:t>
          <w:tab/>
          <w:t>36</w:t>
        </w:r>
      </w:hyperlink>
    </w:p>
    <w:p>
      <w:pPr>
        <w:pStyle w:val="para22"/>
      </w:pPr>
      <w:hyperlink w:anchor="_Toc349302543" w:history="1">
        <w:r>
          <w:t>2.5</w:t>
          <w:tab/>
          <w:t xml:space="preserve"> Persönliche Überzeugungen in Bezug auf Ihre Führungsarbeit</w:t>
          <w:tab/>
          <w:t>37</w:t>
        </w:r>
      </w:hyperlink>
    </w:p>
    <w:p>
      <w:pPr>
        <w:pStyle w:val="para22"/>
      </w:pPr>
      <w:hyperlink w:anchor="_Toc349302544" w:history="1">
        <w:r>
          <w:t>2.6</w:t>
          <w:tab/>
          <w:t xml:space="preserve"> Meine Werte als Grundlage für meine Führungsarbeit</w:t>
          <w:tab/>
          <w:t>38</w:t>
        </w:r>
      </w:hyperlink>
    </w:p>
    <w:p>
      <w:pPr>
        <w:pStyle w:val="para24"/>
        <w:rPr>
          <w:lang w:eastAsia="de-de" w:bidi="de-de"/>
        </w:rPr>
      </w:pPr>
      <w:hyperlink w:anchor="_Toc334988864" w:history="1">
        <w:r>
          <w:rPr>
            <w:lang w:eastAsia="de-de" w:bidi="de-de"/>
          </w:rPr>
          <w:t>2.6.1</w:t>
          <w:tab/>
          <w:t xml:space="preserve"> Eigene Werte ermitteln</w:t>
          <w:tab/>
          <w:t>39</w:t>
        </w:r>
      </w:hyperlink>
    </w:p>
    <w:p>
      <w:pPr>
        <w:pStyle w:val="para24"/>
        <w:rPr>
          <w:lang w:eastAsia="de-de" w:bidi="de-de"/>
        </w:rPr>
      </w:pPr>
      <w:hyperlink w:anchor="_Toc334988865" w:history="1">
        <w:r>
          <w:rPr>
            <w:lang w:eastAsia="de-de" w:bidi="de-de"/>
          </w:rPr>
          <w:t>2.6.2</w:t>
          <w:tab/>
          <w:t xml:space="preserve"> Kriterien für das Erfüllen Ihrer Werte</w:t>
          <w:tab/>
          <w:t>41</w:t>
        </w:r>
      </w:hyperlink>
    </w:p>
    <w:p>
      <w:pPr>
        <w:pStyle w:val="para22"/>
      </w:pPr>
      <w:hyperlink w:anchor="_TOC000010" w:history="1">
        <w:r>
          <w:t>2.7</w:t>
          <w:tab/>
          <w:t xml:space="preserve"> Gewinner und Verlierer als Ergebnis von Denkgewohnheiten</w:t>
          <w:tab/>
          <w:t>43</w:t>
        </w:r>
      </w:hyperlink>
    </w:p>
    <w:p>
      <w:pPr>
        <w:pStyle w:val="para24"/>
        <w:rPr>
          <w:lang w:eastAsia="de-de" w:bidi="de-de"/>
        </w:rPr>
      </w:pPr>
      <w:hyperlink w:anchor="_Toc362531535" w:history="1">
        <w:r>
          <w:rPr>
            <w:lang w:eastAsia="de-de" w:bidi="de-de"/>
          </w:rPr>
          <w:t>2.7.1</w:t>
          <w:tab/>
          <w:t xml:space="preserve"> Wie sich Erwartungshaltungen entwickeln</w:t>
          <w:tab/>
          <w:t>43</w:t>
        </w:r>
      </w:hyperlink>
    </w:p>
    <w:p>
      <w:pPr>
        <w:pStyle w:val="para24"/>
        <w:rPr>
          <w:lang w:eastAsia="de-de" w:bidi="de-de"/>
        </w:rPr>
      </w:pPr>
      <w:hyperlink w:anchor="_Toc362531536" w:history="1">
        <w:r>
          <w:rPr>
            <w:lang w:eastAsia="de-de" w:bidi="de-de"/>
          </w:rPr>
          <w:t>2.7.2</w:t>
          <w:tab/>
          <w:t xml:space="preserve"> Die Strategie der Gewinner</w:t>
          <w:tab/>
          <w:t>43</w:t>
        </w:r>
      </w:hyperlink>
    </w:p>
    <w:p>
      <w:pPr>
        <w:pStyle w:val="para24"/>
        <w:rPr>
          <w:lang w:eastAsia="de-de" w:bidi="de-de"/>
        </w:rPr>
      </w:pPr>
      <w:hyperlink w:anchor="_Toc362531538" w:history="1">
        <w:r>
          <w:rPr>
            <w:lang w:eastAsia="de-de" w:bidi="de-de"/>
          </w:rPr>
          <w:t>2.7.3</w:t>
          <w:tab/>
          <w:t xml:space="preserve"> Die Strategie der Verlierer</w:t>
          <w:tab/>
          <w:t>44</w:t>
        </w:r>
      </w:hyperlink>
    </w:p>
    <w:p>
      <w:pPr>
        <w:pStyle w:val="para24"/>
        <w:rPr>
          <w:lang w:eastAsia="de-de" w:bidi="de-de"/>
        </w:rPr>
      </w:pPr>
      <w:hyperlink w:anchor="_TOC000368" w:history="1">
        <w:r>
          <w:rPr>
            <w:lang w:eastAsia="de-de" w:bidi="de-de"/>
          </w:rPr>
          <w:t>2.7.4</w:t>
          <w:tab/>
          <w:t xml:space="preserve"> Eine Untersuchung bei AT&amp;T</w:t>
          <w:tab/>
          <w:t>45</w:t>
        </w:r>
      </w:hyperlink>
    </w:p>
    <w:p>
      <w:pPr>
        <w:pStyle w:val="para22"/>
      </w:pPr>
      <w:hyperlink w:anchor="_TOC001768" w:history="1">
        <w:r>
          <w:t>2.8</w:t>
          <w:tab/>
          <w:t xml:space="preserve"> Reflexionsbogen - </w:t>
        </w:r>
        <w:r>
          <w:t>Meine persönliche Klarheit</w:t>
        </w:r>
        <w:r>
          <w:tab/>
          <w:t>46</w:t>
        </w:r>
      </w:hyperlink>
    </w:p>
    <w:p>
      <w:pPr>
        <w:pStyle w:val="para22"/>
      </w:pPr>
      <w:hyperlink w:anchor="_TOC002123" w:history="1">
        <w:r>
          <w:t>2.9</w:t>
          <w:tab/>
          <w:t xml:space="preserve"> Finden Sie Ihren eigenen Führungsstil</w:t>
          <w:tab/>
          <w:t>50</w:t>
        </w:r>
      </w:hyperlink>
    </w:p>
    <w:p>
      <w:pPr>
        <w:pStyle w:val="para23"/>
      </w:pPr>
      <w:hyperlink w:anchor="_TOC001769" w:history="1">
        <w:r>
          <w:t>3</w:t>
          <w:tab/>
          <w:t xml:space="preserve"> Führung und Gesundheit</w:t>
          <w:tab/>
          <w:t>51</w:t>
        </w:r>
      </w:hyperlink>
    </w:p>
    <w:p>
      <w:pPr>
        <w:pStyle w:val="para22"/>
      </w:pPr>
      <w:hyperlink w:anchor="_TOC000530" w:history="1">
        <w:r>
          <w:t>3.1</w:t>
          <w:tab/>
          <w:t xml:space="preserve"> Gesunde Selbstführung: Was Sie für sich selbst tun können</w:t>
          <w:tab/>
          <w:t>51</w:t>
        </w:r>
      </w:hyperlink>
    </w:p>
    <w:p>
      <w:pPr>
        <w:pStyle w:val="para24"/>
        <w:rPr>
          <w:lang w:eastAsia="de-de" w:bidi="de-de"/>
        </w:rPr>
      </w:pPr>
      <w:hyperlink w:anchor="_TOC000531" w:history="1">
        <w:r>
          <w:rPr>
            <w:lang w:eastAsia="de-de" w:bidi="de-de"/>
          </w:rPr>
          <w:t>3.1.1</w:t>
          <w:tab/>
          <w:t xml:space="preserve"> Vier Ansatzpunkte für gesunde Selbstführung</w:t>
          <w:tab/>
          <w:t>51</w:t>
        </w:r>
      </w:hyperlink>
    </w:p>
    <w:p>
      <w:pPr>
        <w:pStyle w:val="para24"/>
        <w:rPr>
          <w:lang w:eastAsia="de-de" w:bidi="de-de"/>
        </w:rPr>
      </w:pPr>
      <w:hyperlink w:anchor="_TOC002564" w:history="1">
        <w:r>
          <w:rPr>
            <w:lang w:eastAsia="de-de" w:bidi="de-de"/>
          </w:rPr>
          <w:t>3.1.2</w:t>
          <w:tab/>
          <w:t xml:space="preserve"> Quick-Check: Bitte kreuzen Sie an, was auf Sie zutrifft</w:t>
          <w:tab/>
          <w:t>52</w:t>
        </w:r>
      </w:hyperlink>
    </w:p>
    <w:p>
      <w:pPr>
        <w:pStyle w:val="para24"/>
        <w:rPr>
          <w:lang w:eastAsia="de-de" w:bidi="de-de"/>
        </w:rPr>
      </w:pPr>
      <w:hyperlink w:anchor="_TOC000533" w:history="1">
        <w:r>
          <w:rPr>
            <w:lang w:eastAsia="de-de" w:bidi="de-de"/>
          </w:rPr>
          <w:t>3.1.3</w:t>
          <w:tab/>
          <w:t xml:space="preserve"> Innere Antreiber</w:t>
          <w:tab/>
          <w:t>53</w:t>
        </w:r>
      </w:hyperlink>
    </w:p>
    <w:p>
      <w:pPr>
        <w:pStyle w:val="para25"/>
      </w:pPr>
      <w:hyperlink w:anchor="_TOC000810" w:history="1">
        <w:r>
          <w:t>3.1.3.1</w:t>
          <w:tab/>
          <w:t xml:space="preserve"> Sei perfekt!</w:t>
          <w:tab/>
          <w:t>53</w:t>
        </w:r>
      </w:hyperlink>
    </w:p>
    <w:p>
      <w:pPr>
        <w:pStyle w:val="para25"/>
      </w:pPr>
      <w:hyperlink w:anchor="_TOC000811" w:history="1">
        <w:r>
          <w:t>3.1.3.2</w:t>
          <w:tab/>
          <w:t xml:space="preserve"> Sei beliebt!</w:t>
          <w:tab/>
          <w:t>53</w:t>
        </w:r>
      </w:hyperlink>
    </w:p>
    <w:p>
      <w:pPr>
        <w:pStyle w:val="para25"/>
      </w:pPr>
      <w:hyperlink w:anchor="_TOC000812" w:history="1">
        <w:r>
          <w:t>3.1.3.3</w:t>
          <w:tab/>
          <w:t xml:space="preserve"> Sei stark!</w:t>
          <w:tab/>
          <w:t>54</w:t>
        </w:r>
      </w:hyperlink>
    </w:p>
    <w:p>
      <w:pPr>
        <w:pStyle w:val="para25"/>
      </w:pPr>
      <w:hyperlink w:anchor="_TOC000813" w:history="1">
        <w:r>
          <w:t>3.1.3.4</w:t>
          <w:tab/>
          <w:t xml:space="preserve"> Sei vorsichtig!</w:t>
          <w:tab/>
          <w:t>54</w:t>
        </w:r>
      </w:hyperlink>
    </w:p>
    <w:p>
      <w:pPr>
        <w:pStyle w:val="para25"/>
      </w:pPr>
      <w:hyperlink w:anchor="_TOC000814" w:history="1">
        <w:r>
          <w:t>3.1.3.5</w:t>
          <w:tab/>
          <w:t xml:space="preserve"> Ich kann nicht! oder Hilf mir!</w:t>
          <w:tab/>
          <w:t>54</w:t>
        </w:r>
      </w:hyperlink>
    </w:p>
    <w:p>
      <w:pPr>
        <w:pStyle w:val="para25"/>
      </w:pPr>
      <w:hyperlink w:anchor="_TOC000815" w:history="1">
        <w:r>
          <w:t>3.1.3.6</w:t>
          <w:tab/>
          <w:t xml:space="preserve"> Checkliste: Ermittlung der inneren Antreiber</w:t>
          <w:tab/>
          <w:t>55</w:t>
        </w:r>
      </w:hyperlink>
    </w:p>
    <w:p>
      <w:pPr>
        <w:pStyle w:val="para24"/>
        <w:rPr>
          <w:lang w:eastAsia="de-de" w:bidi="de-de"/>
        </w:rPr>
      </w:pPr>
      <w:hyperlink w:anchor="_TOC000816" w:history="1">
        <w:r>
          <w:rPr>
            <w:lang w:eastAsia="de-de" w:bidi="de-de"/>
          </w:rPr>
          <w:t>3.1.4</w:t>
          <w:tab/>
          <w:t xml:space="preserve"> Was ist Stress?</w:t>
          <w:tab/>
          <w:t>57</w:t>
        </w:r>
      </w:hyperlink>
    </w:p>
    <w:p>
      <w:pPr>
        <w:pStyle w:val="para24"/>
        <w:rPr>
          <w:lang w:eastAsia="de-de" w:bidi="de-de"/>
        </w:rPr>
      </w:pPr>
      <w:hyperlink w:anchor="_TOC000874" w:history="1">
        <w:r>
          <w:rPr>
            <w:lang w:eastAsia="de-de" w:bidi="de-de"/>
          </w:rPr>
          <w:t>3.1.5</w:t>
          <w:tab/>
          <w:t xml:space="preserve"> Woran erkennen Sie, dass Sie gesund sind?</w:t>
          <w:tab/>
          <w:t>58</w:t>
        </w:r>
      </w:hyperlink>
    </w:p>
    <w:p>
      <w:pPr>
        <w:pStyle w:val="para25"/>
      </w:pPr>
      <w:hyperlink w:anchor="_TOC000535" w:history="1">
        <w:r>
          <w:t>3.1.5.1</w:t>
          <w:tab/>
          <w:t xml:space="preserve"> Definition Gesundheit</w:t>
          <w:tab/>
          <w:t>58</w:t>
        </w:r>
      </w:hyperlink>
    </w:p>
    <w:p>
      <w:pPr>
        <w:pStyle w:val="para25"/>
      </w:pPr>
      <w:hyperlink w:anchor="_TOC000536" w:history="1">
        <w:r>
          <w:t>3.1.5.2</w:t>
          <w:tab/>
          <w:t xml:space="preserve"> Arbeitsbezogenes Wohlbefinden</w:t>
          <w:tab/>
          <w:t>58</w:t>
        </w:r>
      </w:hyperlink>
    </w:p>
    <w:p>
      <w:pPr>
        <w:pStyle w:val="para24"/>
        <w:rPr>
          <w:lang w:eastAsia="de-de" w:bidi="de-de"/>
        </w:rPr>
      </w:pPr>
      <w:hyperlink w:anchor="_TOC000544" w:history="1">
        <w:r>
          <w:rPr>
            <w:lang w:eastAsia="de-de" w:bidi="de-de"/>
          </w:rPr>
          <w:t>3.1.6</w:t>
          <w:tab/>
          <w:t xml:space="preserve"> Dem Stress die Stirn bieten</w:t>
          <w:tab/>
          <w:t>58</w:t>
        </w:r>
      </w:hyperlink>
    </w:p>
    <w:p>
      <w:pPr>
        <w:pStyle w:val="para25"/>
      </w:pPr>
      <w:hyperlink w:anchor="_TOC000538" w:history="1">
        <w:r>
          <w:t>3.1.6.1</w:t>
          <w:tab/>
          <w:t xml:space="preserve"> Anti-Stress-Strategien</w:t>
          <w:tab/>
          <w:t>58</w:t>
        </w:r>
      </w:hyperlink>
    </w:p>
    <w:p>
      <w:pPr>
        <w:pStyle w:val="para25"/>
      </w:pPr>
      <w:hyperlink w:anchor="_TOC000539" w:history="1">
        <w:r>
          <w:t>3.1.6.2</w:t>
          <w:tab/>
          <w:t xml:space="preserve"> An den Arbeitsbedingungen ansetzen</w:t>
          <w:tab/>
          <w:t>58</w:t>
        </w:r>
      </w:hyperlink>
    </w:p>
    <w:p>
      <w:pPr>
        <w:pStyle w:val="para25"/>
      </w:pPr>
      <w:hyperlink w:anchor="_TOC000540" w:history="1">
        <w:r>
          <w:t>3.1.6.3</w:t>
          <w:tab/>
          <w:t xml:space="preserve"> An der Person ansetzen</w:t>
          <w:tab/>
          <w:t>59</w:t>
        </w:r>
      </w:hyperlink>
    </w:p>
    <w:p>
      <w:pPr>
        <w:pStyle w:val="para22"/>
      </w:pPr>
      <w:hyperlink w:anchor="_TOC000541" w:history="1">
        <w:r>
          <w:t>3.2</w:t>
          <w:tab/>
          <w:t xml:space="preserve"> Gesunde Mitarbeiterführung: Was Sie für Ihre Beschäftigten tun können</w:t>
          <w:tab/>
          <w:t>59</w:t>
        </w:r>
      </w:hyperlink>
    </w:p>
    <w:p>
      <w:pPr>
        <w:pStyle w:val="para24"/>
        <w:rPr>
          <w:lang w:eastAsia="de-de" w:bidi="de-de"/>
        </w:rPr>
      </w:pPr>
      <w:hyperlink w:anchor="_TOC000542" w:history="1">
        <w:r>
          <w:rPr>
            <w:lang w:eastAsia="de-de" w:bidi="de-de"/>
          </w:rPr>
          <w:t>3.2.1</w:t>
          <w:tab/>
          <w:t xml:space="preserve"> Arbeit organisieren und gestalten</w:t>
          <w:tab/>
          <w:t>59</w:t>
        </w:r>
      </w:hyperlink>
    </w:p>
    <w:p>
      <w:pPr>
        <w:pStyle w:val="para24"/>
        <w:rPr>
          <w:lang w:eastAsia="de-de" w:bidi="de-de"/>
        </w:rPr>
      </w:pPr>
      <w:hyperlink w:anchor="_TOC000543" w:history="1">
        <w:r>
          <w:rPr>
            <w:lang w:eastAsia="de-de" w:bidi="de-de"/>
          </w:rPr>
          <w:t>3.2.2</w:t>
          <w:tab/>
          <w:t xml:space="preserve"> Ihre Vorbildfunktion</w:t>
          <w:tab/>
          <w:t>60</w:t>
        </w:r>
      </w:hyperlink>
    </w:p>
    <w:p>
      <w:pPr>
        <w:pStyle w:val="para25"/>
      </w:pPr>
      <w:hyperlink w:anchor="_TOC000545" w:history="1">
        <w:r>
          <w:t>3.2.2.1</w:t>
          <w:tab/>
          <w:t xml:space="preserve"> Das Präsentismusphänomen</w:t>
          <w:tab/>
          <w:t>60</w:t>
        </w:r>
      </w:hyperlink>
    </w:p>
    <w:p>
      <w:pPr>
        <w:pStyle w:val="para25"/>
      </w:pPr>
      <w:hyperlink w:anchor="_TOC000546" w:history="1">
        <w:r>
          <w:t>3.2.2.2</w:t>
          <w:tab/>
          <w:t xml:space="preserve"> Wie sieht es bei Ihren Beschäftigten aus?</w:t>
          <w:tab/>
          <w:t>60</w:t>
        </w:r>
      </w:hyperlink>
    </w:p>
    <w:p>
      <w:pPr>
        <w:pStyle w:val="para25"/>
      </w:pPr>
      <w:hyperlink w:anchor="_TOC000547" w:history="1">
        <w:r>
          <w:t>3.2.2.3</w:t>
          <w:tab/>
          <w:t xml:space="preserve"> Die Hauptbeweggründe für Präsentismus</w:t>
          <w:tab/>
          <w:t>61</w:t>
        </w:r>
      </w:hyperlink>
    </w:p>
    <w:p>
      <w:pPr>
        <w:pStyle w:val="para24"/>
        <w:rPr>
          <w:lang w:eastAsia="de-de" w:bidi="de-de"/>
        </w:rPr>
      </w:pPr>
      <w:hyperlink w:anchor="_TOC000548" w:history="1">
        <w:r>
          <w:rPr>
            <w:lang w:eastAsia="de-de" w:bidi="de-de"/>
          </w:rPr>
          <w:t>3.2.3</w:t>
          <w:tab/>
          <w:t xml:space="preserve"> Ihr Führungsverhalten</w:t>
          <w:tab/>
          <w:t>61</w:t>
        </w:r>
      </w:hyperlink>
    </w:p>
    <w:p>
      <w:pPr>
        <w:pStyle w:val="para25"/>
      </w:pPr>
      <w:hyperlink w:anchor="_TOC000549" w:history="1">
        <w:r>
          <w:t>3.2.3.1</w:t>
          <w:tab/>
          <w:t xml:space="preserve"> Die eigenen Ansprüche reflektieren</w:t>
          <w:tab/>
          <w:t>61</w:t>
        </w:r>
      </w:hyperlink>
    </w:p>
    <w:p>
      <w:pPr>
        <w:pStyle w:val="para25"/>
      </w:pPr>
      <w:hyperlink w:anchor="_TOC000550" w:history="1">
        <w:r>
          <w:t>3.2.3.2</w:t>
          <w:tab/>
          <w:t xml:space="preserve"> Wertschätzung als Gesundheitsressource</w:t>
          <w:tab/>
          <w:t>61</w:t>
        </w:r>
      </w:hyperlink>
    </w:p>
    <w:p>
      <w:pPr>
        <w:pStyle w:val="para26"/>
      </w:pPr>
      <w:hyperlink w:anchor="_TOC000551" w:history="1">
        <w:r>
          <w:t>3.2.3.2.1</w:t>
          <w:tab/>
          <w:t xml:space="preserve"> Positive Auswirkungen von Wertschätzung</w:t>
          <w:tab/>
          <w:t>61</w:t>
        </w:r>
      </w:hyperlink>
    </w:p>
    <w:p>
      <w:pPr>
        <w:pStyle w:val="para26"/>
      </w:pPr>
      <w:hyperlink w:anchor="_TOC000552" w:history="1">
        <w:r>
          <w:t>3.2.3.2.2</w:t>
          <w:tab/>
          <w:t xml:space="preserve"> Negative Auswirkungen von mangelnder Wertschätzung</w:t>
          <w:tab/>
          <w:t>61</w:t>
        </w:r>
      </w:hyperlink>
    </w:p>
    <w:p>
      <w:pPr>
        <w:pStyle w:val="para25"/>
      </w:pPr>
      <w:hyperlink w:anchor="_TOC000553" w:history="1">
        <w:r>
          <w:t>3.2.3.3</w:t>
          <w:tab/>
          <w:t xml:space="preserve"> Welches Führungsverhalten ist gesundheitsförderlich?</w:t>
          <w:tab/>
          <w:t>62</w:t>
        </w:r>
      </w:hyperlink>
    </w:p>
    <w:p>
      <w:pPr>
        <w:pStyle w:val="para25"/>
      </w:pPr>
      <w:hyperlink w:anchor="_TOC000554" w:history="1">
        <w:r>
          <w:t>3.2.3.4</w:t>
          <w:tab/>
          <w:t xml:space="preserve"> Was bedeutet das konkret?</w:t>
          <w:tab/>
          <w:t>62</w:t>
        </w:r>
      </w:hyperlink>
    </w:p>
    <w:p>
      <w:pPr>
        <w:pStyle w:val="para25"/>
      </w:pPr>
      <w:hyperlink w:anchor="_TOC001295" w:history="1">
        <w:r>
          <w:t>3.2.3.5</w:t>
          <w:tab/>
          <w:t xml:space="preserve"> Tipps: Gesundheits- und entwicklungsförderliches Führungsverhalten</w:t>
          <w:tab/>
          <w:t>63</w:t>
        </w:r>
      </w:hyperlink>
    </w:p>
    <w:p>
      <w:pPr>
        <w:pStyle w:val="para25"/>
      </w:pPr>
      <w:hyperlink w:anchor="_TOC000556" w:history="1">
        <w:r>
          <w:t>3.2.3.6</w:t>
          <w:tab/>
          <w:t xml:space="preserve"> Entwicklungsorientierte Führung: Herausfordern ohne zu überfordern</w:t>
          <w:tab/>
          <w:t>64</w:t>
        </w:r>
      </w:hyperlink>
    </w:p>
    <w:p>
      <w:pPr>
        <w:pStyle w:val="para26"/>
      </w:pPr>
      <w:hyperlink w:anchor="_TOC000557" w:history="1">
        <w:r>
          <w:t>3.2.3.6.1</w:t>
          <w:tab/>
          <w:t xml:space="preserve"> Aktiv werden und verändern</w:t>
          <w:tab/>
          <w:t>64</w:t>
        </w:r>
      </w:hyperlink>
    </w:p>
    <w:p>
      <w:pPr>
        <w:pStyle w:val="para26"/>
      </w:pPr>
      <w:hyperlink w:anchor="_TOC000558" w:history="1">
        <w:r>
          <w:t>3.2.3.6.2</w:t>
          <w:tab/>
          <w:t xml:space="preserve"> Angemessen delegieren</w:t>
          <w:tab/>
          <w:t>64</w:t>
        </w:r>
      </w:hyperlink>
    </w:p>
    <w:p>
      <w:pPr>
        <w:pStyle w:val="para22"/>
      </w:pPr>
      <w:hyperlink w:anchor="_TOC002565" w:history="1">
        <w:r>
          <w:t>3.3</w:t>
          <w:tab/>
          <w:t xml:space="preserve"> Gesunde Rahmenbedingungen:  Welche Voraussetzungen Sie unterstützen</w:t>
          <w:tab/>
          <w:t>65</w:t>
        </w:r>
      </w:hyperlink>
    </w:p>
    <w:p>
      <w:pPr>
        <w:pStyle w:val="para24"/>
        <w:rPr>
          <w:lang w:eastAsia="de-de" w:bidi="de-de"/>
        </w:rPr>
      </w:pPr>
      <w:hyperlink w:anchor="_TOC000560" w:history="1">
        <w:r>
          <w:rPr>
            <w:lang w:eastAsia="de-de" w:bidi="de-de"/>
          </w:rPr>
          <w:t>3.3.1</w:t>
          <w:tab/>
          <w:t xml:space="preserve"> Auf die Bedingungen kommt es an</w:t>
          <w:tab/>
          <w:t>65</w:t>
        </w:r>
      </w:hyperlink>
    </w:p>
    <w:p>
      <w:pPr>
        <w:pStyle w:val="para25"/>
      </w:pPr>
      <w:hyperlink w:anchor="_TOC000561" w:history="1">
        <w:r>
          <w:t>3.3.1.1</w:t>
          <w:tab/>
          <w:t xml:space="preserve"> Optimale Rahmenbedingungen gesunder Führung</w:t>
          <w:tab/>
          <w:t>65</w:t>
        </w:r>
      </w:hyperlink>
    </w:p>
    <w:p>
      <w:pPr>
        <w:pStyle w:val="para24"/>
        <w:rPr>
          <w:lang w:eastAsia="de-de" w:bidi="de-de"/>
        </w:rPr>
      </w:pPr>
      <w:hyperlink w:anchor="_TOC000562" w:history="1">
        <w:r>
          <w:rPr>
            <w:lang w:eastAsia="de-de" w:bidi="de-de"/>
          </w:rPr>
          <w:t>3.3.2</w:t>
          <w:tab/>
          <w:t xml:space="preserve"> Gesunde Unternehmenskultur</w:t>
          <w:tab/>
          <w:t>65</w:t>
        </w:r>
      </w:hyperlink>
    </w:p>
    <w:p>
      <w:pPr>
        <w:pStyle w:val="para24"/>
        <w:rPr>
          <w:lang w:eastAsia="de-de" w:bidi="de-de"/>
        </w:rPr>
      </w:pPr>
      <w:hyperlink w:anchor="_TOC000563" w:history="1">
        <w:r>
          <w:rPr>
            <w:lang w:eastAsia="de-de" w:bidi="de-de"/>
          </w:rPr>
          <w:t>3.3.3</w:t>
          <w:tab/>
          <w:t xml:space="preserve"> Inner- und außerbetriebliche Unterstützung</w:t>
          <w:tab/>
          <w:t>65</w:t>
        </w:r>
      </w:hyperlink>
    </w:p>
    <w:p>
      <w:pPr>
        <w:pStyle w:val="para24"/>
        <w:rPr>
          <w:lang w:eastAsia="de-de" w:bidi="de-de"/>
        </w:rPr>
      </w:pPr>
      <w:hyperlink w:anchor="_TOC000564" w:history="1">
        <w:r>
          <w:rPr>
            <w:lang w:eastAsia="de-de" w:bidi="de-de"/>
          </w:rPr>
          <w:t>3.3.4</w:t>
          <w:tab/>
          <w:t xml:space="preserve"> Gesundheit fördern und managen</w:t>
          <w:tab/>
          <w:t>65</w:t>
        </w:r>
      </w:hyperlink>
    </w:p>
    <w:p>
      <w:pPr>
        <w:pStyle w:val="para22"/>
      </w:pPr>
      <w:hyperlink w:anchor="_TOC000623" w:history="1">
        <w:r>
          <w:t>3.4</w:t>
          <w:tab/>
          <w:t xml:space="preserve"> Fehlzeiten richtig deuten: So unterstützt du deine Mitarbeiter</w:t>
          <w:tab/>
          <w:t>66</w:t>
        </w:r>
      </w:hyperlink>
    </w:p>
    <w:p>
      <w:pPr>
        <w:pStyle w:val="para24"/>
        <w:rPr>
          <w:lang w:eastAsia="de-de" w:bidi="de-de"/>
        </w:rPr>
      </w:pPr>
      <w:hyperlink w:anchor="_TOC001234" w:history="1">
        <w:r>
          <w:rPr>
            <w:lang w:eastAsia="de-de" w:bidi="de-de"/>
          </w:rPr>
          <w:t>3.4.1</w:t>
          <w:tab/>
          <w:t xml:space="preserve"> Wenn Fehlzeiten zunehmen</w:t>
          <w:tab/>
          <w:t>66</w:t>
        </w:r>
      </w:hyperlink>
    </w:p>
    <w:p>
      <w:pPr>
        <w:pStyle w:val="para24"/>
        <w:rPr>
          <w:lang w:eastAsia="de-de" w:bidi="de-de"/>
        </w:rPr>
      </w:pPr>
      <w:hyperlink w:anchor="_TOC001235" w:history="1">
        <w:r>
          <w:rPr>
            <w:lang w:eastAsia="de-de" w:bidi="de-de"/>
          </w:rPr>
          <w:t>3.4.2</w:t>
          <w:tab/>
          <w:t xml:space="preserve"> Gegensteuern, wenn sich Fehlzeiten häufen</w:t>
          <w:tab/>
          <w:t>66</w:t>
        </w:r>
      </w:hyperlink>
    </w:p>
    <w:p>
      <w:pPr>
        <w:pStyle w:val="para24"/>
        <w:rPr>
          <w:lang w:eastAsia="de-de" w:bidi="de-de"/>
        </w:rPr>
      </w:pPr>
      <w:hyperlink w:anchor="_TOC001236" w:history="1">
        <w:r>
          <w:rPr>
            <w:lang w:eastAsia="de-de" w:bidi="de-de"/>
          </w:rPr>
          <w:t>3.4.3</w:t>
          <w:tab/>
          <w:t xml:space="preserve"> Präsentismus kritisch hinterfragen</w:t>
          <w:tab/>
          <w:t>66</w:t>
        </w:r>
      </w:hyperlink>
    </w:p>
    <w:p>
      <w:pPr>
        <w:pStyle w:val="para23"/>
      </w:pPr>
      <w:hyperlink w:anchor="_TOC001237" w:history="1">
        <w:r>
          <w:t>4</w:t>
          <w:tab/>
          <w:t xml:space="preserve"> Mitarbeitergespräche</w:t>
          <w:tab/>
          <w:t>67</w:t>
        </w:r>
      </w:hyperlink>
    </w:p>
    <w:p>
      <w:pPr>
        <w:pStyle w:val="para22"/>
      </w:pPr>
      <w:hyperlink w:anchor="_TOC000624" w:history="1">
        <w:r>
          <w:t>4.1</w:t>
          <w:tab/>
          <w:t xml:space="preserve"> Mitarbeiterjahresgespräch</w:t>
          <w:tab/>
          <w:t>67</w:t>
        </w:r>
      </w:hyperlink>
    </w:p>
    <w:p>
      <w:pPr>
        <w:pStyle w:val="para24"/>
        <w:rPr>
          <w:lang w:eastAsia="de-de" w:bidi="de-de"/>
        </w:rPr>
      </w:pPr>
      <w:hyperlink w:anchor="_TOC002149" w:history="1">
        <w:r>
          <w:rPr>
            <w:lang w:eastAsia="de-de" w:bidi="de-de"/>
          </w:rPr>
          <w:t>4.1.1</w:t>
          <w:tab/>
          <w:t xml:space="preserve"> Leitfäden und Formulare</w:t>
          <w:tab/>
          <w:t>68</w:t>
        </w:r>
      </w:hyperlink>
    </w:p>
    <w:p>
      <w:pPr>
        <w:pStyle w:val="para25"/>
      </w:pPr>
      <w:hyperlink w:anchor="_TOC002150" w:history="1">
        <w:r>
          <w:t>4.1.1.1</w:t>
          <w:tab/>
          <w:t xml:space="preserve"> Mitarbeiterjahresgespräch – Fragenliste zur Vorbereitung Vorgesetzter</w:t>
          <w:tab/>
          <w:t>68</w:t>
        </w:r>
      </w:hyperlink>
    </w:p>
    <w:p>
      <w:pPr>
        <w:pStyle w:val="para25"/>
      </w:pPr>
      <w:hyperlink w:anchor="_TOC002151" w:history="1">
        <w:r>
          <w:t>4.1.1.2</w:t>
          <w:tab/>
          <w:t xml:space="preserve"> Mitarbeiterjahresgespräch – Fragenliste zur Vorbereitung Mitarbeiter</w:t>
          <w:tab/>
          <w:t>71</w:t>
        </w:r>
      </w:hyperlink>
    </w:p>
    <w:p>
      <w:pPr>
        <w:pStyle w:val="para25"/>
      </w:pPr>
      <w:hyperlink w:anchor="_TOC002152" w:history="1">
        <w:r>
          <w:t>4.1.1.3</w:t>
          <w:tab/>
          <w:t xml:space="preserve"> Mitarbeiterjahresgespräch – Leitfaden zum Gesprächsablauf</w:t>
          <w:tab/>
          <w:t>74</w:t>
        </w:r>
      </w:hyperlink>
    </w:p>
    <w:p>
      <w:pPr>
        <w:pStyle w:val="para25"/>
      </w:pPr>
      <w:hyperlink w:anchor="_TOC002153" w:history="1">
        <w:r>
          <w:t>4.1.1.4</w:t>
          <w:tab/>
          <w:t xml:space="preserve"> Mitarbeiterjahresgespräch – Gesprächsdokumentationsbogen</w:t>
          <w:tab/>
          <w:t>77</w:t>
        </w:r>
      </w:hyperlink>
    </w:p>
    <w:p>
      <w:pPr>
        <w:pStyle w:val="para22"/>
      </w:pPr>
      <w:hyperlink w:anchor="_TOC002154" w:history="1">
        <w:r>
          <w:t>4.2</w:t>
          <w:tab/>
          <w:t xml:space="preserve"> Vom Kritikgespräch zur Abmahnung</w:t>
          <w:tab/>
          <w:t>84</w:t>
        </w:r>
      </w:hyperlink>
    </w:p>
    <w:p>
      <w:pPr>
        <w:pStyle w:val="para24"/>
        <w:rPr>
          <w:lang w:eastAsia="de-de" w:bidi="de-de"/>
        </w:rPr>
      </w:pPr>
      <w:hyperlink w:anchor="_TOC002155" w:history="1">
        <w:r>
          <w:rPr>
            <w:lang w:eastAsia="de-de" w:bidi="de-de"/>
          </w:rPr>
          <w:t>4.2.1</w:t>
          <w:tab/>
          <w:t xml:space="preserve"> Leitfäden und Formulare</w:t>
          <w:tab/>
          <w:t>85</w:t>
        </w:r>
      </w:hyperlink>
    </w:p>
    <w:p>
      <w:pPr>
        <w:pStyle w:val="para25"/>
      </w:pPr>
      <w:hyperlink w:anchor="_TOC002156" w:history="1">
        <w:r>
          <w:t>4.2.1.1</w:t>
          <w:tab/>
          <w:t xml:space="preserve"> Muster einer Ermahnung</w:t>
          <w:tab/>
          <w:t>85</w:t>
        </w:r>
      </w:hyperlink>
    </w:p>
    <w:p>
      <w:pPr>
        <w:pStyle w:val="para25"/>
      </w:pPr>
      <w:hyperlink w:anchor="_TOC002157" w:history="1">
        <w:r>
          <w:t>4.2.1.2</w:t>
          <w:tab/>
          <w:t xml:space="preserve"> Muster einer Abmahnung</w:t>
          <w:tab/>
          <w:t>86</w:t>
        </w:r>
      </w:hyperlink>
    </w:p>
    <w:p>
      <w:pPr>
        <w:pStyle w:val="para25"/>
      </w:pPr>
      <w:hyperlink w:anchor="_TOC002158" w:history="1">
        <w:r>
          <w:t>4.2.1.3</w:t>
          <w:tab/>
          <w:t xml:space="preserve"> Kritik-, Ermahnungs- oder Abmahnungsgespräch – Vorbereitungsbogen</w:t>
          <w:tab/>
          <w:t>87</w:t>
        </w:r>
      </w:hyperlink>
    </w:p>
    <w:p>
      <w:pPr>
        <w:pStyle w:val="para25"/>
      </w:pPr>
      <w:hyperlink w:anchor="_TOC002159" w:history="1">
        <w:r>
          <w:t>4.2.1.4</w:t>
          <w:tab/>
          <w:t xml:space="preserve"> Leitfaden zum Kritikgespräch</w:t>
          <w:tab/>
          <w:t>89</w:t>
        </w:r>
      </w:hyperlink>
    </w:p>
    <w:p>
      <w:pPr>
        <w:pStyle w:val="para25"/>
      </w:pPr>
      <w:hyperlink w:anchor="_TOC002160" w:history="1">
        <w:r>
          <w:t>4.2.1.5</w:t>
          <w:tab/>
          <w:t xml:space="preserve"> Leitfaden zum Abmahnungsgespräch</w:t>
          <w:tab/>
          <w:t>91</w:t>
        </w:r>
      </w:hyperlink>
    </w:p>
    <w:p>
      <w:pPr>
        <w:pStyle w:val="para24"/>
        <w:rPr>
          <w:lang w:eastAsia="de-de" w:bidi="de-de"/>
        </w:rPr>
      </w:pPr>
      <w:hyperlink w:anchor="_TOC002161" w:history="1">
        <w:r>
          <w:rPr>
            <w:lang w:eastAsia="de-de" w:bidi="de-de"/>
          </w:rPr>
          <w:t>4.2.2</w:t>
          <w:tab/>
          <w:t xml:space="preserve"> Übungen</w:t>
          <w:tab/>
          <w:t>93</w:t>
        </w:r>
      </w:hyperlink>
    </w:p>
    <w:p>
      <w:pPr>
        <w:pStyle w:val="para25"/>
      </w:pPr>
      <w:hyperlink w:anchor="_TOC002162" w:history="1">
        <w:r>
          <w:t>4.2.2.1</w:t>
          <w:tab/>
          <w:t xml:space="preserve"> Mitarbeitergespräch – Eigenes Fallbeispiel</w:t>
          <w:tab/>
          <w:t>93</w:t>
        </w:r>
      </w:hyperlink>
    </w:p>
    <w:p>
      <w:pPr>
        <w:pStyle w:val="para25"/>
      </w:pPr>
      <w:hyperlink w:anchor="_TOC002163" w:history="1">
        <w:r>
          <w:t>4.2.2.2</w:t>
          <w:tab/>
          <w:t xml:space="preserve"> Übung: Mitarbeitergespräch – Kritik 1</w:t>
          <w:tab/>
          <w:t>95</w:t>
        </w:r>
      </w:hyperlink>
    </w:p>
    <w:p>
      <w:pPr>
        <w:pStyle w:val="para25"/>
      </w:pPr>
      <w:hyperlink w:anchor="_TOC002164" w:history="1">
        <w:r>
          <w:t>4.2.2.3</w:t>
          <w:tab/>
          <w:t xml:space="preserve"> Übung: Mitarbeitergespräch – Kritik 2</w:t>
          <w:tab/>
          <w:t>96</w:t>
        </w:r>
      </w:hyperlink>
    </w:p>
    <w:p>
      <w:pPr>
        <w:pStyle w:val="para25"/>
      </w:pPr>
      <w:hyperlink w:anchor="_TOC002165" w:history="1">
        <w:r>
          <w:t>4.2.2.4</w:t>
          <w:tab/>
          <w:t xml:space="preserve"> Übung: Mitarbeitergespräch – Abmahnung 1</w:t>
          <w:tab/>
          <w:t>97</w:t>
        </w:r>
      </w:hyperlink>
    </w:p>
    <w:p>
      <w:pPr>
        <w:pStyle w:val="para25"/>
      </w:pPr>
      <w:hyperlink w:anchor="_TOC002166" w:history="1">
        <w:r>
          <w:t>4.2.2.5</w:t>
          <w:tab/>
          <w:t xml:space="preserve"> Übung: Mitarbeitergespräch – Abmahnung 2</w:t>
          <w:tab/>
          <w:t>98</w:t>
        </w:r>
      </w:hyperlink>
    </w:p>
    <w:p>
      <w:r>
        <w:fldChar w:fldCharType="end"/>
      </w:r>
      <w:r/>
    </w:p>
    <w:p>
      <w:pPr>
        <w:sectPr>
          <w:footnotePr>
            <w:pos w:val="pageBottom"/>
            <w:numFmt w:val="decimal"/>
            <w:numStart w:val="1"/>
            <w:numRestart w:val="continuous"/>
          </w:footnotePr>
          <w:endnotePr>
            <w:pos w:val="docEnd"/>
            <w:numFmt w:val="decimal"/>
            <w:numStart w:val="1"/>
            <w:numRestart w:val="continuous"/>
          </w:endnotePr>
          <w:headerReference w:type="default" r:id="rId21"/>
          <w:footerReference w:type="default" r:id="rId22"/>
          <w:headerReference w:type="even" r:id="rId23"/>
          <w:footerReference w:type="even" r:id="rId24"/>
          <w:type w:val="nextPage"/>
          <w:pgSz w:h="16838" w:w="11906"/>
          <w:pgMar w:left="1984" w:top="1418" w:right="1134" w:bottom="1418" w:header="709" w:footer="709"/>
          <w:paperSrc w:first="0" w:other="0" a="0" b="0"/>
          <w:pgNumType w:fmt="lowerRoman" w:start="1"/>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tabs defTabSz="708">
          <w:tab w:val="left" w:pos="2211" w:leader="none"/>
        </w:tabs>
      </w:pPr>
      <w:r/>
    </w:p>
    <w:p>
      <w:pPr>
        <w:sectPr>
          <w:footnotePr>
            <w:pos w:val="pageBottom"/>
            <w:numFmt w:val="decimal"/>
            <w:numStart w:val="1"/>
            <w:numRestart w:val="continuous"/>
          </w:footnotePr>
          <w:endnotePr>
            <w:pos w:val="docEnd"/>
            <w:numFmt w:val="decimal"/>
            <w:numStart w:val="1"/>
            <w:numRestart w:val="continuous"/>
          </w:endnotePr>
          <w:headerReference w:type="default" r:id="rId25"/>
          <w:footerReference w:type="default" r:id="rId26"/>
          <w:headerReference w:type="even" r:id="rId27"/>
          <w:footerReference w:type="even" r:id="rId28"/>
          <w:type w:val="nextPage"/>
          <w:pgSz w:h="16838" w:w="11906"/>
          <w:pgMar w:left="1701" w:top="1418" w:right="1418" w:bottom="1418" w:header="709" w:footer="709"/>
          <w:paperSrc w:first="0" w:other="0" a="0" b="0"/>
          <w:pgNumType w:fmt="lowerRoman" w:start="1"/>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42"/>
        </w:numPr>
        <w:ind w:left="432" w:hanging="432"/>
        <w:spacing w:before="0"/>
      </w:pPr>
      <w:r>
        <w:br w:type="page"/>
      </w:r>
      <w:bookmarkStart w:id="0" w:name="_TOC000005"/>
      <w:r>
        <w:t>Führung</w:t>
      </w:r>
      <w:bookmarkEnd w:id="0"/>
      <w:r/>
    </w:p>
    <w:p>
      <w:r>
        <w:t>Was ist die wichtigste Aufgabe einer Führungskraft?</w:t>
      </w:r>
    </w:p>
    <w:p>
      <w:pPr>
        <w:spacing/>
        <w:jc w:val="center"/>
      </w:pPr>
      <w:r>
        <w:t xml:space="preserve">Dafür zu sorgen, dass es ihr gut geht! </w:t>
      </w:r>
    </w:p>
    <w:p>
      <w:r>
        <w:t xml:space="preserve">Denn nur, wenn es ihr gut geht, kann sie authentisch führen. Geht es ihr nicht gut, wird sie durch diesen Missstand beeinflusst, was sich im Kommunikationsverhalten niederschlägt. Der unbewusst wahrgenommene nonverbale Anteil der Kommunikation beeinflusst die Mitarbeiter und wirkt stimmungsbildend. </w:t>
      </w:r>
    </w:p>
    <w:p>
      <w:r>
        <w:t>Zum guten Selbstmanagement gehört nicht nur, dass man sich in einen leistungsfähigen Zustand bringt und diesen möglichst lange erhält, es gehört auch innere Balance und Zufriedenheit dazu. Denn der Zustand der Zufriedenheit ist das Ergebnis einer unbewussten Bewertung der eigenen Situation. Denn Zufriedenheit mit dem Erreichten gibt die Kraft für die nächsten Schritte. Zufriedenheit führt zu Begeisterung. Damit wird die Arbeit leicht.</w:t>
      </w:r>
    </w:p>
    <w:p>
      <w:r>
        <w:t>Permanente Unzufriedenheit führt zu einer negativen Stimmung und begrenzt die persönlichen Möglichkeiten. Die Aussage mancher Führungskräfte, dass man mit dem Erreichten nie zufrieden sein darf, ist einfach schlechtes Selbstmanagement, wodurch man sich der Energien beraubt und seine Effizienz reduziert. Wer im Flow arbeitet, ist äußerst effizient und zufrieden. Höchstleistung wird mit Begeisterung gebracht.</w:t>
      </w:r>
    </w:p>
    <w:p>
      <w:r>
        <w:t>Regina Först sagt das in ihrem Buch 'Die sieben Businessgebote, S. 25': "Vom Ich zum Du zum Wir. In dieser Reihenfolge liegt das wahre Geheimnis für Erfolg. Denn nur wer sich selbst sieht, wahrnimmt und respektiert, kann dies auch bei anderen tun. Doch diese Gesetzmäßigkeit wurde insbesondere im Business bisher nur wenig berücksichtigt."</w:t>
      </w:r>
    </w:p>
    <w:p>
      <w:r>
        <w:t>Wenn Menschen mit Begeisterung ihrer Tätigkeit nachgehen und dabei Wertschätzung und Respekt erfahren, dann sind sie glücklich und erfolgreich. Diesen Zustand strahlen Sie ganz automatisch und unbewusst aus.</w:t>
      </w:r>
    </w:p>
    <w:p>
      <w:r>
        <w:t>Es gibt verschiedene Führungsstile, welche in ihrem jeweiligen Kontext zu guten Ergebnissen führen. Im Militär gibt es Befehl und Gehorsam. Ähnlich strukturiert sind Rettungsdienste, Feuerwehr und Katastrophenschutz. Diesen Führungsstil gab es früher auch in der Wirtschaft. Dies funktionierte unter zwei Randbedingungen: Dieser Stil entspricht dem sozialen Klima, ist den Beteiligten also vertraut und wird akzeptiert, und das Umfeld ist stabil. Beides hat sich in den letzten Jahrzehnten drastisch verändert. Die Menschen sind selbstbewusster geworden. Systeme, welche mit Druck, Befehl und Gehorsam arbeiten, neigen zu Dienst nach Vorschrift und sind damit hochgradig ineffizient.</w:t>
      </w:r>
    </w:p>
    <w:p>
      <w:r>
        <w:t>Eine geführte Gruppe besteht aus Individuen mit ihren persönlichen Vorlieben, Zielen, besonderen Fähigkeiten und Abneigungen sowie individuellen Verhaltensweisen. Eine Führungskraft muss zunächst erkennen und akzeptieren, dass jede Person anders ist. Sie muss in der Lage sein, jeden so einzusetzen, dass die jeweilige Person ihre Aufgabe mit Überzeugung, Eigenantrieb und vielleicht sogar Begeisterung angeht. Dies setzt ein hohes Maß an Menschenkenntnis, Einfühlungsvermögen und Motivationsgeschick voraus.</w:t>
      </w:r>
    </w:p>
    <w:p>
      <w:r>
        <w:t>Die Führungskraft muss ein hohes Interesse daran haben, den Weg zum Ziel mit dieser Gruppe gemeinsam zu gehen sowie die Verantwortung für das Wohlergehen der Gruppe und das gemeinsame Ergebnis zu übernehmen.</w:t>
      </w:r>
    </w:p>
    <w:p>
      <w:r>
        <w:t xml:space="preserve">Führungskräfte haben genau genommen zwei Aufgaben. Eine liegt auf der Beziehungsebene. Wenn ich mit einem Menschen kommuniziere, baue ich automatisch eine Beziehung auf. Die zweite liegt auf der Sachebene. Sie sollten näherungsweise verstehen, was die Mitarbeiter tun und auf dieser Grundlage mit ihnen kommunizieren. </w:t>
      </w:r>
    </w:p>
    <w:p>
      <w:r>
        <w:t>Führung hat also zwei grundlegende Komponenten:</w:t>
      </w:r>
    </w:p>
    <w:p>
      <w:pPr>
        <w:pStyle w:val="para36"/>
        <w:numPr>
          <w:ilvl w:val="0"/>
          <w:numId w:val="58"/>
        </w:numPr>
        <w:ind w:left="454" w:hanging="284"/>
      </w:pPr>
      <w:r>
        <w:t>Beziehung und</w:t>
      </w:r>
    </w:p>
    <w:p>
      <w:pPr>
        <w:pStyle w:val="para36"/>
        <w:numPr>
          <w:ilvl w:val="0"/>
          <w:numId w:val="58"/>
        </w:numPr>
        <w:ind w:left="454" w:hanging="284"/>
      </w:pPr>
      <w:r>
        <w:t>Kommunikation</w:t>
      </w:r>
    </w:p>
    <w:p>
      <w:r>
        <w:t>Führen heißt, sich auf der Beziehungsebene ständig weiter zu entwickeln. Es ist ein permanentes Lernen, da neue Situationen und neue Mitarbeiter eine Führungskraft vor neue Anforderungen stellen.</w:t>
      </w:r>
    </w:p>
    <w:p>
      <w:r>
        <w:t>Die Qualität der Beziehung wird vom Verhalten des Vorgesetzten bestimmt. Und dieses hängt von seinem Menschenbild, seinen Werten und seiner grundsätzlichen Haltung zu dem Thema ab. Dazu kommen noch die Selbsteinschätzung der eigenen Führungsfähigkeit und die beherrschte Methodenvielfalt in der Menschenführung. Machtausübung, also mehr Druck, ist ein sicheres Zeichen davon, dass der Vorgesetzte seine Kompetenzgrenze erreicht hat und damit kein anderes Verhaltensrepertoire zur Verfügung steht.</w:t>
      </w:r>
    </w:p>
    <w:p>
      <w:r>
        <w:t>Jede Firma bzw. Organisation verfügt über hervorragend qualifizierte Mitarbeiter. Entscheidend ist die Führungskraft. Über ihren Führungsstil prägt sie die Qualität der Arbeitsplätze und der Atmosphäre. Sie erzeugt das undefinierbare Gewebe der Unternehmenskultur. Führung ist weit mehr als anordnen, delegieren und kontrollieren.</w:t>
      </w:r>
    </w:p>
    <w:p>
      <w:r>
        <w:t>In diesem Seminar werden wir mit beiden Komponenten der Führung arbeiten, der Beziehung und der Kommunikation. Zuerst wird das Thema Kommunikation bearbeitet. Anschließend können diese Erfahrungen in Führungsmethoden angewandt werden.</w:t>
      </w:r>
    </w:p>
    <w:p>
      <w:pPr>
        <w:pStyle w:val="para2"/>
        <w:numPr>
          <w:ilvl w:val="1"/>
          <w:numId w:val="42"/>
        </w:numPr>
        <w:ind w:left="578" w:hanging="578"/>
      </w:pPr>
      <w:bookmarkStart w:id="1" w:name="_TOC000002"/>
      <w:r/>
      <w:bookmarkEnd w:id="1"/>
      <w:r/>
      <w:bookmarkStart w:id="2" w:name="_TOC000314"/>
      <w:r/>
      <w:bookmarkEnd w:id="2"/>
      <w:r>
        <w:t>Führungsstile und Instrumente</w:t>
      </w:r>
    </w:p>
    <w:p>
      <w:r>
        <w:t>Führungsstile sind nicht eindeutig definiert. Jeder Autor hat eigene Klassifizierungen. Neben den Führungsinstrumenten werden hier vier Beispiele für Führungsstile vorgestellt.</w:t>
      </w:r>
    </w:p>
    <w:p>
      <w:pPr>
        <w:pStyle w:val="para3"/>
        <w:numPr>
          <w:ilvl w:val="2"/>
          <w:numId w:val="42"/>
        </w:numPr>
        <w:ind w:left="737" w:hanging="737"/>
      </w:pPr>
      <w:bookmarkStart w:id="3" w:name="_Toc349302519"/>
      <w:r/>
      <w:bookmarkEnd w:id="3"/>
      <w:r/>
      <w:bookmarkStart w:id="4" w:name="_Toc362531496"/>
      <w:r/>
      <w:bookmarkEnd w:id="4"/>
      <w:r>
        <w:t>Führungsinstrumente</w:t>
      </w:r>
    </w:p>
    <w:p>
      <w:r>
        <w:t>Führung bedeutet, Einfluss zu nehmen auf Personen und Gruppen innerhalb des Unternehmens. Die zentrale Ressource und Legitimation einer Führungskraft ist ihre Führungskompetenz, die sie pflegen und entwickeln muss.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Führungskompetenz ist das Ergebnis aus</w:t>
      </w:r>
    </w:p>
    <w:p>
      <w:pPr>
        <w:pStyle w:val="para36"/>
        <w:numPr>
          <w:ilvl w:val="0"/>
          <w:numId w:val="58"/>
        </w:numPr>
        <w:ind w:left="454" w:hanging="284"/>
      </w:pPr>
      <w:r>
        <w:t xml:space="preserve">der inneren Einstellung der Führungskraft mit ihren Werten und Überzeugungen, </w:t>
      </w:r>
    </w:p>
    <w:p>
      <w:pPr>
        <w:pStyle w:val="para36"/>
        <w:numPr>
          <w:ilvl w:val="0"/>
          <w:numId w:val="58"/>
        </w:numPr>
        <w:ind w:left="454" w:hanging="284"/>
      </w:pPr>
      <w:r>
        <w:t>dem wertschätzenden Umgang mit den Mitarbeitern sowie</w:t>
      </w:r>
    </w:p>
    <w:p>
      <w:pPr>
        <w:pStyle w:val="para36"/>
        <w:numPr>
          <w:ilvl w:val="0"/>
          <w:numId w:val="58"/>
        </w:numPr>
        <w:ind w:left="454" w:hanging="284"/>
      </w:pPr>
      <w:r>
        <w:t>dem souveränen Einsatz der Führungsinstrumente.</w:t>
      </w:r>
    </w:p>
    <w:p>
      <w:r>
        <w:t>Hier unterscheiden wir direkte und indirekte Führungsinstrumente.</w:t>
      </w:r>
    </w:p>
    <w:p>
      <w:r>
        <w:t>Direkte Führungsinstrumente dienen zur Einflussnahme auf Erleben und Verhalten des Mitarbeiters. Zu diese gehören z.B.:</w:t>
      </w:r>
    </w:p>
    <w:p>
      <w:pPr>
        <w:pStyle w:val="para36"/>
        <w:numPr>
          <w:ilvl w:val="0"/>
          <w:numId w:val="58"/>
        </w:numPr>
        <w:ind w:left="454" w:hanging="284"/>
      </w:pPr>
      <w:r>
        <w:t xml:space="preserve">Lob und Anerkennung, </w:t>
      </w:r>
    </w:p>
    <w:p>
      <w:pPr>
        <w:pStyle w:val="para36"/>
        <w:numPr>
          <w:ilvl w:val="0"/>
          <w:numId w:val="58"/>
        </w:numPr>
        <w:ind w:left="454" w:hanging="284"/>
      </w:pPr>
      <w:r>
        <w:t xml:space="preserve">Kritik und Rückmeldung, </w:t>
      </w:r>
    </w:p>
    <w:p>
      <w:pPr>
        <w:pStyle w:val="para36"/>
        <w:numPr>
          <w:ilvl w:val="0"/>
          <w:numId w:val="58"/>
        </w:numPr>
        <w:ind w:left="454" w:hanging="284"/>
      </w:pPr>
      <w:r>
        <w:t xml:space="preserve">Mitarbeitergespräch, </w:t>
      </w:r>
    </w:p>
    <w:p>
      <w:pPr>
        <w:pStyle w:val="para36"/>
        <w:numPr>
          <w:ilvl w:val="0"/>
          <w:numId w:val="58"/>
        </w:numPr>
        <w:ind w:left="454" w:hanging="284"/>
      </w:pPr>
      <w:r>
        <w:t xml:space="preserve">Zielvereinbarung, </w:t>
      </w:r>
    </w:p>
    <w:p>
      <w:pPr>
        <w:pStyle w:val="para36"/>
        <w:numPr>
          <w:ilvl w:val="0"/>
          <w:numId w:val="58"/>
        </w:numPr>
        <w:ind w:left="454" w:hanging="284"/>
      </w:pPr>
      <w:r>
        <w:t xml:space="preserve">Aufbau von Vertrauen, </w:t>
      </w:r>
    </w:p>
    <w:p>
      <w:pPr>
        <w:pStyle w:val="para36"/>
        <w:numPr>
          <w:ilvl w:val="0"/>
          <w:numId w:val="58"/>
        </w:numPr>
        <w:ind w:left="454" w:hanging="284"/>
      </w:pPr>
      <w:r>
        <w:t>Erwartungsmanagement,</w:t>
      </w:r>
    </w:p>
    <w:p>
      <w:pPr>
        <w:pStyle w:val="para36"/>
        <w:numPr>
          <w:ilvl w:val="0"/>
          <w:numId w:val="58"/>
        </w:numPr>
        <w:ind w:left="454" w:hanging="284"/>
      </w:pPr>
      <w:r>
        <w:t xml:space="preserve">gemeinsame Karriereplanung, </w:t>
      </w:r>
    </w:p>
    <w:p>
      <w:pPr>
        <w:pStyle w:val="para36"/>
        <w:numPr>
          <w:ilvl w:val="0"/>
          <w:numId w:val="58"/>
        </w:numPr>
        <w:ind w:left="454" w:hanging="284"/>
      </w:pPr>
      <w:r>
        <w:t xml:space="preserve">Aufgabenzuordnung (Rollenverteilung), </w:t>
      </w:r>
    </w:p>
    <w:p>
      <w:pPr>
        <w:pStyle w:val="para36"/>
        <w:numPr>
          <w:ilvl w:val="0"/>
          <w:numId w:val="58"/>
        </w:numPr>
        <w:ind w:left="454" w:hanging="284"/>
      </w:pPr>
      <w:r>
        <w:t xml:space="preserve">Arbeitsgestaltung, </w:t>
      </w:r>
    </w:p>
    <w:p>
      <w:pPr>
        <w:pStyle w:val="para36"/>
        <w:numPr>
          <w:ilvl w:val="0"/>
          <w:numId w:val="58"/>
        </w:numPr>
        <w:ind w:left="454" w:hanging="284"/>
      </w:pPr>
      <w:r>
        <w:t xml:space="preserve">Partizipation bei Entscheidungen, </w:t>
      </w:r>
    </w:p>
    <w:p>
      <w:pPr>
        <w:pStyle w:val="para36"/>
        <w:numPr>
          <w:ilvl w:val="0"/>
          <w:numId w:val="58"/>
        </w:numPr>
        <w:ind w:left="454" w:hanging="284"/>
      </w:pPr>
      <w:r>
        <w:t xml:space="preserve">Delegation von Verantwortung und der zugestandene Entscheidungsspielraum, </w:t>
      </w:r>
    </w:p>
    <w:p>
      <w:pPr>
        <w:pStyle w:val="para36"/>
        <w:numPr>
          <w:ilvl w:val="0"/>
          <w:numId w:val="58"/>
        </w:numPr>
        <w:ind w:left="454" w:hanging="284"/>
      </w:pPr>
      <w:r>
        <w:t xml:space="preserve">Manipulationstechniken, </w:t>
      </w:r>
    </w:p>
    <w:p>
      <w:pPr>
        <w:pStyle w:val="para36"/>
        <w:numPr>
          <w:ilvl w:val="0"/>
          <w:numId w:val="58"/>
        </w:numPr>
        <w:ind w:left="454" w:hanging="284"/>
      </w:pPr>
      <w:r>
        <w:t xml:space="preserve">Verhandlung, </w:t>
      </w:r>
    </w:p>
    <w:p>
      <w:pPr>
        <w:pStyle w:val="para36"/>
        <w:numPr>
          <w:ilvl w:val="0"/>
          <w:numId w:val="58"/>
        </w:numPr>
        <w:ind w:left="454" w:hanging="284"/>
      </w:pPr>
      <w:r>
        <w:t xml:space="preserve">Überzeugung und </w:t>
      </w:r>
    </w:p>
    <w:p>
      <w:pPr>
        <w:pStyle w:val="para36"/>
        <w:numPr>
          <w:ilvl w:val="0"/>
          <w:numId w:val="58"/>
        </w:numPr>
        <w:ind w:left="454" w:hanging="284"/>
      </w:pPr>
      <w:r>
        <w:t>Durchsetzungsverhalten.</w:t>
      </w:r>
    </w:p>
    <w:p>
      <w:r>
        <w:t>Indirekte Führungsinstrumente gestalten den Arbeitskontext des Mitarbeiters, was sein Erleben und Verhalten beeinflusst. Hierzu gehören z.B.:</w:t>
      </w:r>
    </w:p>
    <w:p>
      <w:pPr>
        <w:pStyle w:val="para36"/>
        <w:numPr>
          <w:ilvl w:val="0"/>
          <w:numId w:val="58"/>
        </w:numPr>
        <w:ind w:left="454" w:hanging="284"/>
      </w:pPr>
      <w:r>
        <w:t xml:space="preserve">Personalauswahl, </w:t>
      </w:r>
    </w:p>
    <w:p>
      <w:pPr>
        <w:pStyle w:val="para36"/>
        <w:numPr>
          <w:ilvl w:val="0"/>
          <w:numId w:val="58"/>
        </w:numPr>
        <w:ind w:left="454" w:hanging="284"/>
      </w:pPr>
      <w:r>
        <w:t xml:space="preserve">Teamgestaltung, </w:t>
      </w:r>
    </w:p>
    <w:p>
      <w:pPr>
        <w:pStyle w:val="para36"/>
        <w:numPr>
          <w:ilvl w:val="0"/>
          <w:numId w:val="58"/>
        </w:numPr>
        <w:ind w:left="454" w:hanging="284"/>
      </w:pPr>
      <w:r>
        <w:t xml:space="preserve">Teamentwicklung, </w:t>
      </w:r>
    </w:p>
    <w:p>
      <w:pPr>
        <w:pStyle w:val="para36"/>
        <w:numPr>
          <w:ilvl w:val="0"/>
          <w:numId w:val="58"/>
        </w:numPr>
        <w:ind w:left="454" w:hanging="284"/>
      </w:pPr>
      <w:r>
        <w:t xml:space="preserve">Wettbewerb zwischen Mitarbeitern, </w:t>
      </w:r>
    </w:p>
    <w:p>
      <w:pPr>
        <w:pStyle w:val="para36"/>
        <w:numPr>
          <w:ilvl w:val="0"/>
          <w:numId w:val="58"/>
        </w:numPr>
        <w:ind w:left="454" w:hanging="284"/>
      </w:pPr>
      <w:r>
        <w:t xml:space="preserve">Kontroll- und Anreizsysteme, </w:t>
      </w:r>
    </w:p>
    <w:p>
      <w:pPr>
        <w:pStyle w:val="para36"/>
        <w:numPr>
          <w:ilvl w:val="0"/>
          <w:numId w:val="58"/>
        </w:numPr>
        <w:ind w:left="454" w:hanging="284"/>
      </w:pPr>
      <w:r>
        <w:t xml:space="preserve">Regeln und Normen (z.B. für Arbeitsabläufe), </w:t>
      </w:r>
    </w:p>
    <w:p>
      <w:pPr>
        <w:pStyle w:val="para36"/>
        <w:numPr>
          <w:ilvl w:val="0"/>
          <w:numId w:val="58"/>
        </w:numPr>
        <w:ind w:left="454" w:hanging="284"/>
      </w:pPr>
      <w:r>
        <w:t xml:space="preserve">Gestaltung der Arbeitsumgebung und </w:t>
      </w:r>
    </w:p>
    <w:p>
      <w:pPr>
        <w:pStyle w:val="para36"/>
        <w:numPr>
          <w:ilvl w:val="0"/>
          <w:numId w:val="58"/>
        </w:numPr>
        <w:ind w:left="454" w:hanging="284"/>
      </w:pPr>
      <w:r>
        <w:t>das Konfliktniveau im Umfeld.</w:t>
      </w:r>
    </w:p>
    <w:p>
      <w:r>
        <w:t>Für überzeugende Führung ist es notwendig, souverän und mit innerer Überzeugung mit diesen Instrumenten umzugehen. Dazu benötigt Übung und Selbstsicherheit. Die Metapher 'Instrument' ist hier bewusst gewählt worden. Ein Anfänger drückt auf einem Klavier die Tasten und entsprechend sind Rhythmus und Klang. Hat jemand lange geübt und spielt mit Freude, ist das Hörerlebnis ein völlig anderes. Hier zählt die Übung. Bei den Führungsinstrumenten ist es ähnlich.</w:t>
      </w:r>
    </w:p>
    <w:p>
      <w:r>
        <w:t>Für Führungskräfte lohnt es sich also, sich selbst immer wieder zu fragen:</w:t>
      </w:r>
    </w:p>
    <w:p>
      <w:pPr>
        <w:pStyle w:val="para36"/>
        <w:numPr>
          <w:ilvl w:val="0"/>
          <w:numId w:val="58"/>
        </w:numPr>
        <w:ind w:left="454" w:hanging="284"/>
      </w:pPr>
      <w:r>
        <w:t>Welche Instrumente nutze ich in der Führung?</w:t>
      </w:r>
    </w:p>
    <w:p>
      <w:pPr>
        <w:pStyle w:val="para36"/>
        <w:numPr>
          <w:ilvl w:val="0"/>
          <w:numId w:val="58"/>
        </w:numPr>
        <w:ind w:left="454" w:hanging="284"/>
      </w:pPr>
      <w:r>
        <w:t>Welche weiteren Instrumente könnte ich zusätzlich nutzen?</w:t>
      </w:r>
    </w:p>
    <w:p>
      <w:pPr>
        <w:pStyle w:val="para36"/>
        <w:numPr>
          <w:ilvl w:val="0"/>
          <w:numId w:val="58"/>
        </w:numPr>
        <w:ind w:left="454" w:hanging="284"/>
      </w:pPr>
      <w:r>
        <w:t>Wie gut beherrsche ich einzelne Instrumente, wo sind hier meine besonderen Talente?</w:t>
      </w:r>
    </w:p>
    <w:p>
      <w:pPr>
        <w:pStyle w:val="para36"/>
        <w:numPr>
          <w:ilvl w:val="0"/>
          <w:numId w:val="58"/>
        </w:numPr>
        <w:ind w:left="454" w:hanging="284"/>
      </w:pPr>
      <w:r>
        <w:t>Wo setze ich Prioritäten bei der Entwicklung meiner Instrumente?</w:t>
      </w:r>
    </w:p>
    <w:p>
      <w:pPr>
        <w:pStyle w:val="para36"/>
        <w:numPr>
          <w:ilvl w:val="0"/>
          <w:numId w:val="58"/>
        </w:numPr>
        <w:ind w:left="454" w:hanging="284"/>
      </w:pPr>
      <w:r>
        <w:t>Wie kann ich meine zentralen Führungsinstrumente entwickeln und weiter "schärfen"?</w:t>
      </w:r>
    </w:p>
    <w:p>
      <w:r>
        <w:t>Welche Instrumente man als Führungskraft am Ende einsetzen wird berührt auch ethische Fragen und hängt nicht zuletzt von den Menschenbildern ab, die man als Führungskraft in sich trägt.</w:t>
      </w:r>
    </w:p>
    <w:p>
      <w:pPr>
        <w:pStyle w:val="para3"/>
        <w:numPr>
          <w:ilvl w:val="2"/>
          <w:numId w:val="42"/>
        </w:numPr>
        <w:ind w:left="737" w:hanging="737"/>
      </w:pPr>
      <w:bookmarkStart w:id="5" w:name="_Toc319914614"/>
      <w:r/>
      <w:bookmarkEnd w:id="5"/>
      <w:r/>
      <w:bookmarkStart w:id="6" w:name="_Toc334988850"/>
      <w:r/>
      <w:bookmarkEnd w:id="6"/>
      <w:r/>
      <w:bookmarkStart w:id="7" w:name="_Toc349302520"/>
      <w:r/>
      <w:bookmarkEnd w:id="7"/>
      <w:r/>
      <w:bookmarkStart w:id="8" w:name="_Toc362531497"/>
      <w:r/>
      <w:bookmarkEnd w:id="8"/>
      <w:r/>
      <w:bookmarkStart w:id="9" w:name="_Toc312854164"/>
      <w:r/>
      <w:bookmarkEnd w:id="9"/>
      <w:r/>
      <w:bookmarkStart w:id="10" w:name="_Toc313965620"/>
      <w:r/>
      <w:bookmarkEnd w:id="10"/>
      <w:r>
        <w:t>Klassische Führungsstile</w:t>
      </w:r>
    </w:p>
    <w:p>
      <w:pPr>
        <w:ind w:firstLine="0"/>
        <w:spacing w:after="120"/>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Quelle: Dominik Godat, Lösungen auf der Spur, Versus 2014</w:t>
      </w:r>
    </w:p>
    <w:p>
      <w:pPr>
        <w:pStyle w:val="para36"/>
        <w:numPr>
          <w:ilvl w:val="0"/>
          <w:numId w:val="58"/>
        </w:numPr>
        <w:ind w:left="454" w:hanging="284"/>
      </w:pPr>
      <w:r>
        <w:t>Autoritär: Führungskräfte bestimmen und die Mitarbeitenden führen aus.</w:t>
      </w:r>
    </w:p>
    <w:p>
      <w:pPr>
        <w:pStyle w:val="para36"/>
        <w:numPr>
          <w:ilvl w:val="0"/>
          <w:numId w:val="58"/>
        </w:numPr>
        <w:ind w:left="454" w:hanging="284"/>
      </w:pPr>
      <w:r>
        <w:t>Heroisch: Führungskräfte gehen als 'Helden' voraus und die Mitarbeitenden (haben zu) folgen.</w:t>
      </w:r>
    </w:p>
    <w:p>
      <w:pPr>
        <w:pStyle w:val="para36"/>
        <w:numPr>
          <w:ilvl w:val="0"/>
          <w:numId w:val="58"/>
        </w:numPr>
        <w:ind w:left="454" w:hanging="284"/>
      </w:pPr>
      <w:r>
        <w:t>Karitativ: Führungskräfte kümmern sich vorwiegend um die Mitarbeitenden und deren Wohl.</w:t>
      </w:r>
    </w:p>
    <w:p>
      <w:pPr>
        <w:pStyle w:val="para36"/>
        <w:numPr>
          <w:ilvl w:val="0"/>
          <w:numId w:val="58"/>
        </w:numPr>
        <w:ind w:left="454" w:hanging="284"/>
      </w:pPr>
      <w:r>
        <w:t>Dienend: Führungskräfte stellen sich in den Dienst der Mitarbeitenden.</w:t>
      </w:r>
    </w:p>
    <w:p>
      <w:pPr>
        <w:pStyle w:val="para36"/>
        <w:numPr>
          <w:ilvl w:val="0"/>
          <w:numId w:val="58"/>
        </w:numPr>
        <w:ind w:left="454" w:hanging="284"/>
      </w:pPr>
      <w:r>
        <w:t>Laisser-faire: Führungskräfte lassen die Mitarbeiter einfach machen.</w:t>
      </w:r>
    </w:p>
    <w:p>
      <w:pPr>
        <w:pStyle w:val="para36"/>
        <w:numPr>
          <w:ilvl w:val="0"/>
          <w:numId w:val="58"/>
        </w:numPr>
        <w:ind w:left="454" w:hanging="284"/>
      </w:pPr>
      <w:r>
        <w:t>Kooperativ: Führungskräfte fokussieren auf das Wohl der Mitarbeitenden und die zu erledigenden Aufgaben.</w:t>
      </w:r>
    </w:p>
    <w:p>
      <w:pPr>
        <w:pStyle w:val="para36"/>
        <w:numPr>
          <w:ilvl w:val="0"/>
          <w:numId w:val="58"/>
        </w:numPr>
        <w:ind w:left="454" w:hanging="284"/>
      </w:pPr>
      <w:r>
        <w:t>Lösungsfokussiert: Führungskräfte nehmen eine nicht wissende Haltung an und betrachten die Mitarbeitenden als Experten.</w:t>
      </w:r>
    </w:p>
    <w:p>
      <w:pPr>
        <w:pStyle w:val="para3"/>
        <w:numPr>
          <w:ilvl w:val="2"/>
          <w:numId w:val="42"/>
        </w:numPr>
        <w:ind w:left="737" w:hanging="737"/>
      </w:pPr>
      <w:r>
        <w:br w:type="column"/>
      </w:r>
      <w:bookmarkStart w:id="11" w:name="_Toc349302521"/>
      <w:r/>
      <w:bookmarkEnd w:id="11"/>
      <w:r/>
      <w:bookmarkStart w:id="12" w:name="_Toc362531498"/>
      <w:r/>
      <w:bookmarkEnd w:id="12"/>
      <w:r>
        <w:t>Die sechs Führungsstile nach Goleman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Quelle: Hays Group</w:t>
      </w:r>
    </w:p>
    <w:p>
      <w:r>
        <w:t>Es gibt nur wenig wirklich gute Führungskräfte. Viele haben sich über die Jahre einen ganz bestimmten Führungsstil angeeignet, mit dem sie meist auch erfolgreich waren. Um in der heutigen Arbeitswelt voranzukommen, reicht das aber nicht aus: Flexibilität und die Bereitschaft bzw. Fähigkeit zwischen verschiedenen Führungsstilen zu wechseln sind gefragt.</w:t>
      </w:r>
    </w:p>
    <w:p>
      <w:r>
        <w:t>Es ist umstritten, wie viele Führungsstile tatsächlich existieren, doch der Psychologe Daniel Goleman hat eine gute Übersicht über sechs Stile entwickelt und unterteilt sechs Stile:</w:t>
      </w:r>
    </w:p>
    <w:p>
      <w:pPr>
        <w:pStyle w:val="para36"/>
        <w:numPr>
          <w:ilvl w:val="0"/>
          <w:numId w:val="58"/>
        </w:numPr>
        <w:ind w:left="454" w:hanging="284"/>
      </w:pPr>
      <w:r>
        <w:t>Befehlend – eine Führungskraft, die auf Kommando und Kontrolle setzt</w:t>
      </w:r>
    </w:p>
    <w:p>
      <w:pPr>
        <w:pStyle w:val="para36"/>
        <w:numPr>
          <w:ilvl w:val="0"/>
          <w:numId w:val="58"/>
        </w:numPr>
        <w:ind w:left="454" w:hanging="284"/>
      </w:pPr>
      <w:r>
        <w:t>Visionär – eine zukunftsorientierte Führungskraft, die ihre Mitarbeiter für ein gemeinsames Ziel motiviert</w:t>
      </w:r>
    </w:p>
    <w:p>
      <w:pPr>
        <w:pStyle w:val="para36"/>
        <w:numPr>
          <w:ilvl w:val="0"/>
          <w:numId w:val="58"/>
        </w:numPr>
        <w:ind w:left="454" w:hanging="284"/>
      </w:pPr>
      <w:r>
        <w:t>Gefühlsorientiert – eine Führungskraft, die Harmonie stiftet und emotionale Bindungen fördert</w:t>
      </w:r>
    </w:p>
    <w:p>
      <w:pPr>
        <w:pStyle w:val="para36"/>
        <w:numPr>
          <w:ilvl w:val="0"/>
          <w:numId w:val="58"/>
        </w:numPr>
        <w:ind w:left="454" w:hanging="284"/>
      </w:pPr>
      <w:r>
        <w:t>Demokratisch – eine Führungskraft, die sehr darauf bedacht ist, Mitarbeiter zu beteiligen und Einigkeit zu erzielen</w:t>
      </w:r>
    </w:p>
    <w:p>
      <w:pPr>
        <w:pStyle w:val="para36"/>
        <w:numPr>
          <w:ilvl w:val="0"/>
          <w:numId w:val="58"/>
        </w:numPr>
        <w:ind w:left="454" w:hanging="284"/>
      </w:pPr>
      <w:r>
        <w:t>Leistungsorientiert – eine Führungskraft mit hohem Leistungsanspruch und hohen Erwartungen an ihre Mitarbeiter</w:t>
      </w:r>
    </w:p>
    <w:p>
      <w:pPr>
        <w:pStyle w:val="para36"/>
        <w:numPr>
          <w:ilvl w:val="0"/>
          <w:numId w:val="58"/>
        </w:numPr>
        <w:ind w:left="454" w:hanging="284"/>
      </w:pPr>
      <w:r>
        <w:t>Beratend – eine Führungskraft, die auf Mitarbeiterentwicklung und -schulung setzt</w:t>
      </w:r>
    </w:p>
    <w:p>
      <w:pPr>
        <w:pStyle w:val="para4"/>
        <w:numPr>
          <w:ilvl w:val="3"/>
          <w:numId w:val="42"/>
        </w:numPr>
        <w:ind w:left="864" w:hanging="864"/>
      </w:pPr>
      <w:bookmarkStart w:id="13" w:name="_Toc349302522"/>
      <w:r/>
      <w:bookmarkEnd w:id="13"/>
      <w:r/>
      <w:bookmarkStart w:id="14" w:name="_Toc362531499"/>
      <w:r/>
      <w:bookmarkEnd w:id="14"/>
      <w:r>
        <w:t>Flexibilität in der Führung</w:t>
      </w:r>
    </w:p>
    <w:p>
      <w:r>
        <w:t>Im Laufe meiner Karriere ist mir immer wieder aufgefallen, dass die besten Führungskräfte diejenigen sind, die Flexibilität und Anpassungsfähigkeit an den Tag legen. Als gute Führungskraft muss man wissen, wann und wie die einzelnen Führungsstile anzuwenden sind. Können Sie sich vorstellen, dass eine Führungskraft, die immer nur befiehlt, zu innovativem Denken anregen kann? Oder dass eine Führungskraft, die immer nur auf Harmonie bedacht ist, wirklich in der Lage ist, ihr Team auch in schwierigen Zeiten zu motivieren?</w:t>
      </w:r>
    </w:p>
    <w:p>
      <w:r>
        <w:t>Gute Führungskräfte müssen heute flexibel sein und sich an verschiedene Führungsstile anpassen können. Sie müssen Teamleiter, Mentor, Kollege und Berater zugleich sein. Und dafür muss man es schaffen, diese verschiedenen Ansätze in den eigenen Führungsstil einzubinden und genau zu wissen, wann welches Verhalten angebracht ist. Als Vorstandsmitglied von Hays sind mir alle Führungsstile von Goleman vertraut und kommen fast wöchentlich zur Anwendung. Um Ihnen zu verdeutlichen, wann welcher Stil angebracht ist, möchte ich kurz darstellen, wie ich diese in meine Führungsarbeit einbinde.</w:t>
      </w:r>
    </w:p>
    <w:p>
      <w:pPr>
        <w:pStyle w:val="para4"/>
        <w:numPr>
          <w:ilvl w:val="3"/>
          <w:numId w:val="42"/>
        </w:numPr>
        <w:ind w:left="864" w:hanging="864"/>
      </w:pPr>
      <w:bookmarkStart w:id="15" w:name="_Toc349302523"/>
      <w:r/>
      <w:bookmarkEnd w:id="15"/>
      <w:r/>
      <w:bookmarkStart w:id="16" w:name="_Toc362531500"/>
      <w:r/>
      <w:bookmarkEnd w:id="16"/>
      <w:r>
        <w:t>Der befehlende Führungsstil</w:t>
      </w:r>
    </w:p>
    <w:p>
      <w:r>
        <w:t>Dieser Ansatz stellt eher die Ausnahme der Regel dar. Von den sechs Führungsstilen ist er der negativste und sollte nur in ernsten Krisensituationen zur Anwendung kommen. Sehr nützlich kann er zum Beispiel sein, wenn der Teamzusammenhalt ernsthaft gefährdet und ein Eingreifen erforderlich ist. Dann heißt es Zügel in die Hand nehmen und klare Ansagen machen. Dieser Führungsstil ist über die Jahre aus der Mode gekommen und sollte lediglich als letzter Ausweg dienen, um die Harmonie wiederherzustellen.</w:t>
      </w:r>
    </w:p>
    <w:p>
      <w:pPr>
        <w:pStyle w:val="para4"/>
        <w:numPr>
          <w:ilvl w:val="3"/>
          <w:numId w:val="42"/>
        </w:numPr>
        <w:ind w:left="864" w:hanging="864"/>
      </w:pPr>
      <w:bookmarkStart w:id="17" w:name="_Toc349302524"/>
      <w:r/>
      <w:bookmarkEnd w:id="17"/>
      <w:r/>
      <w:bookmarkStart w:id="18" w:name="_Toc362531501"/>
      <w:r/>
      <w:bookmarkEnd w:id="18"/>
      <w:r>
        <w:t>Der visionäre Führungsstil</w:t>
      </w:r>
    </w:p>
    <w:p>
      <w:r>
        <w:t>Wenn Ihr Unternehmen innovativer werden muss, um wettbewerbsfähig zu bleiben, ist der visionäre Ansatz ratsam. Dabei sind Überzeugungskraft und Empathie gefragt, denn schließlich müssen Sie Ihr Team für Ihre Vision begeistern können. Als wir vor kurzem eine weitere Niederlassung in Ulm eröffneten, musste ich meine Vision für diesen Standort genau darlegen und auch Werte und Prioritäten festlegen, an denen sich das Team vor Ort orientieren kann. Ich wollte dabei nicht zu fordernd sein, sondern mit all meiner Überzeugungskraft an die Motivation jedes Einzelnen appellieren, gleichzeitig aber auch nicht zu demokratisch sein. Schließlich musste ich sichergehen, dass sich jeder an die bewährten Praktiken bei Hays hält.</w:t>
      </w:r>
    </w:p>
    <w:p>
      <w:pPr>
        <w:pStyle w:val="para4"/>
        <w:numPr>
          <w:ilvl w:val="3"/>
          <w:numId w:val="42"/>
        </w:numPr>
        <w:ind w:left="864" w:hanging="864"/>
      </w:pPr>
      <w:bookmarkStart w:id="19" w:name="_Toc349302525"/>
      <w:r/>
      <w:bookmarkEnd w:id="19"/>
      <w:r/>
      <w:bookmarkStart w:id="20" w:name="_Toc362531502"/>
      <w:r/>
      <w:bookmarkEnd w:id="20"/>
      <w:r>
        <w:t>Der gefühlsorientierte Führungsstil</w:t>
      </w:r>
    </w:p>
    <w:p>
      <w:r>
        <w:t>Als Führungskraft versuche ich immer mit gutem Beispiel voranzugehen. Gerade bei Neuzugängen sollte dieser Ansatz zum Tragen kommen. Einem neuen Kollegen einen guten Start zu bereiten und ihm während der ersten Wochen Unterstützung zu geben, kann großen Einfluss auf die Leistung und Entwicklung des Mitarbeiters haben. Dieser Führungsstil kann sich auch in der Beratung von Teammitgliedern äußern, wenn beispielsweise deren Motivation nachlässt oder Konflikte zwischen einzelnen Mitarbeitern bestehen – aber wenn Sie den Kandidaten mit der richtigen Einstellung ausgewählt haben, dann sollte auch das kein Problem sein.</w:t>
      </w:r>
    </w:p>
    <w:p>
      <w:pPr>
        <w:pStyle w:val="para4"/>
        <w:numPr>
          <w:ilvl w:val="3"/>
          <w:numId w:val="42"/>
        </w:numPr>
        <w:ind w:left="864" w:hanging="864"/>
      </w:pPr>
      <w:bookmarkStart w:id="21" w:name="_Toc349302526"/>
      <w:r/>
      <w:bookmarkEnd w:id="21"/>
      <w:r/>
      <w:bookmarkStart w:id="22" w:name="_Toc362531503"/>
      <w:r/>
      <w:bookmarkEnd w:id="22"/>
      <w:r>
        <w:t>Der demokratische Führungsstil</w:t>
      </w:r>
    </w:p>
    <w:p>
      <w:r>
        <w:t>Diesen Führungsstil wende ich am häufigsten an, zum Beispiel bei der Erwägung einer neuen Initiative oder der Einstellung eines neuen Mitarbeiters, auch wenn die finale Entscheidung letzten Endes bei mir liegt. Es ist wichtig, dass Ihre Mitarbeiter spüren, dass ihre Meinungen für Sie und das Unternehmen von Wert sind, denn dies fördert Vertrauen und gleicht die oft so starren Hierarchien aus.</w:t>
      </w:r>
    </w:p>
    <w:p>
      <w:pPr>
        <w:pStyle w:val="para4"/>
        <w:numPr>
          <w:ilvl w:val="3"/>
          <w:numId w:val="42"/>
        </w:numPr>
        <w:ind w:left="864" w:hanging="864"/>
      </w:pPr>
      <w:bookmarkStart w:id="23" w:name="_Toc349302527"/>
      <w:r/>
      <w:bookmarkEnd w:id="23"/>
      <w:r/>
      <w:bookmarkStart w:id="24" w:name="_Toc362531504"/>
      <w:r/>
      <w:bookmarkEnd w:id="24"/>
      <w:r>
        <w:t>Der leistungsorientierte Führungsstil</w:t>
      </w:r>
    </w:p>
    <w:p>
      <w:r>
        <w:t>In meiner Führungsarbeit mache ich mir immer wieder bewusst, dass ich eine Vorbildfunktion habe. Ich würde nie etwas von meinem Team verlangen, was ich nicht auch selbst tun könnte oder womit ich mich nicht wohl fühlen würde. Viele Teams kopieren die Arbeitsmoral und Effizienz der Person, die sie führt – Sie haben es also in der Hand, wie hoch die Messlatte liegt. Ich für meinen Teil versuche immer mein Bestes zu geben und erwarte von meinen Mitarbeitern, das sie es mir gleichtun.</w:t>
      </w:r>
    </w:p>
    <w:p>
      <w:pPr>
        <w:pStyle w:val="para4"/>
        <w:numPr>
          <w:ilvl w:val="3"/>
          <w:numId w:val="42"/>
        </w:numPr>
        <w:ind w:left="864" w:hanging="864"/>
      </w:pPr>
      <w:bookmarkStart w:id="25" w:name="_Toc349302528"/>
      <w:r/>
      <w:bookmarkEnd w:id="25"/>
      <w:r/>
      <w:bookmarkStart w:id="26" w:name="_Toc362531505"/>
      <w:r/>
      <w:bookmarkEnd w:id="26"/>
      <w:r>
        <w:t>Der beratende Führungsstil</w:t>
      </w:r>
    </w:p>
    <w:p>
      <w:r>
        <w:t>Diejenigen, die stur an ihrem Führungsstil festhalten, werden irgendwann auf der Strecke bleiben. Die meisten Ihrer Mitarbeiter brauchen ein gewisses Maß an Coaching, deshalb versuche ich immer, sicherzustellen, dass ein gewisses Budget für Mitarbeiterschulungen eingeplant wird. Hier geht es aber um viel mehr als um die reine Finanzierung der Teilnahme an diversen Kursen. Indem Sie engen Kontakt zu Ihrem Team pflegen, werden Sie schnell herausfinden, wer die Leistungsträger sind. Diese versuche ich dann noch mehr zu fördern und zu unterstützen, damit sie die nächste Karrierestufe erreichen. Führung erfordert nämlich auch langfristiges Denken: Wohin können sich meine Mitarbeiter entwickeln und wie könnte das Team in fünf Jahren aussehen?</w:t>
      </w:r>
    </w:p>
    <w:p>
      <w:pPr>
        <w:pStyle w:val="para4"/>
        <w:numPr>
          <w:ilvl w:val="3"/>
          <w:numId w:val="42"/>
        </w:numPr>
        <w:ind w:left="864" w:hanging="864"/>
      </w:pPr>
      <w:bookmarkStart w:id="27" w:name="_Toc349302529"/>
      <w:r/>
      <w:bookmarkEnd w:id="27"/>
      <w:r/>
      <w:bookmarkStart w:id="28" w:name="_Toc362531506"/>
      <w:r/>
      <w:bookmarkEnd w:id="28"/>
      <w:r>
        <w:t>Die Mischung macht‘s</w:t>
      </w:r>
    </w:p>
    <w:p>
      <w:r>
        <w:t>Immer nur einen Führungsstil zu verkörpern, ist nicht besonders ratsam. Es sei denn, Sie sind Oberstleutnant, Künstler oder Politiker. Aber keiner dieser Ansätze allein wird den Anforderungen an eine moderne Unternehmensführung gerecht werden. Ich hoffe, dass ich Sie davon überzeugen konnte, dass es möglich und durchaus wünschenswert ist, eine flexible und vielseitige Führungskraft zu sein.</w:t>
      </w:r>
    </w:p>
    <w:p>
      <w:r>
        <w:t>Um das Beste aus Ihrem Team herauszuholen und anhaltenden Geschäftserfolg zu erzielen, müssen Sie als Führungskraft verstehen, dass unterschiedliche Situationen und unterschiedliche Menschen auch unterschiedliche Führungsstile erfordern. Diejenigen, die stur an ihrem Führungsstil festhalten, werden es in der heutigen Geschäftswelt nicht weit bringen. Sie möchten eine bessere Führungskraft sein? Dann seien Sie Teamleiter, Mentor, Berater und Kollege in einem.</w:t>
      </w:r>
    </w:p>
    <w:p>
      <w:pPr>
        <w:pStyle w:val="para3"/>
        <w:numPr>
          <w:ilvl w:val="2"/>
          <w:numId w:val="42"/>
        </w:numPr>
        <w:ind w:left="737" w:hanging="737"/>
      </w:pPr>
      <w:bookmarkStart w:id="29" w:name="_Toc349302530"/>
      <w:r/>
      <w:bookmarkEnd w:id="29"/>
      <w:r/>
      <w:bookmarkStart w:id="30" w:name="_Toc362531507"/>
      <w:r/>
      <w:bookmarkEnd w:id="30"/>
      <w:r/>
      <w:bookmarkStart w:id="31" w:name="_TOC000315"/>
      <w:r>
        <w:t>Führung, Entscheidungen und Partizipation der Mitarbeiter</w:t>
      </w:r>
      <w:bookmarkEnd w:id="31"/>
      <w:r/>
    </w:p>
    <w:p>
      <w:r>
        <w:t xml:space="preserve">Eine Aufgabe der Führungskraft ist, Entscheidungen zu treffen. </w:t>
      </w:r>
    </w:p>
    <w:p>
      <w:r>
        <w:t xml:space="preserve">Hier stellt sich die Frage, wie viel Einfluss Führungskräfte bei Entscheidungen ihren Mitarbeitern zugestehen, also das Ausmaß an Partizipation. </w:t>
      </w:r>
    </w:p>
    <w:p>
      <w:r>
        <w:t>Eine bekannte verhaltensorientierte Theorie der Führung ist das Führungskontinuum von Tannenbaum und Schmidt</w:t>
      </w:r>
      <w:r>
        <w:rPr>
          <w:rStyle w:val="char31"/>
        </w:rPr>
      </w:r>
      <w:r>
        <w:rPr>
          <w:rStyle w:val="char31"/>
        </w:rPr>
        <w:footnoteReference w:id="33"/>
      </w:r>
      <w:r>
        <w:t>, die das Entscheidungsverhalten von Führungskräften zwischen den Extrempolen 'autoritär' und 'demokratisch' aufspannen. Diese Betrachtung hat bis heute nicht an Aktualität eingebüßt.</w:t>
      </w:r>
    </w:p>
    <w:p>
      <w:r>
        <w:t>Wie viel Partizipation haben Mitarbeiter bei Entscheidungen? Die Stufen sind in folgender Abbildung darstellt.</w:t>
      </w:r>
    </w:p>
    <w:p>
      <w:pPr>
        <w:sectPr>
          <w:footnotePr>
            <w:pos w:val="pageBottom"/>
            <w:numFmt w:val="decimal"/>
            <w:numStart w:val="1"/>
            <w:numRestart w:val="continuous"/>
          </w:footnotePr>
          <w:endnotePr>
            <w:pos w:val="docEnd"/>
            <w:numFmt w:val="decimal"/>
            <w:numStart w:val="1"/>
            <w:numRestart w:val="continuous"/>
          </w:endnotePr>
          <w:headerReference w:type="default" r:id="rId30"/>
          <w:footerReference w:type="default" r:id="rId31"/>
          <w:headerReference w:type="even" r:id="rId32"/>
          <w:footerReference w:type="even" r:id="rId33"/>
          <w:type w:val="nextPage"/>
          <w:pgSz w:h="16838" w:w="11906"/>
          <w:pgMar w:left="1984" w:top="1418" w:right="1134" w:bottom="1418" w:header="709" w:footer="709"/>
          <w:paperSrc w:first="0" w:other="0" a="0" b="0"/>
          <w:pgNumType w:fmt="decimal" w:start="1"/>
          <w:cols w:num="2" w:equalWidth="1" w:space="340"/>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0" distR="0">
            <wp:extent cx="5579745" cy="2042160"/>
            <wp:effectExtent l="0" t="0" r="0" b="0"/>
            <wp:docPr id="2" name="Grafik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22"/>
                    <pic:cNvPicPr>
                      <a:picLocks noChangeAspect="1"/>
                    </pic:cNvPicPr>
                  </pic:nvPicPr>
                  <pic:blipFill>
                    <a:blip r:embed="rId34">
                      <a:colorize val="10" sat="100" blend="0">
                        <a:clrTo>
                          <a:srgbClr val="7F7F7F"/>
                        </a:clrTo>
                      </a:colorize>
                    </a:blip>
                    <a:stretch>
                      <a:fillRect/>
                    </a:stretch>
                  </pic:blipFill>
                  <pic:spPr>
                    <a:xfrm>
                      <a:off x="0" y="0"/>
                      <a:ext cx="5579745" cy="2042160"/>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Abbildung: Stufen der Partizipation nach Tannenbaum und Schmidt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 </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r>
        <w:br w:type="page"/>
      </w:r>
      <w:r>
        <w:t xml:space="preserve">Entscheidungen befinden sich auf einem Spektrum der Partizipation von autoritär bis demokratisch: </w:t>
      </w:r>
    </w:p>
    <w:p>
      <w:pPr>
        <w:pStyle w:val="para36"/>
        <w:numPr>
          <w:ilvl w:val="0"/>
          <w:numId w:val="58"/>
        </w:numPr>
        <w:ind w:left="454" w:hanging="284"/>
      </w:pPr>
      <w:r>
        <w:t>Eine autoritäre Führungskraft trifft Entscheidungen und verkündet diese. Diese Personen entscheiden alles selber und geben klare Anweisungen, wer was wie zu erledigen hat.</w:t>
      </w:r>
    </w:p>
    <w:p>
      <w:pPr>
        <w:pStyle w:val="para36"/>
        <w:numPr>
          <w:ilvl w:val="0"/>
          <w:numId w:val="58"/>
        </w:numPr>
        <w:ind w:left="454" w:hanging="284"/>
      </w:pPr>
      <w:r>
        <w:t>Etwas demokratischer ist der patriarchalische Führungstyp. Dieser verkauft die von ihm getroffenen Entscheidungen gegenüber den Geführten.</w:t>
      </w:r>
    </w:p>
    <w:p>
      <w:pPr>
        <w:pStyle w:val="para36"/>
        <w:numPr>
          <w:ilvl w:val="0"/>
          <w:numId w:val="58"/>
        </w:numPr>
        <w:ind w:left="454" w:hanging="284"/>
      </w:pPr>
      <w:r>
        <w:t>Als Nächstes folgt der beratende Führungstyp. Dieser schlägt seine Entscheidungen vor und erwartet Rückfragen.</w:t>
      </w:r>
    </w:p>
    <w:p>
      <w:pPr>
        <w:pStyle w:val="para36"/>
        <w:numPr>
          <w:ilvl w:val="0"/>
          <w:numId w:val="58"/>
        </w:numPr>
        <w:ind w:left="454" w:hanging="284"/>
      </w:pPr>
      <w:r>
        <w:t>Der konsultative Führungstyp diskutiert seine bereits ausformulierten Entscheidungen mit den Geführten.</w:t>
      </w:r>
    </w:p>
    <w:p>
      <w:pPr>
        <w:pStyle w:val="para36"/>
        <w:numPr>
          <w:ilvl w:val="0"/>
          <w:numId w:val="58"/>
        </w:numPr>
        <w:ind w:left="454" w:hanging="284"/>
      </w:pPr>
      <w:r>
        <w:t>Partizipative Führungskräfte zeigen Herausforderungen auf und erwarten Lösungsvorschläge. Die Führungskraft wählt dann aus den Vorschlägen der Mitarbeiter aus.</w:t>
      </w:r>
    </w:p>
    <w:p>
      <w:pPr>
        <w:pStyle w:val="para36"/>
        <w:numPr>
          <w:ilvl w:val="0"/>
          <w:numId w:val="58"/>
        </w:numPr>
        <w:ind w:left="454" w:hanging="284"/>
      </w:pPr>
      <w:r>
        <w:t xml:space="preserve">Delegative Führungskräfte weisen auf ein Problem oder eine Chance hin, legen den Entscheidungsspielraum fest und lassen die geführten Mitarbeiter selbstständig eine Lösung entwickeln. </w:t>
      </w:r>
    </w:p>
    <w:p>
      <w:pPr>
        <w:pStyle w:val="para36"/>
        <w:numPr>
          <w:ilvl w:val="0"/>
          <w:numId w:val="58"/>
        </w:numPr>
        <w:ind w:left="454" w:hanging="284"/>
      </w:pPr>
      <w:r>
        <w:t>Führungskräfte mit demokratischem Führungsstil lassen die Geführten innerhalb der organisationalen Grenzen frei Probleme und Chancen identifizieren und Lösungen entwickeln.</w:t>
      </w:r>
    </w:p>
    <w:p>
      <w:r>
        <w:t xml:space="preserve">In Deutschland ist stärkere Partizipation prinzipiell gut möglich, was nicht für jede Kultur in dem Ausmaß gilt. Wir sind erstens eine egalitäre Gesellschaft: Mitarbeiter sehen sich als Menschen mit ähnlichen Rechten wie die Führungskraft. Zweitens kommunizieren Deutsche relativ direkt und haben vergleichsweise geringe Angst, die eigene Meinung zu äußern. Aber nur weil Partizipation möglich ist, bedeutet das noch lange nicht, dass diese auch immer sinnvoll ist. </w:t>
      </w:r>
    </w:p>
    <w:p>
      <w:r>
        <w:t>Folgende Aspekte sprechen für eine autoritäre Entscheidung:</w:t>
      </w:r>
    </w:p>
    <w:p>
      <w:pPr>
        <w:pStyle w:val="para36"/>
        <w:numPr>
          <w:ilvl w:val="0"/>
          <w:numId w:val="58"/>
        </w:numPr>
        <w:ind w:left="454" w:hanging="284"/>
      </w:pPr>
      <w:r>
        <w:t>hoher Zeitdruck,</w:t>
      </w:r>
    </w:p>
    <w:p>
      <w:pPr>
        <w:pStyle w:val="para36"/>
        <w:numPr>
          <w:ilvl w:val="0"/>
          <w:numId w:val="58"/>
        </w:numPr>
        <w:ind w:left="454" w:hanging="284"/>
      </w:pPr>
      <w:r>
        <w:t>schlechte Beziehung zu den Mitarbeitern (mangelndes wechselseitiges Vertrauen),</w:t>
      </w:r>
    </w:p>
    <w:p>
      <w:pPr>
        <w:pStyle w:val="para36"/>
        <w:numPr>
          <w:ilvl w:val="0"/>
          <w:numId w:val="58"/>
        </w:numPr>
        <w:ind w:left="454" w:hanging="284"/>
      </w:pPr>
      <w:r>
        <w:t>eine gut strukturierte Aufgabe, die nicht zu komplex für die Führungskraft ist,</w:t>
      </w:r>
    </w:p>
    <w:p>
      <w:pPr>
        <w:pStyle w:val="para36"/>
        <w:numPr>
          <w:ilvl w:val="0"/>
          <w:numId w:val="58"/>
        </w:numPr>
        <w:ind w:left="454" w:hanging="284"/>
      </w:pPr>
      <w:r>
        <w:t>hohe Akzeptanz einer autoritären Entscheidung bei den Geführten (z.B. aus kulturellen Gründen),</w:t>
      </w:r>
    </w:p>
    <w:p>
      <w:pPr>
        <w:pStyle w:val="para36"/>
        <w:numPr>
          <w:ilvl w:val="0"/>
          <w:numId w:val="58"/>
        </w:numPr>
        <w:ind w:left="454" w:hanging="284"/>
      </w:pPr>
      <w:r>
        <w:t>geringe Motivation der Geführten, sich selbst einzubringen,</w:t>
      </w:r>
    </w:p>
    <w:p>
      <w:pPr>
        <w:pStyle w:val="para36"/>
        <w:numPr>
          <w:ilvl w:val="0"/>
          <w:numId w:val="58"/>
        </w:numPr>
        <w:ind w:left="454" w:hanging="284"/>
      </w:pPr>
      <w:r>
        <w:t>geringe Akzeptanz für die Ziele der Organisation bei den Mitarbeitern,</w:t>
      </w:r>
    </w:p>
    <w:p>
      <w:pPr>
        <w:pStyle w:val="para36"/>
        <w:numPr>
          <w:ilvl w:val="0"/>
          <w:numId w:val="58"/>
        </w:numPr>
        <w:ind w:left="454" w:hanging="284"/>
      </w:pPr>
      <w:r>
        <w:t>hohe Konfliktwahrscheinlichkeit unter den Geführten bei einer Beteiligung an der Entscheidung,</w:t>
      </w:r>
    </w:p>
    <w:p>
      <w:pPr>
        <w:pStyle w:val="para36"/>
        <w:numPr>
          <w:ilvl w:val="0"/>
          <w:numId w:val="58"/>
        </w:numPr>
        <w:ind w:left="454" w:hanging="284"/>
      </w:pPr>
      <w:r>
        <w:t>geringes Interesse der Organisation, die Selbstständigkeit der Geführten zu fördern,</w:t>
      </w:r>
    </w:p>
    <w:p>
      <w:pPr>
        <w:pStyle w:val="para36"/>
        <w:numPr>
          <w:ilvl w:val="0"/>
          <w:numId w:val="58"/>
        </w:numPr>
        <w:ind w:left="454" w:hanging="284"/>
      </w:pPr>
      <w:r>
        <w:t>unzureichende Fachkompetenz bei den Geführten und</w:t>
      </w:r>
    </w:p>
    <w:p>
      <w:pPr>
        <w:pStyle w:val="para36"/>
        <w:numPr>
          <w:ilvl w:val="0"/>
          <w:numId w:val="58"/>
        </w:numPr>
        <w:ind w:left="454" w:hanging="284"/>
      </w:pPr>
      <w:r>
        <w:t>hohe Kosten einer gemeinsamen Entscheidung (z.B. aufwendige Treffen, Arbeitszeitverlust, Reisekosten).</w:t>
      </w:r>
    </w:p>
    <w:p>
      <w:r>
        <w:t>Sind diese Aspekte umgekehrt ausgeprägt, ist logischerweise eine demokratische Entscheidung zielführend.</w:t>
      </w:r>
    </w:p>
    <w:p>
      <w:pPr>
        <w:pStyle w:val="para3"/>
        <w:numPr>
          <w:ilvl w:val="2"/>
          <w:numId w:val="42"/>
        </w:numPr>
        <w:ind w:left="737" w:hanging="737"/>
      </w:pPr>
      <w:bookmarkStart w:id="33" w:name="_Toc349302531"/>
      <w:r/>
      <w:bookmarkEnd w:id="33"/>
      <w:r/>
      <w:bookmarkStart w:id="34" w:name="_Toc362531508"/>
      <w:r/>
      <w:bookmarkEnd w:id="34"/>
      <w:r>
        <w:t>Weitere Führungsstile</w:t>
      </w:r>
    </w:p>
    <w:p>
      <w:pPr>
        <w:ind w:firstLine="0"/>
        <w:spacing w:after="120" w:line="200" w:lineRule="atLeast"/>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w:hAnsi="Times" w:eastAsia="Cambria" w:cs="Times"/>
          <w:sz w:val="24"/>
          <w:szCs w:val="24"/>
        </w:rPr>
      </w:pPr>
      <w:r>
        <w:rPr>
          <w:rFonts w:ascii="Helvetica Neue" w:hAnsi="Helvetica Neue" w:eastAsia="Cambria" w:cs="Helvetica Neue"/>
          <w:sz w:val="16"/>
          <w:szCs w:val="16"/>
        </w:rPr>
        <w:t xml:space="preserve">Quelle: Hay Group Analyse 2009 zur Führungskompetenz in Deutschland, Österreich und Schweiz </w:t>
      </w:r>
      <w:r>
        <w:rPr>
          <w:rFonts w:ascii="Times" w:hAnsi="Times" w:eastAsia="Cambria" w:cs="Times"/>
          <w:sz w:val="24"/>
          <w:szCs w:val="24"/>
        </w:rPr>
      </w:r>
    </w:p>
    <w:p>
      <w:r>
        <w:t>Hie werden folgende Führungsstile betrachtet:</w:t>
      </w:r>
    </w:p>
    <w:p>
      <w:pPr>
        <w:pStyle w:val="para36"/>
        <w:numPr>
          <w:ilvl w:val="0"/>
          <w:numId w:val="58"/>
        </w:numPr>
        <w:ind w:left="454" w:hanging="284"/>
      </w:pPr>
      <w:r>
        <w:t>visionär</w:t>
      </w:r>
    </w:p>
    <w:p>
      <w:pPr>
        <w:pStyle w:val="para36"/>
        <w:numPr>
          <w:ilvl w:val="0"/>
          <w:numId w:val="58"/>
        </w:numPr>
        <w:ind w:left="454" w:hanging="284"/>
      </w:pPr>
      <w:r>
        <w:t>partizipativ</w:t>
      </w:r>
    </w:p>
    <w:p>
      <w:pPr>
        <w:pStyle w:val="para36"/>
        <w:numPr>
          <w:ilvl w:val="0"/>
          <w:numId w:val="58"/>
        </w:numPr>
        <w:ind w:left="454" w:hanging="284"/>
      </w:pPr>
      <w:r>
        <w:t>coachend</w:t>
      </w:r>
    </w:p>
    <w:p>
      <w:pPr>
        <w:pStyle w:val="para36"/>
        <w:numPr>
          <w:ilvl w:val="0"/>
          <w:numId w:val="58"/>
        </w:numPr>
        <w:ind w:left="454" w:hanging="284"/>
      </w:pPr>
      <w:r>
        <w:t>Zusammenhalt fördernd</w:t>
      </w:r>
    </w:p>
    <w:p>
      <w:pPr>
        <w:pStyle w:val="para36"/>
        <w:numPr>
          <w:ilvl w:val="0"/>
          <w:numId w:val="58"/>
        </w:numPr>
        <w:ind w:left="454" w:hanging="284"/>
      </w:pPr>
      <w:r>
        <w:t>direktiv</w:t>
      </w:r>
    </w:p>
    <w:p>
      <w:pPr>
        <w:pStyle w:val="para36"/>
        <w:numPr>
          <w:ilvl w:val="0"/>
          <w:numId w:val="58"/>
        </w:numPr>
        <w:ind w:left="454" w:hanging="284"/>
      </w:pPr>
      <w:r>
        <w:t>perfektionistisch</w:t>
      </w:r>
    </w:p>
    <w:p>
      <w:r>
        <w:t xml:space="preserve">Beim </w:t>
      </w:r>
      <w:r>
        <w:rPr>
          <w:i/>
        </w:rPr>
        <w:t>visionären Stil</w:t>
      </w:r>
      <w:r>
        <w:t xml:space="preserve"> geht es darum, Visionen, Ziele und Herausforderungen zu vermitteln und die Unterstützung der Mitarbeiter zu gewinnen. Dieser Stil ist unverzichtbar in Veränderungsprozessen. Er erhöht das Engagement der Mitarbeiter und verleiht dem Team Energie. </w:t>
      </w:r>
    </w:p>
    <w:p>
      <w:r>
        <w:t xml:space="preserve">Mit dem </w:t>
      </w:r>
      <w:r>
        <w:rPr>
          <w:i/>
        </w:rPr>
        <w:t>partizipativen Stil</w:t>
      </w:r>
      <w:r>
        <w:t xml:space="preserve"> binden Führungskräfte andere in Ideenfindungs- und unter Umständen auch Entscheidungsprozesse ein. Dieser Stil motiviert, weil der Einzelne ernst genommen wird. Er ist allerdings nur dann effektiv, wenn die eingebundenen Mitarbeiter über einen entsprechenden Expertisehintergrund verfügen. </w:t>
      </w:r>
    </w:p>
    <w:p>
      <w:r>
        <w:t xml:space="preserve">Beim </w:t>
      </w:r>
      <w:r>
        <w:rPr>
          <w:i/>
        </w:rPr>
        <w:t>coachenden Stil</w:t>
      </w:r>
      <w:r>
        <w:t xml:space="preserve"> engagiert sich die Führungskraft für die langfristige berufliche Entwicklung von Mitarbeitern. Dieser Stil motiviert besonders die Mitarbeiter, die beruflich weiterkommen wollen. </w:t>
      </w:r>
    </w:p>
    <w:p>
      <w:r>
        <w:t xml:space="preserve">Der </w:t>
      </w:r>
      <w:r>
        <w:rPr>
          <w:i/>
        </w:rPr>
        <w:t>Zusammenhalt fördernde Stil</w:t>
      </w:r>
      <w:r>
        <w:t xml:space="preserve"> ist nicht nur auf die Aufgaben, sondern auch auf die Mitarbeiter und deren emotionale Bedürfnisse am Arbeitsplatz gerichtet. In einem ausgewogenen Führungsstil-Portfolio darf er nicht fehlen. Die Führungskräfte, die allein diesen Stil bevorzugen, können jedoch Gefahr laufen, Konflikten aus dem Weg zu gehen, statt diese als Chance zu nutzen. </w:t>
      </w:r>
    </w:p>
    <w:p>
      <w:r>
        <w:t xml:space="preserve">Der </w:t>
      </w:r>
      <w:r>
        <w:rPr>
          <w:i/>
        </w:rPr>
        <w:t>direktive Stil</w:t>
      </w:r>
      <w:r>
        <w:t xml:space="preserve"> baut auf Anweisungen und Kontrolle. Wenn Manager auf diesen Stil zurückgreifen, sagen sie ihren Mitarbeitern, was diese wann und wie zu tun haben und was passiert, wenn sie sich nicht daran halten. Das Muster „Befehl und Gehorsam“ ist in Krisensituationen (Feuerwehraktion) durchaus effektiv, erfordert aber, dass der Vorgesetzte die „richtige“ Lösung auch kennt. Wird der Stil zu häufig eingesetzt, werden Mitarbeiter zur Passivität erzogen und die Potenziale der Organisation nicht genutzt. Eine strategische Krisenbewältigung wird so nicht gelingen. </w:t>
      </w:r>
    </w:p>
    <w:p>
      <w:r>
        <w:t xml:space="preserve">Der </w:t>
      </w:r>
      <w:r>
        <w:rPr>
          <w:i/>
        </w:rPr>
        <w:t>perfektionistische Stil</w:t>
      </w:r>
      <w:r>
        <w:t xml:space="preserve"> impliziert Führen durch beispielhaftes Verhalten und persönliche Glanzleistungen. Führungskräfte, die diesen Stil benutzen, haben in der Regel hohe Standards und stellen sicher, dass diese Standards auch erfüllt werden, selbst wenn sie die Arbeit selbst erledigen müssen – und das tun sie ziemlich häufig. Bei homogenen – sehr motivierten und kompetenten – Teams kann dieser Führungsstil hilfreich sein. In den meisten Fällen jedoch führt dieser Stil bei zu häufigem Einsatz langfristig zur Demotivation. </w:t>
      </w:r>
    </w:p>
    <w:p>
      <w:pPr>
        <w:pStyle w:val="para3"/>
        <w:numPr>
          <w:ilvl w:val="2"/>
          <w:numId w:val="42"/>
        </w:numPr>
        <w:ind w:left="737" w:hanging="737"/>
      </w:pPr>
      <w:bookmarkStart w:id="35" w:name="_Toc349302532"/>
      <w:r/>
      <w:bookmarkEnd w:id="35"/>
      <w:r/>
      <w:bookmarkStart w:id="36" w:name="_Toc362531509"/>
      <w:r/>
      <w:bookmarkEnd w:id="36"/>
      <w:r>
        <w:t>Führung und Motivation</w:t>
      </w:r>
    </w:p>
    <w:p>
      <w:pPr>
        <w:ind w:firstLine="0"/>
        <w:spacing w:after="12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 w:val="16"/>
          <w:szCs w:val="16"/>
        </w:rPr>
      </w:pPr>
      <w:r>
        <w:rPr>
          <w:rFonts w:eastAsia="Cambria" w:cs="Basic Roman"/>
          <w:sz w:val="16"/>
          <w:szCs w:val="16"/>
        </w:rPr>
        <w:t>Quelle: Jana Sauer: 'Führung macht den Unterschied', Personalwirtschaft 09/2009, S. 68-70</w:t>
      </w:r>
    </w:p>
    <w:p>
      <w:r>
        <w:t xml:space="preserve">In einer vor kurzem durchgeführten Analyse der Hay Group wurde die Führungskompetenz der Führungskräfte im deutschsprachigen Raum (Deutschland, Österreich und Schweiz) untersucht. Es wurde analysiert, wie gut es Führungskräften gelingt, in ihrer Organisation ein leistungsförderndes Arbeitsklima zu schaffen, also Rahmenbedingungen, unter denen jeder Mitarbeiter und das Team als Ganzes ihr Bestes geben. Dabei ging es nicht um die allgemeine Mitarbeiterzufriedenheit, sondern um die Leistungsbereitschaft beziehungsweise Leistungsmotivation, die in einem direkten Zusammenhang mit den Ergebnissen steht. Eine höhere Leistungsmotivation der Mitarbeiter führt nachweislich zu einer Verbesserung der Ergebnisse, an denen Führungskräfte gemessen werden, beispielsweise Profitabilität, Umsatz oder Fluktuation. Verändert sich ein Ergebnis nach unten beziehungsweise nach oben sind bis zu 30 Prozent dieser Veränderung auf das schlechte beziehungsweise motivierende Arbeitsklima zurückzuführen. Die Analyse offenbart: 51 Prozent der Führungskräfte gelingt es nicht, ein motivierendes Arbeitsklima zu schaffen. Diese Manager lassen das Potenzial für bessere Ergebnisse ungenutzt, obwohl sie darauf direkten Einfluss hätten. Schlimmer noch: Drei Viertel dieser Führungskräfte demotivieren ihre Mitarbeiter sogar. </w:t>
      </w:r>
    </w:p>
    <w:p>
      <w:pPr>
        <w:pStyle w:val="para4"/>
        <w:numPr>
          <w:ilvl w:val="3"/>
          <w:numId w:val="42"/>
        </w:numPr>
        <w:ind w:left="864" w:hanging="864"/>
      </w:pPr>
      <w:bookmarkStart w:id="37" w:name="_Toc349302533"/>
      <w:r/>
      <w:bookmarkEnd w:id="37"/>
      <w:r/>
      <w:bookmarkStart w:id="38" w:name="_Toc362531510"/>
      <w:r/>
      <w:bookmarkEnd w:id="38"/>
      <w:r>
        <w:t>Motivieren, aber richtig</w:t>
      </w:r>
    </w:p>
    <w:p>
      <w:r>
        <w:t xml:space="preserve">Erfolgreiche Führungskräfte achten auf die Aspekte, die die Leistungsmotivation der Mitarbeiter fördern: die sechs Leistungsmotivationstreiber. Diese wirken sich direkt auf die Profitabilität des Unternehmens aus und können durch Führung maßgeblich gesteuert werden. </w:t>
      </w:r>
    </w:p>
    <w:p>
      <w:pPr>
        <w:pStyle w:val="para34"/>
        <w:numPr>
          <w:ilvl w:val="0"/>
          <w:numId w:val="58"/>
        </w:numPr>
        <w:ind w:left="397" w:hanging="284"/>
      </w:pPr>
      <w:r>
        <w:t xml:space="preserve">Der wichtigste Treiber ist </w:t>
      </w:r>
      <w:r>
        <w:rPr>
          <w:b/>
          <w:bCs/>
        </w:rPr>
        <w:t xml:space="preserve">Klarheit: </w:t>
      </w:r>
      <w:r>
        <w:t>Wissen die Mitarbeiter, was von ihnen erwartet wird und wie ihre eigene Arbeit mit den Unternehmenszielen in Verbindung steht? Zahlreiche Untersuchungen haben belegt, dass diese Dimension des Arbeitsklimas am stärksten mit der Effizienz zusammenhängt. Denn wie sollen Mitarbeiter ein gutes Leistungsergebnis erbringen beziehungsweise ihre Leistung verbessern, wenn sie nicht wissen, wohin die Reise geht und was der eigene Beitrag hierzu ist?</w:t>
      </w:r>
    </w:p>
    <w:p>
      <w:pPr>
        <w:pStyle w:val="para34"/>
        <w:numPr>
          <w:ilvl w:val="0"/>
          <w:numId w:val="58"/>
        </w:numPr>
        <w:ind w:left="397" w:hanging="284"/>
      </w:pPr>
      <w:r>
        <w:rPr>
          <w:b/>
          <w:bCs/>
        </w:rPr>
        <w:t xml:space="preserve">Verantwortung </w:t>
      </w:r>
      <w:r>
        <w:t>bezeichnet das Maß, in welchem Aufgaben an Mitarbeiter delegiert werden und sie diese auch verantwortlich durchführen können, ohne auf Schritt und Tritt eine Genehmigung ihres Vorgesetzten einholen zu müssen. Höhere Führungskompetenz bedeutet in diesem Zusammenhang die Bereitschaft, auch kalkulierte Risiken einzugehen.</w:t>
      </w:r>
    </w:p>
    <w:p>
      <w:pPr>
        <w:pStyle w:val="para34"/>
        <w:numPr>
          <w:ilvl w:val="0"/>
          <w:numId w:val="58"/>
        </w:numPr>
        <w:ind w:left="397" w:hanging="284"/>
      </w:pPr>
      <w:r>
        <w:t xml:space="preserve">Der Motivationstreiber </w:t>
      </w:r>
      <w:r>
        <w:rPr>
          <w:b/>
          <w:bCs/>
        </w:rPr>
        <w:t xml:space="preserve">Standards </w:t>
      </w:r>
      <w:r>
        <w:t>zeigt auf, inwiefern Mitarbeiter wahrnehmen, dass ihr Unternehmen großen Wert auf hervorragende Qualität legt – sowohl bei der Leistung jedes Einzelnen als auch für die Organisation insgesamt. In einem Team mit hohen Standards ist es für jeden plausibel, dass die Messlatte auch für die individuelle Leistung hoch liegt, die Ziele aber für den Einzelnen bei entsprechendem Engagement durchaus erreichbar sind.</w:t>
      </w:r>
    </w:p>
    <w:p>
      <w:pPr>
        <w:pStyle w:val="para34"/>
        <w:numPr>
          <w:ilvl w:val="0"/>
          <w:numId w:val="58"/>
        </w:numPr>
        <w:ind w:left="397" w:hanging="284"/>
      </w:pPr>
      <w:r>
        <w:rPr>
          <w:b/>
          <w:bCs/>
        </w:rPr>
        <w:t xml:space="preserve">Belohnung </w:t>
      </w:r>
      <w:r>
        <w:t xml:space="preserve">ist das Maß dafür, inwieweit die Mitarbeiter überzeugt sind, dass die Vergütung und Anerkennung in direktem Bezug zur individuellen Leistung stehen. Die besondere Rolle der Führungskraft liegt darin, gute Leistung anzuerkennen und dem Team glaubhaft zu vermitteln, dass es sich lohnt, sein Bestes zu geben. Zeitnahes und leistungsbezogenes Feedback, bei dem auch die positiven Aspekte nicht vergessen werden, ist hier von großer Bedeutung. </w:t>
      </w:r>
    </w:p>
    <w:p>
      <w:pPr>
        <w:pStyle w:val="para34"/>
        <w:numPr>
          <w:ilvl w:val="0"/>
          <w:numId w:val="58"/>
        </w:numPr>
        <w:ind w:left="397" w:hanging="284"/>
      </w:pPr>
      <w:r>
        <w:rPr>
          <w:b/>
          <w:bCs/>
        </w:rPr>
        <w:t xml:space="preserve">Flexibilität </w:t>
      </w:r>
      <w:r>
        <w:t xml:space="preserve">reflektiert die Wahrnehmung seitens der Mitarbeiter, ob Vorschriften und Richtlinien wirklich gebraucht oder als purer Bürokratismus empfunden werden. In diesem Motivationstreiber schlägt sich ebenfalls nieder, in welchem Maße sich Mitarbeiter ermutigt fühlen, neue Ideen einzubringen. In Teams mit hoher Leistungsmotivation herrscht hohe Flexibilität. </w:t>
      </w:r>
    </w:p>
    <w:p>
      <w:pPr>
        <w:pStyle w:val="para34"/>
        <w:numPr>
          <w:ilvl w:val="0"/>
          <w:numId w:val="58"/>
        </w:numPr>
        <w:ind w:left="397" w:hanging="284"/>
      </w:pPr>
      <w:r>
        <w:t xml:space="preserve">Das </w:t>
      </w:r>
      <w:r>
        <w:rPr>
          <w:b/>
          <w:bCs/>
        </w:rPr>
        <w:t xml:space="preserve">Team Commitment </w:t>
      </w:r>
      <w:r>
        <w:t xml:space="preserve">zeigt, inwieweit die Mitarbeiter stolz darauf sind, zum Team zu gehören, ob sie davon überzeugt sind, dass jeder im Team mit hohem Einsatz andere unterstützt und auf das gemeinsame Ziel hin arbeitet. Je stärker das Team auf gemeinsame Werte zurückgreifen kann, desto höher ist der Leistungseinsatz und desto größer ist auch der Stolz, zum Team zu gehören. </w:t>
      </w:r>
    </w:p>
    <w:p>
      <w:r>
        <w:t xml:space="preserve">Mitarbeiter engagieren sich umso stärker, je mehr Treiber aktiviert sind. Machen sich Schwächen in mehreren Faktoren bemerkbar, wirkt das Arbeitsklima neutral oder sogar demotivierend. In einer solchen Arbeitsumgebung tendieren die Mitarbeiter dazu, nur das Nötigste zu tun. Darunter leidet die Leistung - und die Geschäftsergebnisse. Die sechs Motivationstreiber lassen sich durch das „richtige" Verhalten der Führungskraft aktivieren (siehe Abbildung 1, nächste Seite). Oft entfalten bereits kleine Verhaltensänderungen eine große Wirkung. So wirkt zum Beispiel das Aufzeigen der gemeinsamen Zielsetzung und des Zusammenhangs der Aufgabe jedes Einzelnen mit der übergeordneten Strategie anspornend und motivierend. </w:t>
      </w:r>
    </w:p>
    <w:p>
      <w:pPr>
        <w:pStyle w:val="para4"/>
        <w:numPr>
          <w:ilvl w:val="3"/>
          <w:numId w:val="42"/>
        </w:numPr>
        <w:ind w:left="864" w:hanging="864"/>
      </w:pPr>
      <w:bookmarkStart w:id="39" w:name="_Toc349302534"/>
      <w:r/>
      <w:bookmarkEnd w:id="39"/>
      <w:r/>
      <w:bookmarkStart w:id="40" w:name="_Toc362531511"/>
      <w:r/>
      <w:bookmarkEnd w:id="40"/>
      <w:r>
        <w:t xml:space="preserve">Erfolg durch Flexibilität </w:t>
      </w:r>
    </w:p>
    <w:p>
      <w:r>
        <w:t xml:space="preserve">Die Untersuchung zeigt: Führungskräfte, die es schaffen, ihre Mitarbeiter zu motivieren und deren Leistungsmotivation im maximalen Bereich aufrechtzuerhalten, sind flexibel. Sie verhalten sich nicht immer gleich, sondern variieren ihren Führungsstil je nach Situation und Mitarbeiter. Konkretisiert man das Verhalten der Führungskräfte in sechs situativen Stilen (siehe Kapitel 2.3), lassen sich zwei Merkmale feststellen, die die erfolgreichen von weniger erfolgreichen Führungskräften unterscheiden: </w:t>
      </w:r>
    </w:p>
    <w:p>
      <w:pPr>
        <w:pStyle w:val="para34"/>
        <w:numPr>
          <w:ilvl w:val="0"/>
          <w:numId w:val="58"/>
        </w:numPr>
        <w:ind w:left="397" w:hanging="284"/>
      </w:pPr>
      <w:r>
        <w:t>Anzahl der genutzten Führungsstile: Werden regelmäßig weniger als drei Führungsstile angewendet, ist die Wahrscheinlichkeit eines leistungsfördernden Arbeitsklimas sehr gering.</w:t>
      </w:r>
    </w:p>
    <w:p>
      <w:pPr>
        <w:pStyle w:val="para34"/>
        <w:numPr>
          <w:ilvl w:val="0"/>
          <w:numId w:val="58"/>
        </w:numPr>
        <w:ind w:left="397" w:hanging="284"/>
      </w:pPr>
      <w:r>
        <w:t xml:space="preserve">Qualitative Unterschiede in den Stilen: Führungskräfte mit hoher Führungskompetenz, die ein leistungsförderndes Arbeitsklima schaffen, nutzen verstärkt den visionären, partizipativen, coachenden und Zusammenhalt fördernden Stil. Den visionären Stil nutzt regelmäßig mehr als die Hälfte dieser Führungskräfte. Ihre weniger erfolgreichen Kollegen verlassen sich dagegen meistens auf den direktiven und den perfektionistischen Führungsstil (siehe Abbildung 2). </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r>
    </w:p>
    <w:p>
      <w:pPr>
        <w:ind w:firstLine="0"/>
        <w:spacing w:after="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
        <w:rPr>
          <w:noProof/>
        </w:rPr>
        <w:drawing>
          <wp:inline distT="0" distB="0" distL="0" distR="0">
            <wp:extent cx="4305300" cy="1974850"/>
            <wp:effectExtent l="0" t="0" r="0" b="0"/>
            <wp:docPr id="3"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2"/>
                    <pic:cNvPicPr>
                      <a:picLocks noChangeAspect="1"/>
                    </pic:cNvPicPr>
                  </pic:nvPicPr>
                  <pic:blipFill>
                    <a:blip r:embed="rId35">
                      <a:colorize val="10" sat="100" blend="0">
                        <a:clrTo>
                          <a:srgbClr val="7F7F7F"/>
                        </a:clrTo>
                      </a:colorize>
                    </a:blip>
                    <a:stretch>
                      <a:fillRect/>
                    </a:stretch>
                  </pic:blipFill>
                  <pic:spPr>
                    <a:xfrm>
                      <a:off x="0" y="0"/>
                      <a:ext cx="4305300" cy="1974850"/>
                    </a:xfrm>
                    <a:prstGeom prst="rect">
                      <a:avLst/>
                    </a:prstGeom>
                    <a:noFill/>
                    <a:ln w="12700">
                      <a:noFill/>
                    </a:ln>
                  </pic:spPr>
                </pic:pic>
              </a:graphicData>
            </a:graphic>
          </wp:inline>
        </w:drawing>
      </w:r>
      <w:r/>
      <w:r>
        <w:rPr>
          <w:rFonts w:eastAsia="Cambria" w:cs="Basic Roman"/>
        </w:rPr>
      </w:r>
    </w:p>
    <w:p>
      <w:pPr>
        <w:ind w:firstLine="0"/>
        <w:spacing w:after="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rPr>
          <w:noProof/>
        </w:rPr>
        <w:drawing>
          <wp:inline distT="0" distB="0" distL="0" distR="0">
            <wp:extent cx="4234815" cy="3073400"/>
            <wp:effectExtent l="0" t="0" r="0" b="0"/>
            <wp:docPr id="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24"/>
                    <pic:cNvPicPr>
                      <a:picLocks noChangeAspect="1"/>
                    </pic:cNvPicPr>
                  </pic:nvPicPr>
                  <pic:blipFill>
                    <a:blip r:embed="rId36">
                      <a:colorize val="10" sat="100" blend="0">
                        <a:clrTo>
                          <a:srgbClr val="7F7F7F"/>
                        </a:clrTo>
                      </a:colorize>
                    </a:blip>
                    <a:stretch>
                      <a:fillRect/>
                    </a:stretch>
                  </pic:blipFill>
                  <pic:spPr>
                    <a:xfrm>
                      <a:off x="0" y="0"/>
                      <a:ext cx="4234815" cy="3073400"/>
                    </a:xfrm>
                    <a:prstGeom prst="rect">
                      <a:avLst/>
                    </a:prstGeom>
                    <a:noFill/>
                    <a:ln w="12700">
                      <a:noFill/>
                    </a:ln>
                  </pic:spPr>
                </pic:pic>
              </a:graphicData>
            </a:graphic>
          </wp:inline>
        </w:drawing>
      </w: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In wirtschaftlich schwierigen Zeiten empfiehlt sich eine zusätzliche Intensivierung des visionären, perfektionistischen und Zusammenhalt fördernden Führungsstils. In der </w:t>
      </w:r>
      <w:r>
        <w:t>Praxis</w:t>
      </w:r>
      <w:r>
        <w:rPr>
          <w:rFonts w:eastAsia="Cambria" w:cs="Basic Roman"/>
        </w:rPr>
        <w:t xml:space="preserve"> tendieren viele Führungskräfte jedoch dazu, gerade auf zunehmenden wirtschaftlichen Druck hin, ihr Führungsverhalten auf den perfektionistischen und direktiven Stil zu reduzieren. Dies verstärkt das Problem der Demotivation jedoch, anstatt es zu lösen. </w:t>
      </w:r>
    </w:p>
    <w:p>
      <w:pPr>
        <w:pStyle w:val="para4"/>
        <w:numPr>
          <w:ilvl w:val="3"/>
          <w:numId w:val="42"/>
        </w:numPr>
        <w:ind w:left="864" w:hanging="864"/>
      </w:pPr>
      <w:bookmarkStart w:id="41" w:name="_Toc349302535"/>
      <w:r/>
      <w:bookmarkEnd w:id="41"/>
      <w:r/>
      <w:bookmarkStart w:id="42" w:name="_Toc362531512"/>
      <w:r/>
      <w:bookmarkEnd w:id="42"/>
      <w:r>
        <w:t xml:space="preserve">Richtig führen ist lernbar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Der Zugang zu den Leistungsmotivationstreibern – und damit der Schlüssel zu mehr Führungskompetenz – liegt in der Differenzierung des Führungsverhaltens beziehungsweise in der Erweiterung des Führungsstilportfolios. Human Ressource Partner können Führungskräften in ihrem Unternehmen zu mehr Führungskompetenz verhelfen, indem sie ihnen das bisher ungenutzte Spektrum der Führungsstile aufzeigen und sie dabei unterstützen, wenig ausgeprägte Stile zu entwickeln.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Hierzu ist in einem ersten Schritt eine zielgerichtete Bestandsaufnahme sinnvoll: Welche Führungsstile gehören zurzeit zum Werkzeugkoffer der Führungskraft? Welche Wirkung haben diese Stile auf die Leistungsbereitschaft der Mitarbeiter? Welche Leistungsmotivationstreiber sind bereits aktiviert und welche müssen noch intensiviert </w:t>
      </w:r>
      <w:r>
        <w:t>werden</w:t>
      </w:r>
      <w:r>
        <w:rPr>
          <w:rFonts w:eastAsia="Cambria" w:cs="Basic Roman"/>
        </w:rPr>
        <w:t xml:space="preserve">? Entscheidend bei dieser Standortbestimmung ist nicht die Selbsteinschätzung der Führungskraft, sondern vielmehr die Wahrnehmung ihrer Mitarbeiter. Anonyme internetbasierte Mitarbeiter-Befragungen sind hilfreich, um ein ehrliches Feedback zu bekommen. Erfolgskritisch bei der Durchführung einer solchen Befragung ist die Auswahl des „richtigen“ Messinstruments. Eines der wichtigsten Qualitätskriterien eines Instruments sind die Faktoren, die gemessen werden beziehungsweise deren Relevanz für die Leistung. Soll auf der Grundlage der gewonnenen Ergebnisse eine Verhaltensänderung stattfinden, ist zusätzlich ein professionelles Feedbackgespräch mit der Führungskraft unerlässlich. </w:t>
      </w:r>
    </w:p>
    <w:p>
      <w:pPr>
        <w:pStyle w:val="para4"/>
        <w:numPr>
          <w:ilvl w:val="3"/>
          <w:numId w:val="42"/>
        </w:numPr>
        <w:ind w:left="864" w:hanging="864"/>
      </w:pPr>
      <w:bookmarkStart w:id="43" w:name="_Toc349302536"/>
      <w:r/>
      <w:bookmarkEnd w:id="43"/>
      <w:r/>
      <w:bookmarkStart w:id="44" w:name="_Toc362531513"/>
      <w:r/>
      <w:bookmarkEnd w:id="44"/>
      <w:r/>
      <w:bookmarkStart w:id="45" w:name="_TOC001828"/>
      <w:r/>
      <w:bookmarkStart w:id="46" w:name="_TOC002013"/>
      <w:r/>
      <w:bookmarkStart w:id="47" w:name="_TOC000028"/>
      <w:r>
        <w:t>10 Motivationskiller vom Chef</w:t>
      </w:r>
    </w:p>
    <w:p>
      <w:r>
        <w:t>Vorgesetzte werden darauf getrimmt, ihre Mitarbeiter auf alle erdenkliche Arten zu motivieren. Müssen sie gar nicht. Es reicht vollkommen, sie nicht zu demotivieren. Zehn häufige Fehler</w:t>
      </w:r>
    </w:p>
    <w:p>
      <w:r>
        <w:t>von Capital-Redaktion, 26. August 2020</w:t>
      </w:r>
    </w:p>
    <w:p>
      <w:r>
        <w:t>Die beste Lektion in Sachen Mitarbeitermotivation ist erschreckend banal. Und kostet nicht einmal etwas. Sie lautet: Hören Sie auf zu demotivieren. Immer mehr Unternehmen lassen sich immer neue und immer teurere Benefits einfallen, um Mitarbeiter erst zu werben und dann zu halten. Sie lassen sich die Motivation einiges kosten. Dabei ist das gar nicht nötig. In der Regel bringen Mitarbeiter eine gesunde Portion Motivation mit, brennen für neue Aufgaben, doch nur allzu oft wird das Feuer erstickt.</w:t>
      </w:r>
    </w:p>
    <w:p>
      <w:r>
        <w:t>Ein gern zitiertes Beispiel stammt aus der Versicherungsbranche. Ein Konzern hatte das „Jahr der Lebensversicherungen“ ausgerufen. Alle Mitarbeiter zogen an einem Strang, setzten alles daran, das Geschäft mit den Lebensversicherungen zu steigern. Und tatsächlich. Unter äußerster Kraftanstrengung schafften sie ein Plus von 50 Prozent. Auf der Jahresabschlussfeier bedankte sich der Vorstandsvorsitzende, die Belegschaft war in Feierlaune. Und dann sagte der Chef diesen einen Satz, der die Stimmung in den Keller trieb: „…und im nächsten Jahr werden wir diese Summe nochmals um 30 Prozent steigern. Das ist unser neues Jahresziel!“ Das Ergebnis zu halten wäre schon ein Erfolg. Schließlich hatten alle Mitarbeiter sich dem einen Ziel untergeordnet, andere Aufgaben hintangestellt, sich aufgeopfert. Das Ergebnis noch einmal zu steigern, schien unmöglich. Das Lob verpuffte, es klang fast wie ein Vorwurf, nach: „Da ist immer noch Luft nach oben.“ Über das Erreichte konnte sich an diesem Abend niemand mehr freuen. Der Motivationskiller hatte einen Blattschuss gesetzt.</w:t>
      </w:r>
    </w:p>
    <w:p>
      <w:r>
        <w:t>Das National Business Research Institute in Texas hat eine Studie dem Thema Demotivation gewidmet und eine Liste erstellt, wie Manager Mitarbeitern den Spaß an der Arbeit nehmen, und damit die Produktivität des Unternehmens gefährden. Das sind die zehn größten Motivationskiller:</w:t>
      </w:r>
    </w:p>
    <w:p>
      <w:pPr>
        <w:rPr>
          <w:b/>
          <w:bCs/>
        </w:rPr>
      </w:pPr>
      <w:r>
        <w:rPr>
          <w:b/>
          <w:bCs/>
        </w:rPr>
        <w:t>Pessimismus</w:t>
      </w:r>
    </w:p>
    <w:p>
      <w:r>
        <w:t>Der Chef sollte ein leuchtendes Beispiel sein. Skeptiker, Zyniker und Nörgler, die alles schlecht reden und lieber kritisieren als loben, töten auf Dauer die Motivation. Wenn eh alles schlecht ist, warum sollen sich die Mitarbeiter dann noch anstrengen?</w:t>
      </w:r>
    </w:p>
    <w:p>
      <w:pPr>
        <w:rPr>
          <w:b/>
          <w:bCs/>
        </w:rPr>
      </w:pPr>
      <w:r>
        <w:rPr>
          <w:b/>
          <w:bCs/>
        </w:rPr>
        <w:t>Gehalt</w:t>
      </w:r>
    </w:p>
    <w:p>
      <w:r>
        <w:t>Geld ist nicht alles. Aber wenig Geld kann zu viel Unmut führen. Das Gehaltsgefüge in einem Unternehmen sollte ausgewogen sein, die Bezahlung sich an der Leistung orientieren. Wer viel und Gutes leistet, sollte das auch vergütet bekommen. Denn das Gehalt ist auch immer ein Zeichen von Wertschätzung. Wenn sich Leistung aber nicht auf dem Lohnzettel widerspiegelt, besteht die Gefahr, dass der Mitarbeiter bald nur noch Dienst nach Vorschrift macht. Denn darin hatte Helmut Kohl recht: „Leistung muss sich lohnen.“</w:t>
      </w:r>
    </w:p>
    <w:p>
      <w:pPr>
        <w:rPr>
          <w:b/>
          <w:bCs/>
        </w:rPr>
      </w:pPr>
      <w:r>
        <w:rPr>
          <w:b/>
          <w:bCs/>
        </w:rPr>
        <w:t>Unsicherheit</w:t>
      </w:r>
    </w:p>
    <w:p>
      <w:r>
        <w:t>Wer glaubt, der Chef habe ihn auf dem Kieker, oder aber er fürchtet um seinen Arbeitsplatz, weil ständig Berater und Optimierer durch die Gänge des Unternehmens streunen, der wird nicht die beste Arbeit abliefern. Auch wenn manche Chefs glauben, der Druck würde zu härterem Arbeiten anspornen. Wer sich aber um seine Existenz fürchtet, der hat selten den Kopf frei für seinen Job. Vielmehr kämpft er mit Sorgen und Zukunftsängsten.</w:t>
      </w:r>
    </w:p>
    <w:p>
      <w:pPr>
        <w:rPr>
          <w:b/>
          <w:bCs/>
        </w:rPr>
      </w:pPr>
      <w:r>
        <w:rPr>
          <w:b/>
          <w:bCs/>
        </w:rPr>
        <w:t>Druck</w:t>
      </w:r>
    </w:p>
    <w:p>
      <w:r>
        <w:t>Der Motivationskiller Nummer eins ist Stress. Kurzfristig kann Stress zwar helfen, die Leistung zu steigern. Andauernder Druck ist dagegen gesundheitsgefährdend und killt die Motivation. Wer wegen Stress schlecht schläft, sich morgens nur mühsam aus dem Bett quält und sich nur widerstrebend zur Arbeit schleppt, wird sich auch nicht für die Arbeit motivieren können. Dass Motivation über Druck aufgebaut werden könne, ist ein Trugschluss.</w:t>
      </w:r>
    </w:p>
    <w:p>
      <w:pPr>
        <w:rPr>
          <w:b/>
          <w:bCs/>
        </w:rPr>
      </w:pPr>
      <w:r>
        <w:rPr>
          <w:b/>
          <w:bCs/>
        </w:rPr>
        <w:t>Geringschätzung</w:t>
      </w:r>
    </w:p>
    <w:p>
      <w:r>
        <w:t>Wer gute Arbeit leistet, ist stolz darauf. Und möchte auch dafür gelobt werden. Ein einfaches „Danke“ kann schon Wunder bewirken. Lob und Anerkennung sind immer noch die beste Motivation. Doch oftmals sehen die Vorgesetzten über die herausragende Arbeit hinweg, erst bei einem Fehler reagieren sie. Tschüss Motivation.</w:t>
      </w:r>
    </w:p>
    <w:p>
      <w:pPr>
        <w:rPr>
          <w:b/>
          <w:bCs/>
        </w:rPr>
      </w:pPr>
      <w:r>
        <w:rPr>
          <w:b/>
          <w:bCs/>
        </w:rPr>
        <w:t>Vetternwirtschaft</w:t>
      </w:r>
    </w:p>
    <w:p>
      <w:r>
        <w:t>Auch Chefs können mit manchen Mitarbeitern besser als mit anderen. Ganz klar, sie sind ja auch nur Menschen. Doch Sympathie sollte kein Maßstab für die Beurteilung der Arbeit sein. Auch wirkt es sich katastrophal auf die Moral des Teams aus, wenn der Vorgesetzte die Mitarbeiter, mit denen er nicht so gut kann, öffentlich vorführt.</w:t>
      </w:r>
    </w:p>
    <w:p>
      <w:pPr>
        <w:rPr>
          <w:b/>
          <w:bCs/>
        </w:rPr>
      </w:pPr>
      <w:r>
        <w:rPr>
          <w:b/>
          <w:bCs/>
        </w:rPr>
        <w:t>Entscheidungen</w:t>
      </w:r>
    </w:p>
    <w:p>
      <w:r>
        <w:t>Entscheidungen aus der Chefetage werden von den Mitarbeitern oft kontrovers diskutiert. Schnell heißt es, „die da oben“ oder „die in ihrem Elfenbeinturm“. Es scheint, als würden die Entscheidungen vorbei an der Basis getroffen. Wenn Mitarbeiter den Eindruck haben, sie werden vor Entscheidungen, die ihre Arbeit direkt betreffen, nicht einmal gehört, kann das zu einem starken Motivationsverlust führen.</w:t>
      </w:r>
    </w:p>
    <w:p>
      <w:pPr>
        <w:rPr>
          <w:b/>
          <w:bCs/>
        </w:rPr>
      </w:pPr>
      <w:r>
        <w:rPr>
          <w:b/>
          <w:bCs/>
        </w:rPr>
        <w:t>Zeitverschwendung</w:t>
      </w:r>
    </w:p>
    <w:p>
      <w:r>
        <w:t>Ein normaler Arbeitstag ist eng getaktet. Umso ärgerlicher sind Zeitfresser, die nichts bringen. Meetings mit dem gesamten Team, wobei das Problem besser bilateral geklärt werden könnte. Ein Bombardement von Mails, das immer wieder aus der konzentrierten Arbeit herausreißt. Immer neue Aufgaben, obwohl die alten noch nicht erledigt sind. Wer nicht genügend Zeit findet, seine Aufgaben abzuarbeiten, der wird schnell demotiviert.</w:t>
      </w:r>
    </w:p>
    <w:p>
      <w:pPr>
        <w:rPr>
          <w:b/>
          <w:bCs/>
        </w:rPr>
      </w:pPr>
      <w:r>
        <w:rPr>
          <w:b/>
          <w:bCs/>
        </w:rPr>
        <w:t>Rumbrüllen</w:t>
      </w:r>
    </w:p>
    <w:p>
      <w:r>
        <w:t>Manchmal kann einem schon der Kragen platzen. Auch dem Chef. Das kann passieren, sollte es aber nicht. Denn nichts ist unprofessioneller. Niemand lässt sich gerne anbrüllen, schon gar nicht vor Kollegen. Chefs die viel Brüllen, verlieren erst den Respekt im Team und anschließend das Team die Motivation. Denn wer möchte schon seine Energie und Zeit für jemanden verschwenden, der bei jeder Gelegenheit einen Wutanfall bekommt? Auch wenn es manchmal hektisch werden kann, muss immer ein sachlicher und professioneller Ton herrschen.</w:t>
      </w:r>
    </w:p>
    <w:p>
      <w:pPr>
        <w:rPr>
          <w:b/>
          <w:bCs/>
        </w:rPr>
      </w:pPr>
      <w:r>
        <w:rPr>
          <w:b/>
          <w:bCs/>
        </w:rPr>
        <w:t>Kommunikation</w:t>
      </w:r>
    </w:p>
    <w:p>
      <w:r>
        <w:t>Chefs, die sich abschotten, unter sich bleiben, mit Feedback sparen und so gestresst sind, dass sie kaum zuhören können, geben den Mitarbeitern das Gefühl, sich nicht für sie zu interessieren. Demotivation ist dann nur eine Frage der Zeit.</w:t>
      </w:r>
    </w:p>
    <w:p>
      <w:pPr>
        <w:pStyle w:val="para4"/>
        <w:numPr>
          <w:ilvl w:val="3"/>
          <w:numId w:val="42"/>
        </w:numPr>
        <w:ind w:left="864" w:hanging="864"/>
      </w:pPr>
      <w:bookmarkStart w:id="48" w:name="_TOC000004"/>
      <w:r>
        <w:t>Klare Kante zeigen: Dreiste Mitarbeiter erfolgreich führen</w:t>
      </w:r>
      <w:bookmarkEnd w:id="48"/>
      <w:r/>
    </w:p>
    <w:p>
      <w:r>
        <w:t>Von Henryk Lüderitz, XING-News vom 04.06.2024</w:t>
      </w:r>
    </w:p>
    <w:p>
      <w:pPr>
        <w:spacing/>
        <w:jc w:val="left"/>
      </w:pPr>
      <w:r>
        <w:t>Quelle: https://www.xing.com/news/article/klare-kante-zeigen-dreiste-mitarbeiter-erfolgreich-fuehren</w:t>
      </w:r>
    </w:p>
    <w:p>
      <w:r>
        <w:t>Manche Mitarbeitende können junge Führungskräfte mit ihrem ungehobelten Auftreten zur Verzweiflung treiben. Beachte folgende Tipps, um souverän mit Leuten umzugehen, die Dir auf der Nase rumtanzen.</w:t>
      </w:r>
    </w:p>
    <w:p>
      <w:r>
        <w:t>Respektlose Mitarbeiter:innen sind für junge Führungskräfte eine echte Herausforderung.</w:t>
      </w:r>
    </w:p>
    <w:p>
      <w:r>
        <w:t>Es gibt Mitarbeiter:innen, die übertreffen mit ihrer Respektlosigkeit die kühnsten Erwartungen. Zumindest erscheint einem das Verhalten einiger Zeitgenossen geradezu unwirklich. Gelangweiltes Gähnen im Meeting, demonstratives Augen-Verdrehen beim Briefing oder sogar anzügliche Witze vor dem gesamten Team.</w:t>
      </w:r>
    </w:p>
    <w:p>
      <w:r>
        <w:t>Das Problem: Gerade unangepasste Mitarbeiter:innen können höchst leistungsfähig, kreativ und fachlich einfach gut sein. Querdenker:innen eben, die ganz gern aus der Reihe tanzen. Alles kein Problem, solange allzu respektloses, negatives Verhalten sich nicht auf die gesamte Arbeitsatmosphäre und den Teamgeist auswirken.</w:t>
      </w:r>
    </w:p>
    <w:p>
      <w:r>
        <w:t>Wenn das Verhalten zu viel wird oder Grenzen überschreitet, heißt es für Führungskräfte: Gegensteuern. Und zwar möglichst souverän und professionell. Ein Schlüssel dazu: Gezielte Kommunikation und Körpersprache! Ganz besonders dreiste Mitarbeiter:innen schreien förmlich nach einem Feedback.</w:t>
      </w:r>
    </w:p>
    <w:p>
      <w:pPr>
        <w:rPr>
          <w:b/>
          <w:bCs/>
        </w:rPr>
      </w:pPr>
      <w:r>
        <w:rPr>
          <w:b/>
          <w:bCs/>
        </w:rPr>
        <w:t>1 - Sofort reagieren – aber respektvoll</w:t>
      </w:r>
    </w:p>
    <w:p>
      <w:r>
        <w:t>Bist Du als Führungskraft mit anwesend, zum Beispiel in einem Meeting, kannst Du ein kurzes Räuspern in Kombination mit einem ernsten Blick in Richtung des entsprechenden Mitarbeiters als Signal nutzen, dass in der Regel auch ankommt. Bei kleinen Entgleisungen entsteht so kein Gesichtsverlust für den/die Mitarbeiter:in. Im Nachgang ist dann aber auch ein Vier-Augen-Gespräch angebracht, damit der/die Mitarbeiter:in versteht, warum der ernste Blick kam.</w:t>
      </w:r>
    </w:p>
    <w:p>
      <w:pPr>
        <w:rPr>
          <w:b/>
          <w:bCs/>
        </w:rPr>
      </w:pPr>
      <w:r>
        <w:rPr>
          <w:b/>
          <w:bCs/>
        </w:rPr>
        <w:t>2 - Praxistipp für das Feedbackgespräch</w:t>
      </w:r>
    </w:p>
    <w:p>
      <w:r>
        <w:t xml:space="preserve">Den Anfang machst Du am besten mit einem positiven Gesprächseinstieg: </w:t>
      </w:r>
    </w:p>
    <w:p>
      <w:r>
        <w:t xml:space="preserve">„Deine Mitarbeit ist sehr konstruktiv, und Deine Leistungen sind gut.“ </w:t>
      </w:r>
    </w:p>
    <w:p>
      <w:r>
        <w:t xml:space="preserve">Erst darauf sollte die persönliche Beobachtung folgen: </w:t>
      </w:r>
    </w:p>
    <w:p>
      <w:r>
        <w:t xml:space="preserve">„Deshalb ist es mir wichtig, über unsere Zusammenarbeit zu sprechen. Mir ist aufgefallen, dass Du im Meeting mehr auf dem Stuhl liegst als sitzt.“ </w:t>
      </w:r>
    </w:p>
    <w:p>
      <w:r>
        <w:t xml:space="preserve">Hierbei rundet der persönliche Eindruck die Beobachtung ab: </w:t>
      </w:r>
    </w:p>
    <w:p>
      <w:r>
        <w:t>„Auf mich wirkt das gelangweilt und respektlos!“</w:t>
      </w:r>
    </w:p>
    <w:p>
      <w:pPr>
        <w:rPr>
          <w:b/>
          <w:bCs/>
        </w:rPr>
      </w:pPr>
      <w:r>
        <w:rPr>
          <w:b/>
          <w:bCs/>
        </w:rPr>
        <w:t>3 - Dreiste Mitarbeiter:innen brauchen eine klare Richtung: Ein Ziel definieren</w:t>
      </w:r>
    </w:p>
    <w:p>
      <w:r>
        <w:t>Selbst wenn beim dreisten Mitarbeiter die Botschaft angekommen ist, dass das Verhalten ungeschickt war, fehlt es in der Praxis oft an einem klaren Ziel. Häufig höre ich im Seminar am Ende des Feedbacks schwammige Aussagen wie zum Beispiel „Mach das bitte besser!“ oder „Versuch bitte freundlicher zu sein!“ etc. Das Problem an diesen Aussagen: Selbst wenn sie von dreisten Mitarbeitern angenommen werden, ist die Art der Umsetzung trotzdem eine Auslegungssache.</w:t>
      </w:r>
    </w:p>
    <w:p>
      <w:r>
        <w:t xml:space="preserve">Deshalb empfehle ich Dir, am Ende Deines Feedbacks einen klaren Wunsch oder ein klares Ziel zu formulieren. Das kann so aussehen: </w:t>
      </w:r>
    </w:p>
    <w:p>
      <w:r>
        <w:t xml:space="preserve">„Ich wünsche mir von Dir/erwarte von Dir, dass Du zukünftig in Meetings eine aufrechte und respektvolle Körperhaltung einnimmst.“  </w:t>
      </w:r>
    </w:p>
    <w:p>
      <w:pPr>
        <w:rPr>
          <w:b/>
          <w:bCs/>
        </w:rPr>
      </w:pPr>
      <w:r>
        <w:rPr>
          <w:b/>
          <w:bCs/>
        </w:rPr>
        <w:t>4 - Mit einer Vereinbarung das Gespräch beenden</w:t>
      </w:r>
    </w:p>
    <w:p>
      <w:r>
        <w:t xml:space="preserve">Im Abschluss eines solchen Gespräches solltest Du unbedingt eine Vereinbarung des Mitarbeiters einholen. Das funktioniert ganz einfach über eine kurze Rückfrage: </w:t>
      </w:r>
    </w:p>
    <w:p>
      <w:r>
        <w:t>„Einverstanden?“</w:t>
      </w:r>
    </w:p>
    <w:p>
      <w:r>
        <w:t>Möchtest Du es kürzer und noch bestimmter halten, beende das Gespräch mit einem einfachen „Danke!“ und wende Dich vom Gesprächspartner ab. So ist klar, dass es von Deiner Seite nichts mehr zu diskutieren gibt. Du gehst fest davon aus, dass Dein Wunsch/Ziel vom Mitarbeiter umgesetzt wird. Insbesondere bei einem verhaltensbedingten Feedback kannst Du Dieses Gesprächsende sehr gut einsetzen.</w:t>
      </w:r>
    </w:p>
    <w:p>
      <w:r/>
    </w:p>
    <w:p>
      <w:pPr>
        <w:rPr>
          <w:b/>
          <w:bCs/>
        </w:rPr>
      </w:pPr>
      <w:r>
        <w:br w:type="column"/>
      </w:r>
      <w:r>
        <w:rPr>
          <w:b/>
          <w:bCs/>
        </w:rPr>
        <w:t xml:space="preserve">5 - Umgang mit Extremfällen </w:t>
      </w:r>
    </w:p>
    <w:p>
      <w:r>
        <w:t>Verhält sich ein:e Mitarbeiter:in extrem respektlos und frech (egal ob Dir gegenüber oder anderen Kollegen), musst du als Führungskraft SOFORT reagieren – aber maßvoll!</w:t>
      </w:r>
    </w:p>
    <w:p>
      <w:r>
        <w:t xml:space="preserve">In der Praxis hat sich folgendes Vorgehen bewährt: Kurz schweigen, Augenkontakt suchen und nachfragen: </w:t>
      </w:r>
    </w:p>
    <w:p>
      <w:r>
        <w:t>„Du verdrehst die Augen? … nervt Dich das Thema?“</w:t>
      </w:r>
    </w:p>
    <w:p>
      <w:r>
        <w:t>Im Team muss klar zu erkennen sein, wer den Ton angibt und dass Dir als Chef:in ein respektvoller Umgang im Team wichtig ist. Nach dem Meeting empfiehlt es sich, mit dem entsprechenden Mitarbeiter ebenfalls ein Gespräch unter vier Augen zu suchen.</w:t>
      </w:r>
    </w:p>
    <w:p>
      <w:r>
        <w:t xml:space="preserve">Dieses Gespräch kannst Du auch direkt im Meeting ankündigen, indem Du sagst: </w:t>
      </w:r>
    </w:p>
    <w:p>
      <w:r>
        <w:t>„Bleib doch bitte nach der Besprechung noch kurz hier. Ich möchte mit Dir sprechen!“</w:t>
      </w:r>
    </w:p>
    <w:p>
      <w:r>
        <w:t>Mit dieser deutlichen Ansage ist natürlich allen Teilnehmer:innen klar, dass später ein deutliches Gespräch folgt. Das ist für Dein Image als konsequente Führungskraft im Umgang mit dreisten Mitarbeitern aber auch wichtig.</w:t>
      </w:r>
    </w:p>
    <w:p>
      <w:pPr>
        <w:pStyle w:val="para3"/>
        <w:numPr>
          <w:ilvl w:val="2"/>
          <w:numId w:val="42"/>
        </w:numPr>
        <w:ind w:left="737" w:hanging="737"/>
      </w:pPr>
      <w:bookmarkStart w:id="49" w:name="_TOC000007"/>
      <w:r/>
      <w:r>
        <w:rPr>
          <w:color w:val="007F7F"/>
          <w:sz w:val="24"/>
          <w:szCs w:val="24"/>
        </w:rPr>
        <w:t>Leistungsfähigkeit und Pausen</w:t>
      </w:r>
      <w:r/>
      <w:bookmarkEnd w:id="47"/>
      <w:r/>
      <w:bookmarkEnd w:id="49"/>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Höchstleistungssportler, wie z.B. Tour-de-France-Fahrer, haben ihren Körper an einen Rennstall vermietet. Dieser sorgt dafür, dass der Körper zwischen den Rennen die richtige Regeneration erhält, um am nächsten Tag wieder auf dem gleichen Leistungsniveau starten zu können.</w:t>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0" distR="0">
            <wp:extent cx="1410970" cy="1475105"/>
            <wp:effectExtent l="0" t="0" r="0" b="0"/>
            <wp:docPr id="5" name="Grafik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32"/>
                    <pic:cNvPicPr>
                      <a:picLocks noChangeAspect="1"/>
                    </pic:cNvPicPr>
                  </pic:nvPicPr>
                  <pic:blipFill>
                    <a:blip r:embed="rId37">
                      <a:colorize val="10" sat="100" blend="0">
                        <a:clrTo>
                          <a:srgbClr val="7F7F7F"/>
                        </a:clrTo>
                      </a:colorize>
                    </a:blip>
                    <a:stretch>
                      <a:fillRect/>
                    </a:stretch>
                  </pic:blipFill>
                  <pic:spPr>
                    <a:xfrm>
                      <a:off x="0" y="0"/>
                      <a:ext cx="1410970" cy="1475105"/>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Sie als Arbeitnehmer haben, provokant gesagt, Ihre Kompetenz und Ihren Körper gegen ein monatliches Entgelt an Ihren Arbeitgeber vermietet. Sorgt er auch so gut für Ihre Regeneration wie der Rennstall? Oder ist das Ihre eigene Verantwortung?</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Sieht Ihr leistungsmäßiger Tagesablauf vielleicht folgendermaßen aus? Sie starten am Morgen gut erholt. Bei der üblichen Belastung sinkt Ihr Leistungsniveau ab (rote Kurve) und Sie gönnen sich eine Pause (grüne Kurve). Nach der Pause sind Sie einigermaßen erholt, jedoch nicht auf dem Niveau wie zu Arbeitsbeginn. Dies geht den ganzen Tag so weiter, bis Sie am Feierabend sichtlich geschafft Ihren Arbeitsplatz verlassen.</w:t>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0" distR="0">
            <wp:extent cx="1991360" cy="1345565"/>
            <wp:effectExtent l="0" t="0" r="0" b="0"/>
            <wp:docPr id="6" name="Grafik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255"/>
                    <pic:cNvPicPr>
                      <a:picLocks noChangeAspect="1"/>
                    </pic:cNvPicPr>
                  </pic:nvPicPr>
                  <pic:blipFill>
                    <a:blip r:embed="rId38">
                      <a:colorize val="10" sat="100" blend="0">
                        <a:clrTo>
                          <a:srgbClr val="7F7F7F"/>
                        </a:clrTo>
                      </a:colorize>
                    </a:blip>
                    <a:stretch>
                      <a:fillRect/>
                    </a:stretch>
                  </pic:blipFill>
                  <pic:spPr>
                    <a:xfrm>
                      <a:off x="0" y="0"/>
                      <a:ext cx="1991360" cy="1345565"/>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Gibt es einen ausgeglichenen Wechsel zwischen Anspannung und Entspannung, so kann die Leistung konstant bleiben oder sogar gesteigert werden.</w:t>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0" distR="0">
            <wp:extent cx="2068195" cy="1509395"/>
            <wp:effectExtent l="0" t="0" r="0" b="0"/>
            <wp:docPr id="7" name="Grafik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274"/>
                    <pic:cNvPicPr>
                      <a:picLocks noChangeAspect="1"/>
                    </pic:cNvPicPr>
                  </pic:nvPicPr>
                  <pic:blipFill>
                    <a:blip r:embed="rId39">
                      <a:colorize val="10" sat="100" blend="0">
                        <a:clrTo>
                          <a:srgbClr val="7F7F7F"/>
                        </a:clrTo>
                      </a:colorize>
                    </a:blip>
                    <a:stretch>
                      <a:fillRect/>
                    </a:stretch>
                  </pic:blipFill>
                  <pic:spPr>
                    <a:xfrm>
                      <a:off x="0" y="0"/>
                      <a:ext cx="2068195" cy="1509395"/>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Bei ausbleibender Entspannung wächst die Anspannung, was mit einem Leistungsabfall verbunden ist. Trotz verstärkter Anspannung wird man ineffizienter. Die Folge ist eine tiefgehende Erschöpfung.</w:t>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0" distR="0">
            <wp:extent cx="1898015" cy="1445260"/>
            <wp:effectExtent l="0" t="0" r="0" b="0"/>
            <wp:docPr id="8" name="Grafik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275"/>
                    <pic:cNvPicPr>
                      <a:picLocks noChangeAspect="1"/>
                    </pic:cNvPicPr>
                  </pic:nvPicPr>
                  <pic:blipFill>
                    <a:blip r:embed="rId40">
                      <a:colorize val="10" sat="100" blend="0">
                        <a:clrTo>
                          <a:srgbClr val="7F7F7F"/>
                        </a:clrTo>
                      </a:colorize>
                    </a:blip>
                    <a:stretch>
                      <a:fillRect/>
                    </a:stretch>
                  </pic:blipFill>
                  <pic:spPr>
                    <a:xfrm>
                      <a:off x="0" y="0"/>
                      <a:ext cx="1898015" cy="1445260"/>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Wenn die Leistungskurve stark abgefallen ist, gibt man aber immer noch 100% - nur es kommt nicht mehr viel dabei herum.</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Wie kann man dem entgegensteuern?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Schauen wir uns die Grafik näher an:</w:t>
      </w:r>
    </w:p>
    <w:p>
      <w:pPr>
        <w:ind w:firstLine="0"/>
        <w:spacing w:after="120"/>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114300" distR="114300">
            <wp:extent cx="2376805" cy="1765935"/>
            <wp:effectExtent l="0" t="0" r="0" b="0"/>
            <wp:docPr id="9" name="Grafik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276"/>
                    <pic:cNvPicPr>
                      <a:picLocks noChangeAspect="1"/>
                    </pic:cNvPicPr>
                  </pic:nvPicPr>
                  <pic:blipFill>
                    <a:blip r:embed="rId41">
                      <a:colorize val="10" sat="100" blend="0">
                        <a:clrTo>
                          <a:srgbClr val="7F7F7F"/>
                        </a:clrTo>
                      </a:colorize>
                    </a:blip>
                    <a:stretch>
                      <a:fillRect/>
                    </a:stretch>
                  </pic:blipFill>
                  <pic:spPr>
                    <a:xfrm>
                      <a:off x="0" y="0"/>
                      <a:ext cx="2376805" cy="1765935"/>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column"/>
      </w:r>
      <w:r>
        <w:rPr>
          <w:rFonts w:eastAsia="Cambria" w:cs="Basic Roman"/>
          <w:szCs w:val="24"/>
        </w:rPr>
        <w:t>Die Anforderung ist konstant. Die Leistung für eine Weile auch. Irgendwann tritt Erschöpfung ein und die Leistung fällt ab. Dies ist hier vereinfachend linear dargestellt. Am Ende ist die Erschöpfung total und die Leistung Null.</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 ist in dem rechten Rechteck dargestellt. Die Leistung nimm nur noch die halbe Fläche des Rechtecks ein.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Wenn die weiße und die grüne Fläche anders dargestellt werden, entsteht folgendes Bild:</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
        <w:rPr>
          <w:noProof/>
        </w:rPr>
        <w:drawing>
          <wp:inline distT="0" distB="0" distL="114300" distR="114300">
            <wp:extent cx="2432050" cy="1840865"/>
            <wp:effectExtent l="0" t="0" r="0" b="0"/>
            <wp:docPr id="10" name="Grafik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277"/>
                    <pic:cNvPicPr>
                      <a:picLocks noChangeAspect="1"/>
                    </pic:cNvPicPr>
                  </pic:nvPicPr>
                  <pic:blipFill>
                    <a:blip r:embed="rId42">
                      <a:colorize val="10" sat="100" blend="0">
                        <a:clrTo>
                          <a:srgbClr val="7F7F7F"/>
                        </a:clrTo>
                      </a:colorize>
                    </a:blip>
                    <a:stretch>
                      <a:fillRect/>
                    </a:stretch>
                  </pic:blipFill>
                  <pic:spPr>
                    <a:xfrm>
                      <a:off x="0" y="0"/>
                      <a:ext cx="2432050" cy="1840865"/>
                    </a:xfrm>
                    <a:prstGeom prst="rect">
                      <a:avLst/>
                    </a:prstGeom>
                    <a:noFill/>
                    <a:ln w="12700">
                      <a:noFill/>
                    </a:ln>
                  </pic:spPr>
                </pic:pic>
              </a:graphicData>
            </a:graphic>
          </wp:inline>
        </w:drawing>
      </w:r>
      <w: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Hier wird, bevor die Leistung abfällt, eine Pause mit einer Länge der halben verbleibenden Zeit eingeführt. Nach dieser Zeit der Erholung ist die Leistung wieder auf dem Ausgangsniveau und bleibt auch dort. Die Gesamtleistung hat die gleiche Fläche wie im vorigen Bild. Wegen der Pause ist die Erschöpfung ausgeblieben.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bookmarkStart w:id="50" w:name="_TOC000006"/>
      <w:r/>
    </w:p>
    <w:p>
      <w:pPr>
        <w:pStyle w:val="para3"/>
        <w:numPr>
          <w:ilvl w:val="2"/>
          <w:numId w:val="42"/>
        </w:numPr>
        <w:ind w:left="737" w:hanging="737"/>
      </w:pPr>
      <w:r>
        <w:br w:type="page"/>
      </w:r>
      <w:bookmarkStart w:id="51" w:name="_TOC000017"/>
      <w:r>
        <w:t>Wertschätzung - 5 Wege, Mitarbeiter typgerecht zu motivieren</w:t>
      </w:r>
      <w:bookmarkEnd w:id="45"/>
      <w:r/>
      <w:bookmarkEnd w:id="46"/>
      <w:r/>
      <w:bookmarkEnd w:id="50"/>
      <w:r/>
      <w:bookmarkEnd w:id="51"/>
      <w:r/>
    </w:p>
    <w:p>
      <w:r>
        <w:t xml:space="preserve">von Ulrike Spaak, XING News, 21.10.2021, </w:t>
      </w:r>
    </w:p>
    <w:p>
      <w:pPr>
        <w:spacing/>
        <w:jc w:val="left"/>
        <w:rPr>
          <w:sz w:val="12"/>
          <w:szCs w:val="12"/>
        </w:rPr>
      </w:pPr>
      <w:r>
        <w:rPr>
          <w:sz w:val="12"/>
          <w:szCs w:val="12"/>
        </w:rPr>
        <w:t>Quelle: https://www.impulse.de/management/personalfuehrung/wertschaetzung/7606844.html?xing_share=news</w:t>
      </w:r>
    </w:p>
    <w:p>
      <w:r>
        <w:t>Anerkennung ist ein wichtiger Einflussfaktor auf Motivation und Zufriedenheit im Job. Doch Wertschätzung muss für jeden Menschen anders verpackt werden, damit sie auch ankommt. Wie das geht?</w:t>
      </w:r>
    </w:p>
    <w:p>
      <w:r>
        <w:t>Eines der wichtigsten menschlichen Grundbedürfnisse ist es, von anderen gesehen zu werden. Das gilt im Job wie überall sonst. „Nichts aktiviert unsere Motivationssysteme so sehr wie der Wunsch nach zwischenmenschlicher Anerkennung“, sagt Ulrike Spaak, Führungskräftetrainerin aus Potsdam. „Und trotzdem zeigen Studienergebnisse: In vielen Firmen wird immer noch viel zu wenig Wertschätzung geschenkt.“ Eine vertane Chance.</w:t>
      </w:r>
    </w:p>
    <w:p>
      <w:pPr>
        <w:pStyle w:val="para4"/>
        <w:numPr>
          <w:ilvl w:val="3"/>
          <w:numId w:val="42"/>
        </w:numPr>
        <w:ind w:left="864" w:hanging="864"/>
      </w:pPr>
      <w:bookmarkStart w:id="52" w:name="_TOC001829"/>
      <w:r>
        <w:t>Wie können Führungskräfte Wertschätzung zeigen, die ankommt?</w:t>
      </w:r>
      <w:bookmarkEnd w:id="52"/>
      <w:r/>
    </w:p>
    <w:p>
      <w:r>
        <w:t>Die Psychologen Gary Chapman und Paul White haben herausgefunden, dass Menschen sich gegenseitig auf ganz unterschiedliche Art ihre Anerkennung zeigen. Das Problem daran: Was die eine Person als Anerkennung und Wertschätzung versteht, hat bei einem anderen möglicherweise nicht dieselbe Wirkung. Das heißt: Trotz aller guten Absichten kommt die Wertschätzung beim Gegenüber überhaupt nicht an.</w:t>
      </w:r>
    </w:p>
    <w:p>
      <w:r>
        <w:t>Chapman und White haben insgesamt fünf verschiedene Wertschätzungs-Typen entdeckt – die Psychologen beschreiben das Phänomen auch als „fünf unterschiedliche Sprachen“.</w:t>
      </w:r>
    </w:p>
    <w:p>
      <w:r>
        <w:t>Der Rat der Psychologen: Führungskräfte sollten lernen, die verschiedenen Sprachen ihres Teams zu erkennen und auch typgerecht anzuwenden.</w:t>
      </w:r>
    </w:p>
    <w:p>
      <w:r>
        <w:t>Wie finden Sie heraus, welche Sprache, welcher Mitarbeiter spricht?</w:t>
      </w:r>
    </w:p>
    <w:p>
      <w:r>
        <w:t>„Um zu erkennen, wer welche Sprache spricht, braucht es Aufmerksamkeit. Denn meistens zeigt man anderen Menschen seine Wertschätzung in der Sprache, die man selbst gerne hören würde“, erklärt Ulrike Spaak.</w:t>
      </w:r>
    </w:p>
    <w:p>
      <w:r>
        <w:t>Achten Sie also drauf: Hat Frau Müller immer eine Kleinigkeit für Sie zum Geburtstag? Dann freut Sie sich bestimmt auch über eine solche Aufmerksamkeit. Verteilt Herr Schmidt gern Komplimente? Dann würde er ein solches Lob wahrscheinlich selbst gern einmal hören.</w:t>
      </w:r>
    </w:p>
    <w:p>
      <w:pPr>
        <w:pStyle w:val="para4"/>
        <w:numPr>
          <w:ilvl w:val="3"/>
          <w:numId w:val="42"/>
        </w:numPr>
        <w:ind w:left="864" w:hanging="864"/>
      </w:pPr>
      <w:bookmarkStart w:id="53" w:name="_TOC001830"/>
      <w:r>
        <w:t>Die fünf Sprachen der Mitarbeitermotivation:</w:t>
      </w:r>
      <w:bookmarkEnd w:id="53"/>
      <w:r/>
    </w:p>
    <w:p>
      <w:pPr>
        <w:pStyle w:val="para5"/>
        <w:numPr>
          <w:ilvl w:val="4"/>
          <w:numId w:val="42"/>
        </w:numPr>
        <w:ind w:left="1009" w:hanging="1009"/>
      </w:pPr>
      <w:bookmarkStart w:id="54" w:name="_TOC001831"/>
      <w:r>
        <w:t>Lob</w:t>
      </w:r>
      <w:bookmarkEnd w:id="54"/>
      <w:r/>
    </w:p>
    <w:p>
      <w:r>
        <w:t>Lob ist die erste Sprache der Anerkennung. Es geht dabei um ganz klassische Komplimente. Das klingt im ersten Moment simpel, fällt aber vielen Menschen gar nicht mal so leicht. „Unser Gehirn ist evolutionsbedingt darauf ausgelegt, als erstes Probleme und deren Lösung zu sehen. Das brauchten wir früher, um uns vor Gefahren zu schützen“, erklärt Spaak. Wir müssen uns daher anstrengen, den Fokus aufs Positive zu schieben.</w:t>
      </w:r>
    </w:p>
    <w:p>
      <w:r>
        <w:t>Achten Sie bei der ersten Sprache darauf, Komplimente möglichst zeitnah zu verteilen. Und zudem ohne Einschränkung. „Wenn es Kritikpunkte gibt, bitte nicht zusammen mit dem Lob erwähnen. Sonst bleibt am Ende nur das Negative hängen“, sagt die Expertin.</w:t>
      </w:r>
    </w:p>
    <w:p>
      <w:r>
        <w:t>„Wer sich mit Komplimenten schwer tut, kann sich vorab einige Formulierungen notieren“, rät die Führungskräftetrainerin. Wie beispielsweise:</w:t>
      </w:r>
    </w:p>
    <w:p>
      <w:pPr>
        <w:pStyle w:val="para40"/>
        <w:numPr>
          <w:ilvl w:val="0"/>
          <w:numId w:val="58"/>
        </w:numPr>
        <w:ind w:left="454" w:hanging="284"/>
      </w:pPr>
      <w:r>
        <w:t>„Ich bin richtig stolz, dass du zu unserem Team gehörst.“</w:t>
      </w:r>
    </w:p>
    <w:p>
      <w:pPr>
        <w:pStyle w:val="para40"/>
        <w:numPr>
          <w:ilvl w:val="0"/>
          <w:numId w:val="58"/>
        </w:numPr>
        <w:ind w:left="454" w:hanging="284"/>
      </w:pPr>
      <w:r>
        <w:t>„Das war ein sehr vorbildlicher Projekt-Abschluss. Das habe ich so noch nie erlebt.“</w:t>
      </w:r>
    </w:p>
    <w:p>
      <w:pPr>
        <w:pStyle w:val="para40"/>
        <w:numPr>
          <w:ilvl w:val="0"/>
          <w:numId w:val="58"/>
        </w:numPr>
        <w:ind w:left="454" w:hanging="284"/>
      </w:pPr>
      <w:r>
        <w:t>„Wir können uns glücklich schätzen, dass wir dich eingestellt haben.“</w:t>
      </w:r>
    </w:p>
    <w:p>
      <w:pPr>
        <w:pStyle w:val="para40"/>
        <w:numPr>
          <w:ilvl w:val="0"/>
          <w:numId w:val="58"/>
        </w:numPr>
        <w:ind w:left="454" w:hanging="284"/>
      </w:pPr>
      <w:r>
        <w:t>„Wie immer: Fantastische Arbeit.“</w:t>
      </w:r>
    </w:p>
    <w:p>
      <w:r>
        <w:t>Wer richtig wertschätzende Komplimente verteilen will, sollte laut Ulrike Spaak noch auf folgendes achten: „Oft loben wir, was die andere Person getan hat. Aber was noch viel stärker wirkt, ist die Wertschätzung des Seins – also wie jemand ist.“ Anstatt einem „Gut gemacht“ können man sagen:</w:t>
      </w:r>
    </w:p>
    <w:p>
      <w:pPr>
        <w:pStyle w:val="para40"/>
        <w:numPr>
          <w:ilvl w:val="0"/>
          <w:numId w:val="58"/>
        </w:numPr>
        <w:ind w:left="454" w:hanging="284"/>
      </w:pPr>
      <w:r>
        <w:t>„Wow, du bist so eloquent.</w:t>
      </w:r>
    </w:p>
    <w:p>
      <w:pPr>
        <w:pStyle w:val="para40"/>
        <w:numPr>
          <w:ilvl w:val="0"/>
          <w:numId w:val="58"/>
        </w:numPr>
        <w:ind w:left="454" w:hanging="284"/>
      </w:pPr>
      <w:r>
        <w:t>„Jetzt warst du richtig enthusiastisch und man hat deine Energie gespürt.“</w:t>
      </w:r>
    </w:p>
    <w:p>
      <w:pPr>
        <w:pStyle w:val="para40"/>
        <w:numPr>
          <w:ilvl w:val="0"/>
          <w:numId w:val="58"/>
        </w:numPr>
        <w:ind w:left="454" w:hanging="284"/>
      </w:pPr>
      <w:r>
        <w:t>„Toll, wie gelassen du auch in den stressigsten Situationen bist.“</w:t>
      </w:r>
    </w:p>
    <w:p>
      <w:r>
        <w:t>Chapman und White betonen übrigens, dass es bei jeder Sprache auch Dialekte gibt. Während die eine Mitarbeiterin eine öffentliche Anerkennung vor versammelter Mannschaft total genießt, ist dem anderen Kollegen das vielleicht sogar peinlich.</w:t>
      </w:r>
    </w:p>
    <w:p>
      <w:r>
        <w:t>Finden Sie also heraus, welche Art von Komplimenten bei wem am besten ankommt: Schriftlich, öffentlich, unter vier Augen, spontan oder strukturiert. Falls Sie sich unsicher sind: Sie können Ihre Teammitglieder auch fragen, was ihnen gut gefällt.</w:t>
      </w:r>
    </w:p>
    <w:p>
      <w:pPr>
        <w:pStyle w:val="para5"/>
        <w:numPr>
          <w:ilvl w:val="4"/>
          <w:numId w:val="42"/>
        </w:numPr>
        <w:ind w:left="1009" w:hanging="1009"/>
      </w:pPr>
      <w:bookmarkStart w:id="55" w:name="_TOC001832"/>
      <w:r>
        <w:t>Ungeteilte Aufmerksamkeit</w:t>
      </w:r>
      <w:bookmarkEnd w:id="55"/>
      <w:r/>
    </w:p>
    <w:p>
      <w:r>
        <w:t>Die zweite Sprache ist die ungeteilte Aufmerksamkeit. Menschen, die diese Sprache sprechen, lesen Wertschätzung daran ab, wie viel Zeit Sie Ihnen widmen. „Es geht nicht darum, Stunden miteinander zu verbringen, sondern, dass man demjenigen tatsächliche Aufmerksamkeit schenkt“, erläutert die Expertin. Qualität geht hierbei also über Quantität. In einem Gespräch sollten Sie daher Störfaktoren wie Handy oder Outlook stummgeschalten.</w:t>
      </w:r>
    </w:p>
    <w:p>
      <w:r>
        <w:t>„Zuhören, nachfragen, Anteil nehmen – wenn es mich tatsächlich interessiert, was jemand erzählt, dann ist das für einige Menschen die höchste Form der Wertschätzung“, sagt Spaak.</w:t>
      </w:r>
    </w:p>
    <w:p>
      <w:pPr>
        <w:pStyle w:val="para40"/>
        <w:numPr>
          <w:ilvl w:val="0"/>
          <w:numId w:val="58"/>
        </w:numPr>
        <w:ind w:left="454" w:hanging="284"/>
      </w:pPr>
      <w:r>
        <w:t>Gehen Sie regelmäßig durch Ihre Firma und hören Sie einfach nur zu.</w:t>
      </w:r>
    </w:p>
    <w:p>
      <w:pPr>
        <w:pStyle w:val="para40"/>
        <w:numPr>
          <w:ilvl w:val="0"/>
          <w:numId w:val="58"/>
        </w:numPr>
        <w:ind w:left="454" w:hanging="284"/>
      </w:pPr>
      <w:r>
        <w:t>Verbringen Sie die Mittagspause mit einem Kollegen, den Sie länger nicht gesprochen haben.</w:t>
      </w:r>
    </w:p>
    <w:p>
      <w:pPr>
        <w:pStyle w:val="para40"/>
        <w:numPr>
          <w:ilvl w:val="0"/>
          <w:numId w:val="58"/>
        </w:numPr>
        <w:ind w:left="454" w:hanging="284"/>
      </w:pPr>
      <w:r>
        <w:t>Vergeben Sie Termine, wenn Sie manche Teammitglieder sonst gar nicht einzeln treffen.</w:t>
      </w:r>
    </w:p>
    <w:p>
      <w:pPr>
        <w:pStyle w:val="para5"/>
        <w:numPr>
          <w:ilvl w:val="4"/>
          <w:numId w:val="42"/>
        </w:numPr>
        <w:ind w:left="1009" w:hanging="1009"/>
      </w:pPr>
      <w:bookmarkStart w:id="56" w:name="_TOC001833"/>
      <w:r>
        <w:t>Hilfsbereitschaft und Unterstützung</w:t>
      </w:r>
      <w:bookmarkEnd w:id="56"/>
      <w:r/>
    </w:p>
    <w:p>
      <w:r>
        <w:t>Hilfsbereitschaft ist die dritte Sprache der Wertschätzung. „Dabei geht es darum, zu erkennen: Dem anderen quillt gerade der Schreibtisch über und er macht keine Pausen mehr“, sagt Spaak. Und ihm dann ganz konkret Hilfe anzubieten.</w:t>
      </w:r>
    </w:p>
    <w:p>
      <w:r>
        <w:t>Das bedeutet nicht, dass Sie als Führungskraft alle Aufgaben Ihrer Mitarbeiterinnen und Mitarbeiter übernehmen sollen. Es geht vielmehr um das Zeichen, dass Sie da sind, wenn Ihre Unterstützung gebraucht wird. Wichtig dabei ist, tatsächlich die Hilfe zu leisten, die das Teammitglied braucht. Dazu sollten Sie ganz spezifische Fragen stellen:</w:t>
      </w:r>
    </w:p>
    <w:p>
      <w:pPr>
        <w:pStyle w:val="para40"/>
        <w:numPr>
          <w:ilvl w:val="0"/>
          <w:numId w:val="58"/>
        </w:numPr>
        <w:ind w:left="454" w:hanging="284"/>
        <w:spacing w:after="60"/>
      </w:pPr>
      <w:r>
        <w:t>„Ich sehe, dass du viel zu tun hast. Wie kann ich dir helfen?“</w:t>
      </w:r>
    </w:p>
    <w:p>
      <w:pPr>
        <w:pStyle w:val="para40"/>
        <w:numPr>
          <w:ilvl w:val="0"/>
          <w:numId w:val="58"/>
        </w:numPr>
        <w:ind w:left="454" w:hanging="284"/>
        <w:spacing w:after="60"/>
      </w:pPr>
      <w:r>
        <w:t>„Was brauchst du gerade? Kann ich dir jemanden an die Seite stellen?“</w:t>
      </w:r>
    </w:p>
    <w:p>
      <w:pPr>
        <w:pStyle w:val="para40"/>
        <w:numPr>
          <w:ilvl w:val="0"/>
          <w:numId w:val="58"/>
        </w:numPr>
        <w:ind w:left="454" w:hanging="284"/>
      </w:pPr>
      <w:r>
        <w:t>„Was würde deine Arbeit aktuell leichter oder besser machen?</w:t>
      </w:r>
    </w:p>
    <w:p>
      <w:r>
        <w:t>Es können auch kleine Gesten sein, die Ihre Unterstützung symbolisieren. Besorgen Sie zum Beispiel ein paar Pizzen, wenn für ein wichtiges Projekt Überstunden anfallen. Auch das kann die Arbeit leichter machen.</w:t>
      </w:r>
    </w:p>
    <w:p>
      <w:pPr>
        <w:pStyle w:val="para5"/>
        <w:numPr>
          <w:ilvl w:val="4"/>
          <w:numId w:val="42"/>
        </w:numPr>
        <w:ind w:left="1009" w:hanging="1009"/>
      </w:pPr>
      <w:bookmarkStart w:id="57" w:name="_TOC001834"/>
      <w:r>
        <w:t>Geschenke, die von Herzen kommen</w:t>
      </w:r>
      <w:bookmarkEnd w:id="57"/>
      <w:r/>
    </w:p>
    <w:p>
      <w:r>
        <w:t>Sprache Nummer vier sind Geschenke. Denn viele Menschen lieben Symbole, die für etwas stehen. Nicht umsonst gibt es bei Sportturnieren Medaillen für die Gewinner.</w:t>
      </w:r>
    </w:p>
    <w:p>
      <w:r>
        <w:t>Wichtig dabei: Es müssen keine teuren Geschenke sein, die Sie extra gekauft haben. Sie müssen nur von Herzen kommen.</w:t>
      </w:r>
    </w:p>
    <w:p>
      <w:pPr>
        <w:pStyle w:val="para40"/>
        <w:numPr>
          <w:ilvl w:val="0"/>
          <w:numId w:val="58"/>
        </w:numPr>
        <w:ind w:left="454" w:hanging="284"/>
        <w:spacing w:after="60"/>
      </w:pPr>
      <w:r>
        <w:t>Sie haben ein tolles Buch gelesen, dass zu einer Mitarbeiterin passen könnte? Schenken Sie es ihr mit einem persönlichen Gruß darin weiter.</w:t>
      </w:r>
    </w:p>
    <w:p>
      <w:pPr>
        <w:pStyle w:val="para40"/>
        <w:numPr>
          <w:ilvl w:val="0"/>
          <w:numId w:val="58"/>
        </w:numPr>
        <w:ind w:left="454" w:hanging="284"/>
        <w:spacing w:after="60"/>
      </w:pPr>
      <w:r>
        <w:t>Kocht ein Kollege für sein Leben gern, bringen Sie doch mal ein ausgefallenes Gewürz oder Öl mit. Sie könnten sagen: „Danke für dein Engagement in der letzten Zeit. Geh heute mal früher nach Hause und hab ein schönes Abendessen mit deiner Familie.“</w:t>
      </w:r>
    </w:p>
    <w:p>
      <w:pPr>
        <w:pStyle w:val="para40"/>
        <w:numPr>
          <w:ilvl w:val="0"/>
          <w:numId w:val="58"/>
        </w:numPr>
        <w:ind w:left="454" w:hanging="284"/>
      </w:pPr>
      <w:r>
        <w:t>Auch das zehnjährige Dienstjubiläum könnte ein Anlass zum Schenken sein. Dann darf es vielleicht auch etwas größer sein: Tickets für ein Konzert, ein Wellness-Gutschein oder Restaurantbesuch – werden Sie kreativ.</w:t>
      </w:r>
    </w:p>
    <w:p>
      <w:r>
        <w:t>Geschenke sind übrigens auf keinen Fall Bonuszahlungen oder Gehaltserhöhungen. „Sondern kleine Gesten und Aufmerksamkeiten, bei denen man merkt, da hat sich jemand Gedanken darüber gemacht, was dem anderen Freude bereiten würde“, sagt Spaak.</w:t>
      </w:r>
    </w:p>
    <w:p>
      <w:pPr>
        <w:pStyle w:val="para5"/>
        <w:numPr>
          <w:ilvl w:val="4"/>
          <w:numId w:val="42"/>
        </w:numPr>
        <w:ind w:left="1009" w:hanging="1009"/>
      </w:pPr>
      <w:bookmarkStart w:id="58" w:name="_TOC001835"/>
      <w:r/>
      <w:bookmarkEnd w:id="58"/>
      <w:r/>
      <w:bookmarkStart w:id="59" w:name="_TOC001836"/>
      <w:r>
        <w:t>Vertrauen schenken</w:t>
      </w:r>
      <w:bookmarkEnd w:id="59"/>
      <w:r/>
    </w:p>
    <w:p>
      <w:r>
        <w:t>Chapman und White haben in ihrem Buch nur fünf Sprachen beschrieben. „In der letzten Zeit hat sich aber noch eine sechste Sprache durchgesetzt: Vertrauen schenken“, erklärt Ulrike Spaak. Für einige Menschen sei es die höchste Form der Wertschätzung, wenn jemand anderes Potenzial in ihnen erkennt. „Wenn ich als Führungskraft jemanden Einfluss nehmen lasse, dann signalisiere ich Vertrauen“, erklärt die Expertin.</w:t>
      </w:r>
    </w:p>
    <w:p>
      <w:r>
        <w:t>Sie können Ihrem Team auf ganz unterschiedliche Art den Freiraum geben, Dinge zu gestalten. Das muss nicht immer gleich die Übernahme eines großen eigenen Projekts sein.</w:t>
      </w:r>
    </w:p>
    <w:p>
      <w:pPr>
        <w:pStyle w:val="para40"/>
        <w:numPr>
          <w:ilvl w:val="0"/>
          <w:numId w:val="58"/>
        </w:numPr>
        <w:ind w:left="454" w:hanging="284"/>
        <w:tabs defTabSz="708">
          <w:tab w:val="left" w:pos="2211" w:leader="none"/>
        </w:tabs>
      </w:pPr>
      <w:r>
        <w:t>Fragen Sie die Auszubildende: „Was hältst du von dem neuen Produkt, das wir entwickelt haben?“</w:t>
      </w:r>
    </w:p>
    <w:p>
      <w:pPr>
        <w:pStyle w:val="para40"/>
        <w:numPr>
          <w:ilvl w:val="0"/>
          <w:numId w:val="58"/>
        </w:numPr>
        <w:ind w:left="454" w:hanging="284"/>
        <w:tabs defTabSz="708">
          <w:tab w:val="left" w:pos="2211" w:leader="none"/>
        </w:tabs>
      </w:pPr>
      <w:r>
        <w:t>Übergeben Sie ein Budget für die Weihnachtsfeier und sagen Sie: „Du wirst damit schon etwas Tolles auf die Beine stellen. Da bin ich ganz sicher.“</w:t>
      </w:r>
    </w:p>
    <w:p>
      <w:pPr>
        <w:pStyle w:val="para40"/>
        <w:numPr>
          <w:ilvl w:val="0"/>
          <w:numId w:val="58"/>
        </w:numPr>
        <w:ind w:left="454" w:hanging="284"/>
        <w:tabs defTabSz="708">
          <w:tab w:val="left" w:pos="2211" w:leader="none"/>
        </w:tabs>
      </w:pPr>
      <w:r>
        <w:t>Lassen Sie zu, dass Fehler passieren. „Ich weiß, das hast du noch nie gemacht. Sieh es als Lernfeld und wenn es schiefgeht, ist das auch voll okay.“</w:t>
      </w:r>
    </w:p>
    <w:p>
      <w:bookmarkStart w:id="60" w:name="_TOC001837"/>
      <w:r/>
    </w:p>
    <w:p>
      <w:pPr>
        <w:pStyle w:val="para3"/>
        <w:numPr>
          <w:ilvl w:val="2"/>
          <w:numId w:val="42"/>
        </w:numPr>
        <w:ind w:left="737" w:hanging="737"/>
      </w:pPr>
      <w:r>
        <w:br w:type="page"/>
      </w:r>
      <w:bookmarkStart w:id="61" w:name="_TOC000018"/>
      <w:r>
        <w:t>Situative Führung</w:t>
      </w:r>
      <w:bookmarkEnd w:id="60"/>
      <w:r/>
      <w:bookmarkEnd w:id="61"/>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Situative Führungstheorien berücksichtigen die Situation, in der </w:t>
      </w:r>
      <w:r>
        <w:t>Führung</w:t>
      </w:r>
      <w:r>
        <w:rPr>
          <w:rFonts w:eastAsia="Cambria" w:cs="Basic Roman"/>
        </w:rPr>
        <w:t xml:space="preserve"> stattfindet, als Bedingung für den Erfolg des Führungsverhaltens.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Ein und dasselbe Führungsverhalten kann in einer Situation erfolgversprechend, in der anderen Situation gänzlich ungeeignet sein. Als Gedankenspiel kann man diese Annahme gut nachvollziehen, wenn man bekannte </w:t>
      </w:r>
      <w:r>
        <w:t>erfolgreiche</w:t>
      </w:r>
      <w:r>
        <w:rPr>
          <w:rFonts w:eastAsia="Cambria" w:cs="Basic Roman"/>
        </w:rPr>
        <w:t xml:space="preserve"> Führungspersönlichkeiten der Vergangenheit in die Gegenwart überträgt und sich fragt, ob deren Führungsstil heute akzeptiert und effektiv wäre.</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Dasselbe Führungsverhalten kann je nach Situation unterschiedlichste Ergebnisse bewirken. Je nach Situation führt nach Annahme dieses Modells also ein anderer Führungsstil zum gewünschten Ergebnis.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Es ist also unmittelbar interessant für Führungskräfte, welche Merkmale der Situation bedeutsam sind, um einen Führungsstil festzulegen.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Besonders wichtige Merkmale der Situation sind:</w:t>
      </w:r>
    </w:p>
    <w:p>
      <w:pPr>
        <w:pStyle w:val="para36"/>
        <w:numPr>
          <w:ilvl w:val="0"/>
          <w:numId w:val="58"/>
        </w:numPr>
        <w:ind w:left="454" w:hanging="284"/>
      </w:pPr>
      <w:r>
        <w:t>verfügbare Zeit bzw. Zeitdruck,</w:t>
      </w:r>
    </w:p>
    <w:p>
      <w:pPr>
        <w:pStyle w:val="para36"/>
        <w:numPr>
          <w:ilvl w:val="0"/>
          <w:numId w:val="58"/>
        </w:numPr>
        <w:ind w:left="454" w:hanging="284"/>
      </w:pPr>
      <w:r>
        <w:t>Komplexität der Arbeitsaufgabe,</w:t>
      </w:r>
    </w:p>
    <w:p>
      <w:pPr>
        <w:pStyle w:val="para36"/>
        <w:numPr>
          <w:ilvl w:val="0"/>
          <w:numId w:val="58"/>
        </w:numPr>
        <w:ind w:left="454" w:hanging="284"/>
      </w:pPr>
      <w:r>
        <w:t>Motivationspotenzial der Arbeitsaufgabe,</w:t>
      </w:r>
    </w:p>
    <w:p>
      <w:pPr>
        <w:pStyle w:val="para36"/>
        <w:numPr>
          <w:ilvl w:val="0"/>
          <w:numId w:val="58"/>
        </w:numPr>
        <w:ind w:left="454" w:hanging="284"/>
      </w:pPr>
      <w:r>
        <w:t>Machtposition der Führungskraft,</w:t>
      </w:r>
    </w:p>
    <w:p>
      <w:pPr>
        <w:pStyle w:val="para36"/>
        <w:numPr>
          <w:ilvl w:val="0"/>
          <w:numId w:val="58"/>
        </w:numPr>
        <w:ind w:left="454" w:hanging="284"/>
      </w:pPr>
      <w:r>
        <w:t>Abhängigkeit der Geführten von der Mitgliedschaft in der Gruppe (Dependenz),</w:t>
      </w:r>
    </w:p>
    <w:p>
      <w:pPr>
        <w:pStyle w:val="para36"/>
        <w:numPr>
          <w:ilvl w:val="0"/>
          <w:numId w:val="58"/>
        </w:numPr>
        <w:ind w:left="454" w:hanging="284"/>
      </w:pPr>
      <w:r>
        <w:t>Kultur, in der die Führung stattfindet (und damit die etablierten sozialen Normen und Akzeptanz für Führungsverhalten) und</w:t>
      </w:r>
    </w:p>
    <w:p>
      <w:pPr>
        <w:pStyle w:val="para36"/>
        <w:numPr>
          <w:ilvl w:val="0"/>
          <w:numId w:val="58"/>
        </w:numPr>
        <w:ind w:left="454" w:hanging="284"/>
      </w:pPr>
      <w:r>
        <w:t>Qualität bzw. der Zustand der Beziehung zu den Geführten.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Wie sollte sich die Führung an diesen situativen Merkmalen orientieren?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Situationen sind gegeben, aber oft veränderbar.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Führungskräfte sollten ihre Führungssituation sorgfältig anhand der genannten Merkmale analysieren. Mit welchen Merkmalen der Führungssituation muss gelebt werden und welche sind veränderbar?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Generell ist Folgendes ratsam:</w:t>
      </w:r>
    </w:p>
    <w:p>
      <w:pPr>
        <w:pStyle w:val="para40"/>
        <w:numPr>
          <w:ilvl w:val="0"/>
          <w:numId w:val="58"/>
        </w:numPr>
        <w:ind w:left="454" w:hanging="284"/>
      </w:pPr>
      <w:r>
        <w:t xml:space="preserve">Besteht Zeitdruck, ist man auf eher autoritäre Entscheidungen und stark aufgabenorientierte Führung angewiesen. Das Potenzial der Mitarbeiter bei Entscheidungen und bei Eigenverantwortung kann dann nicht entsprechend genutzt und entwickelt werden. </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Zeitdruck kostet Flexibilität im Führungsstil und sollte daher, wenn möglich, präventiv vermieden oder reduziert werden.</w:t>
      </w:r>
    </w:p>
    <w:p>
      <w:pPr>
        <w:pStyle w:val="para40"/>
        <w:numPr>
          <w:ilvl w:val="0"/>
          <w:numId w:val="58"/>
        </w:numPr>
        <w:ind w:left="454" w:hanging="284"/>
      </w:pPr>
      <w:r>
        <w:t xml:space="preserve">Komplexe Arbeitsaufgaben führen zu Abhängigkeit von Experten und Geführten. Man wird partizipativ entscheiden und mitarbeiterorientiert führen müssen, aufgabenorientierte Führung und Kontrolle sind schwerer möglich.   </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Oft ist Komplexität unvermeidbar, manchmal aber auch künstlich erzeugt. Unnötige Komplexität kostet Flexibilität im Führungsstil und sollte daher, wenn möglich, reduziert werden, etwa indem Aufgaben stärker strukturiert werden oder fachkompetente Führungskräfte ausgewählt werden, die durch Komplexität nicht so schnell an eigene Grenzen geraten.</w:t>
      </w:r>
    </w:p>
    <w:p>
      <w:pPr>
        <w:pStyle w:val="para40"/>
        <w:numPr>
          <w:ilvl w:val="0"/>
          <w:numId w:val="58"/>
        </w:numPr>
        <w:ind w:left="454" w:hanging="284"/>
      </w:pPr>
      <w:r>
        <w:t>Haben Arbeitsaufgaben wenig Motivationspotenzial, dann müssen Führungskräfte stärker aufgabenorientiert führen und mehr Kontrolle ausüben. Das ist aufwendig.</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Es lohnt sich daher, nachzudenken, wie man die Arbeitsaufgaben motivierender für die Mitarbeiter gestalten kann. </w:t>
      </w:r>
    </w:p>
    <w:p>
      <w:pPr>
        <w:pStyle w:val="para40"/>
        <w:numPr>
          <w:ilvl w:val="0"/>
          <w:numId w:val="58"/>
        </w:numPr>
        <w:ind w:left="454" w:hanging="284"/>
      </w:pPr>
      <w:r>
        <w:t>Macht ist Potenzial, auch wenn sie nicht eingesetzt wird. Ohne entsprechende Machtbasis sind Führungskräfte auf partizipative Entscheidungen und hohe Mitarbeiterorientierung im Führungsstil angewiesen, auch wenn die Lage ein anderes Vorgehen erfordern würde.</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meisten Führungskräfte versuchen daher, ihre Machtbasis zu erweitern.</w:t>
      </w:r>
    </w:p>
    <w:p>
      <w:pPr>
        <w:pStyle w:val="para40"/>
        <w:numPr>
          <w:ilvl w:val="0"/>
          <w:numId w:val="58"/>
        </w:numPr>
        <w:ind w:left="454" w:hanging="284"/>
      </w:pPr>
      <w:r>
        <w:t>Besteht geringe Abhängigkeit der Mitglieder, dann ist mitarbeiterorientierte Führung umso wichtiger, um diese zu binden.</w:t>
      </w:r>
    </w:p>
    <w:p>
      <w:pPr>
        <w:pStyle w:val="para40"/>
        <w:numPr>
          <w:ilvl w:val="0"/>
          <w:numId w:val="58"/>
        </w:numPr>
        <w:ind w:left="454" w:hanging="284"/>
      </w:pPr>
      <w:r>
        <w:t>Jede Kultur hat Normen, diese müssen berücksichtigt werden für erfolgreiche Führung. So wird beispielsweise in China wesentlich autoritärer entschieden und aufgabenorientierter geführt. Zudem kommunizieren Führungskräfte mit den Mitarbeitern ganz selbstverständlich über sehr persönliche und familiäre Dinge wie Partnerschaft, Familie und Gesundheit. Wer typisch deutsch führt, wird Probleme bekommen. Mitarbeiter werden wegen der höheren Partizipation bei Entscheidungen denken: „Der hat ja keine Ahnung, er muss immer uns fragen.“ Auch die deutsche Trennung zwischen Beruflichem und Privatem wird Konsequenzen haben: „Mein Chef hat ein kaltes Herz, er fragt nie, wie es meinen Eltern mit ihren Krankheiten geht, wie es mit meiner Frau läuft und welche Probleme mein Kind hat."</w:t>
      </w:r>
    </w:p>
    <w:p>
      <w:pPr>
        <w:pStyle w:val="para40"/>
        <w:numPr>
          <w:ilvl w:val="0"/>
          <w:numId w:val="58"/>
        </w:numPr>
        <w:ind w:left="454" w:hanging="284"/>
      </w:pPr>
      <w:r>
        <w:t>Ist die Beziehung zu den Geführten schlecht, sollte sie repariert werden. Doch das gelingt mitunter nicht, etwa weil Interessen von Führungskraft und Geführten diametral entgegen stehen. Ist auch ein Austausch der betreffenden Personen nicht möglich, wird man auf autoritäre Entscheidungen, hohe Aufgabenorientierung und Kontrolle angewiesen sein.</w:t>
      </w:r>
      <w:bookmarkStart w:id="62" w:name="_Toc349302537"/>
      <w:r/>
      <w:bookmarkEnd w:id="62"/>
      <w:r/>
      <w:bookmarkStart w:id="63" w:name="_Toc362531514"/>
      <w:r/>
      <w:bookmarkEnd w:id="63"/>
      <w:r/>
    </w:p>
    <w:p>
      <w:pPr>
        <w:pStyle w:val="para3"/>
        <w:numPr>
          <w:ilvl w:val="2"/>
          <w:numId w:val="42"/>
        </w:numPr>
        <w:ind w:left="737" w:hanging="737"/>
      </w:pPr>
      <w:bookmarkStart w:id="64" w:name="_TOC001838"/>
      <w:r>
        <w:t>Führung und Beziehung</w:t>
      </w:r>
      <w:bookmarkEnd w:id="64"/>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Qualität der Beziehung zu den Geführten (die Qualität der Interaktion) haben Austauschtheorien der Führung untersucht. Führungskräfte pflegen je nach Beziehungsqualität gegenüber den unterschiedlichen Geführten einen anderen Führungsstil:</w:t>
      </w:r>
    </w:p>
    <w:p>
      <w:pPr>
        <w:pStyle w:val="para40"/>
        <w:numPr>
          <w:ilvl w:val="0"/>
          <w:numId w:val="58"/>
        </w:numPr>
        <w:ind w:left="454" w:hanging="284"/>
        <w:spacing w:after="60"/>
      </w:pPr>
      <w:r>
        <w:t xml:space="preserve">Führungskräfte suchen sich meist einen engen Kern an besonders loyalen Personen im Team aus, die Innengruppe. </w:t>
      </w:r>
    </w:p>
    <w:p>
      <w:pPr>
        <w:ind w:left="454" w:firstLine="0"/>
        <w:spacing w:after="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Diese Gruppe hat eine besonders gute Beziehung zur Führungskraft. Die Führungskraft fördert diesen Kern an Mitarbeitern stärker mit fachlicher Unterstützung, Ressourcen und Aufmerksamkeit und es besteht ein sehr ausgeprägter Kommunikationsfluss. </w:t>
      </w:r>
    </w:p>
    <w:p>
      <w:pPr>
        <w:ind w:left="454" w:firstLine="0"/>
        <w:spacing w:after="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Wechselt eine Führungskraft, kann es für Personen der Innengruppe allerdings unangenehm werden, wenn der neue Chef diese implizite Machtgruppe innerhalb seines Teams beseitigen möchte.</w:t>
      </w:r>
    </w:p>
    <w:p>
      <w:pPr>
        <w:pStyle w:val="para40"/>
        <w:numPr>
          <w:ilvl w:val="0"/>
          <w:numId w:val="58"/>
        </w:numPr>
        <w:ind w:left="454" w:hanging="284"/>
      </w:pPr>
      <w:r>
        <w:t>Neben der Innengruppe gibt es als andere Mitglieder im Team die Außengruppe. Deren Mitglieder interagieren fast nur direkt aufgabenbezogen mit der Führungskraft und erhalten weniger Unterstützung, Aufmerksamkeit und Ressourcen. Interaktion mit diesen Personen wird von der Führungskraft schnell als Belastung wahrgenommen und auf das Wesentliche begrenzt.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Schon sehr früh in der Beziehung zwischen Führungskraft und Geführtem entscheidet sich, ob eine Person eher zur Innengruppe oder zur Außengruppe gehört und entsprechend von der Führungskraft gefördert wird oder nicht. Dabei spielen einfache Dinge wie die Ähnlichkeit mit der Führungsperson eine Rolle. Auch die wahrgenommene einzigartige Fachkompetenz, die ein Mitglied besitzt, ist bedeutsam für die Zuordnung zur Innen- oder zur Außengruppe.</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Zuordnungen sind relativ stabil. Wie zu erwarten, hat die Zuordnung zur Innengruppe eine Reihe positiver Effekte. So entwickeln sich diese Personen schneller, sind insgesamt zufriedener mit ihrer Arbeit, haben eine geringere Fluktuationsrate und eine höhere Arbeitsleistung.</w:t>
      </w:r>
    </w:p>
    <w:p>
      <w:pPr>
        <w:rPr>
          <w:rFonts w:eastAsia="Cambria" w:cs="Basic Roman"/>
        </w:rPr>
      </w:pPr>
      <w:r/>
      <w:bookmarkStart w:id="65" w:name="_Toc362531515"/>
      <w:r/>
      <w:bookmarkEnd w:id="65"/>
      <w:r/>
      <w:r>
        <w:rPr>
          <w:rFonts w:eastAsia="Cambria" w:cs="Basic Roman"/>
        </w:rPr>
        <w:t xml:space="preserve">Es liegt im Interesse von Führungskräften, nicht zu viele Mitarbeiter in der Außengruppe zu haben, schon gar nicht aufgrund von eher willkürlichen Zuordnungen.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Führungskräfte sollten daher versuchen, systematisch gute Beziehungen und Vertrauen aufzubauen, und zwar zu allen Mitarbeitern.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Mitarbeiter, die eher distanziert in der Außengruppe sind, sollten Angebote erhalten, sich zu bewähren und in die Innengruppe zu wechseln.</w:t>
      </w:r>
    </w:p>
    <w:p>
      <w:pPr>
        <w:pStyle w:val="para3"/>
        <w:numPr>
          <w:ilvl w:val="2"/>
          <w:numId w:val="42"/>
        </w:numPr>
        <w:ind w:left="737" w:hanging="737"/>
      </w:pPr>
      <w:bookmarkStart w:id="66" w:name="_TOC001840"/>
      <w:r>
        <w:t>Führung und Geführte</w:t>
      </w:r>
      <w:bookmarkEnd w:id="66"/>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Führungskraft und Mitarbeiter stehen in einer Wechselwirkung. Erfolgreiche Führungskräfte berücksichtigen nicht nur die aktuelle Aufgabe, sondern auch die Persönlichkeiten, Eigenschaften und Motivation der Mitarbeitenden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Effektive Führung ist daran zu erkennen, dass die Mitarbeiter durch ihr Verhalten versuchen, die gesetzten Ziele zu erreichen.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Folgende Punkte sollte die Führungskraft berücksichtigen, um den passenden Führungsstil zu wählen:</w:t>
      </w:r>
    </w:p>
    <w:p>
      <w:pPr>
        <w:pStyle w:val="para40"/>
        <w:numPr>
          <w:ilvl w:val="0"/>
          <w:numId w:val="58"/>
        </w:numPr>
        <w:ind w:left="454" w:hanging="284"/>
        <w:spacing w:line="264" w:lineRule="auto"/>
      </w:pPr>
      <w:r>
        <w:t xml:space="preserve">Bereits die Anzahl geführter Personen bedingt, wie geführt werden kann. </w:t>
      </w:r>
    </w:p>
    <w:p>
      <w:pPr>
        <w:ind w:left="454" w:firstLine="0"/>
        <w:spacing w:after="120" w:line="264"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Je mehr Mitarbeiter eine Führungskraft hat, desto weniger Partizipation und mitarbeiterorientierte Führung sind möglich.</w:t>
      </w:r>
    </w:p>
    <w:p>
      <w:pPr>
        <w:pStyle w:val="para40"/>
        <w:numPr>
          <w:ilvl w:val="0"/>
          <w:numId w:val="58"/>
        </w:numPr>
        <w:ind w:left="454" w:hanging="284"/>
        <w:spacing w:line="264" w:lineRule="auto"/>
      </w:pPr>
      <w:r>
        <w:t>Hohe fachliche Kompetenz der Geführten ermöglicht einen weniger aufgabenbezogenen und demokratischen Führungsstil.</w:t>
      </w:r>
    </w:p>
    <w:p>
      <w:pPr>
        <w:ind w:left="454" w:firstLine="0"/>
        <w:spacing w:after="120" w:line="264"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Erst wenn die nötige Kompetenz bei den Mitarbeitern vorhanden ist, können Eigenverantwortung und Freiheit sinnvoll eingesetzt werden.</w:t>
      </w:r>
    </w:p>
    <w:p>
      <w:pPr>
        <w:pStyle w:val="para40"/>
        <w:numPr>
          <w:ilvl w:val="0"/>
          <w:numId w:val="58"/>
        </w:numPr>
        <w:ind w:left="454" w:hanging="284"/>
        <w:spacing w:line="264" w:lineRule="auto"/>
      </w:pPr>
      <w:r>
        <w:t xml:space="preserve">Auch die Leistungsnorm und Motivation der Geführten sind wesentlich. </w:t>
      </w:r>
    </w:p>
    <w:p>
      <w:pPr>
        <w:ind w:left="454" w:firstLine="0"/>
        <w:spacing w:after="120" w:line="264"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Bei mangelnder Motivation und niedriger Leistungsorientierung ist ein direktiver und kontrollierender Führungsstil angebracht. Möglicherweise ist es sogar sinnvoll, die Gruppe aufzulösen und neu zu gestalten.</w:t>
      </w:r>
    </w:p>
    <w:p>
      <w:pPr>
        <w:pStyle w:val="para40"/>
        <w:numPr>
          <w:ilvl w:val="0"/>
          <w:numId w:val="58"/>
        </w:numPr>
        <w:ind w:left="454" w:hanging="284"/>
        <w:spacing w:line="264" w:lineRule="auto"/>
      </w:pPr>
      <w:r>
        <w:t>Der Zusammenhalt der Mitarbeiter untereinander ist wichtig für den Führungsstil.</w:t>
      </w:r>
    </w:p>
    <w:p>
      <w:pPr>
        <w:ind w:left="454" w:firstLine="0"/>
        <w:spacing w:after="120" w:line="264"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Ist der Zusammenhalt gering, sollten Mitarbeiter eher als einzelne Individuen separat geführt werden. </w:t>
      </w:r>
    </w:p>
    <w:p>
      <w:pPr>
        <w:ind w:left="454" w:firstLine="0"/>
        <w:spacing w:after="120" w:line="264"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Ist der Zusammenhalt hoch, dann kann die gesamte Gruppe geführt werden und sich stärker selbstständig regulieren.</w:t>
      </w:r>
    </w:p>
    <w:p>
      <w:pPr>
        <w:pStyle w:val="para40"/>
        <w:numPr>
          <w:ilvl w:val="0"/>
          <w:numId w:val="58"/>
        </w:numPr>
        <w:ind w:left="454" w:hanging="284"/>
        <w:spacing w:line="264" w:lineRule="auto"/>
      </w:pPr>
      <w:r>
        <w:t>Je nach kultureller Prägung der Geführten werden ganz andere Führungsstile erwartet und andere Ansätze häufig abgelehnt.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Unterschiedliche Ausprägungen von Kompetenz und Motivation erfordern einen anderen Führungsstil.</w:t>
      </w:r>
    </w:p>
    <w:p>
      <w:pPr>
        <w:pStyle w:val="para40"/>
        <w:numPr>
          <w:ilvl w:val="0"/>
          <w:numId w:val="58"/>
        </w:numPr>
        <w:ind w:left="454" w:hanging="284"/>
        <w:spacing w:line="264" w:lineRule="auto"/>
      </w:pPr>
      <w:r>
        <w:t>Ist ein Mitarbeiter hoch kompetent und hoch motiviert, dann sollte die Führungskraft sehr stark auf Selbstständigkeit und Autonomie setzen, wenig aufgabenorientiert und hoch partizipativ führen.</w:t>
      </w:r>
    </w:p>
    <w:p>
      <w:pPr>
        <w:pStyle w:val="para40"/>
        <w:numPr>
          <w:ilvl w:val="0"/>
          <w:numId w:val="58"/>
        </w:numPr>
        <w:ind w:left="454" w:hanging="284"/>
        <w:spacing w:line="264" w:lineRule="auto"/>
      </w:pPr>
      <w:r>
        <w:t>Bei geringer Motivation und geringer Kompetenz ist ein direktiver und aufgabenorientierter Führungsstil erforderlich, der versucht, langsam mehr Kompetenz aufzubauen und durch die schrittweise Übertragung von Verantwortung zu motivieren.</w:t>
      </w:r>
    </w:p>
    <w:p>
      <w:pPr>
        <w:pStyle w:val="para40"/>
        <w:numPr>
          <w:ilvl w:val="0"/>
          <w:numId w:val="58"/>
        </w:numPr>
        <w:ind w:left="454" w:hanging="284"/>
        <w:spacing w:line="264" w:lineRule="auto"/>
      </w:pPr>
      <w:r>
        <w:t>Ist die Kompetenz hoch und die Motivation niedrig, ist eine sehr an der Person ausgerichtete mitarbeiterorientierte Führung hilfreich, bei der die Führungskraft direktiv und kontrollierend startet und versucht, an den individuellen Bedürfnissen des Mitarbeiters abgestimmt Verantwortungsspielraum zu geben, um zu motivieren.</w:t>
      </w:r>
    </w:p>
    <w:p>
      <w:pPr>
        <w:pStyle w:val="para40"/>
        <w:numPr>
          <w:ilvl w:val="0"/>
          <w:numId w:val="58"/>
        </w:numPr>
        <w:ind w:left="454" w:hanging="284"/>
        <w:spacing w:line="264" w:lineRule="auto"/>
      </w:pPr>
      <w:r>
        <w:t>Bei niedriger Kompetenz und hoher Motivation ist ein stark aufgabenorientierter und unterstützender Führungsstil ratsam, der darauf setzt, Kompetenz durch Lernen "on the Job" aufzubauen.</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jc w:val="left"/>
      </w:pPr>
      <w:r/>
    </w:p>
    <w:tbl>
      <w:tblPr>
        <w:tblStyle w:val="TableGrid"/>
        <w:name w:val="Tabelle205"/>
        <w:tabOrder w:val="0"/>
        <w:jc w:val="left"/>
        <w:tblInd w:w="0" w:type="dxa"/>
        <w:tblW w:w="8644" w:type="dxa"/>
        <w:pPr>
          <w:spacing/>
          <w:jc w:val="left"/>
        </w:pPr>
        <w:tblLook w:val="04A0" w:firstRow="1" w:lastRow="0" w:firstColumn="1" w:lastColumn="0" w:noHBand="0" w:noVBand="1"/>
      </w:tblPr>
      <w:tblGrid>
        <w:gridCol w:w="340"/>
        <w:gridCol w:w="4152"/>
        <w:gridCol w:w="4152"/>
      </w:tblGrid>
      <w:tr>
        <w:trPr>
          <w:tblHeader w:val="0"/>
          <w:cantSplit w:val="0"/>
          <w:trHeight w:val="1984" w:hRule="atLeast"/>
        </w:trPr>
        <w:tc>
          <w:tcPr>
            <w:tcW w:w="340" w:type="dxa"/>
            <w:textDirection w:val="btLr" w:orient="270"/>
            <w:tmTcPr id="1785596603" protected="0"/>
          </w:tcPr>
          <w:p>
            <w:pPr>
              <w:spacing/>
              <w:jc w:val="center"/>
            </w:pPr>
            <w:r>
              <w:t>Kompetenz hoch</w:t>
            </w:r>
          </w:p>
        </w:tc>
        <w:tc>
          <w:tcPr>
            <w:tcW w:w="4152" w:type="dxa"/>
            <w:vAlign w:val="center"/>
            <w:tcMar>
              <w:left w:w="340" w:type="dxa"/>
              <w:right w:w="340" w:type="dxa"/>
            </w:tcMar>
            <w:tmTcPr id="1785596603" protected="0"/>
          </w:tcPr>
          <w:p>
            <w:pPr>
              <w:pStyle w:val="para33"/>
              <w:numPr>
                <w:ilvl w:val="0"/>
                <w:numId w:val="0"/>
              </w:numPr>
              <w:ind w:left="0" w:firstLine="0"/>
            </w:pPr>
            <w:r>
              <w:t>Eine sehr an der Person ausgerichtete mitarbeiterorientierte Führung ist hilfreich, bei der die Führungskraft direktiv und kontrollierend startet und versucht, an den individuellen Bedürfnissen des Mitarbeiters abgestimmt Verantwortungsspielraum zu geben, um zu motivieren.</w:t>
            </w:r>
          </w:p>
        </w:tc>
        <w:tc>
          <w:tcPr>
            <w:tcW w:w="4152" w:type="dxa"/>
            <w:vAlign w:val="center"/>
            <w:tcMar>
              <w:left w:w="340" w:type="dxa"/>
              <w:right w:w="340" w:type="dxa"/>
            </w:tcMar>
            <w:tmTcPr id="1785596603" protected="0"/>
          </w:tcPr>
          <w:p>
            <w:pPr>
              <w:pStyle w:val="para33"/>
              <w:numPr>
                <w:ilvl w:val="0"/>
                <w:numId w:val="0"/>
              </w:numPr>
              <w:ind w:left="0" w:firstLine="0"/>
            </w:pPr>
            <w:r>
              <w:t>Die Führungskraft sollte sehr stark auf Selbstständigkeit und Autonomie setzen, wenig aufgabenorientiert und hoch partizipativ führen.</w:t>
            </w:r>
          </w:p>
        </w:tc>
      </w:tr>
      <w:tr>
        <w:trPr>
          <w:tblHeader w:val="0"/>
          <w:cantSplit w:val="0"/>
          <w:trHeight w:val="1984" w:hRule="atLeast"/>
        </w:trPr>
        <w:tc>
          <w:tcPr>
            <w:tcW w:w="340" w:type="dxa"/>
            <w:textDirection w:val="btLr" w:orient="270"/>
            <w:tmTcPr id="1785596603" protected="0"/>
          </w:tcPr>
          <w:p>
            <w:pPr/>
            <w:r>
              <w:t>Kompetenz niedrig</w:t>
            </w:r>
          </w:p>
        </w:tc>
        <w:tc>
          <w:tcPr>
            <w:tcW w:w="4152" w:type="dxa"/>
            <w:vAlign w:val="center"/>
            <w:tcMar>
              <w:left w:w="340" w:type="dxa"/>
              <w:right w:w="340" w:type="dxa"/>
            </w:tcMar>
            <w:tmTcPr id="1785596603" protected="0"/>
          </w:tcPr>
          <w:p>
            <w:pPr>
              <w:pStyle w:val="para33"/>
              <w:numPr>
                <w:ilvl w:val="0"/>
                <w:numId w:val="0"/>
              </w:numPr>
              <w:ind w:left="0" w:firstLine="0"/>
            </w:pPr>
            <w:r>
              <w:t>Hier ist ein direktiver und aufgabenorientierter Führungsstil erforderlich, der versucht, langsam mehr Kompetenz aufzubauen und durch die schrittweise Übertragung von Verantwortung zu motivieren.</w:t>
            </w:r>
          </w:p>
        </w:tc>
        <w:tc>
          <w:tcPr>
            <w:tcW w:w="4152" w:type="dxa"/>
            <w:vAlign w:val="center"/>
            <w:tcMar>
              <w:left w:w="340" w:type="dxa"/>
              <w:right w:w="340" w:type="dxa"/>
            </w:tcMar>
            <w:tmTcPr id="1785596603" protected="0"/>
          </w:tcPr>
          <w:p>
            <w:pPr>
              <w:pStyle w:val="para33"/>
              <w:numPr>
                <w:ilvl w:val="0"/>
                <w:numId w:val="0"/>
              </w:numPr>
              <w:ind w:left="-57" w:firstLine="0"/>
            </w:pPr>
            <w:r>
              <w:t>Ein stark aufgabenorientierter und unterstützender Führungsstil ist ratsam, der darauf setzt, Kompetenz durch Lernen "on the Job" aufzubauen.</w:t>
            </w:r>
          </w:p>
        </w:tc>
      </w:tr>
      <w:tr>
        <w:trPr>
          <w:tblHeader w:val="0"/>
          <w:cantSplit w:val="0"/>
          <w:trHeight w:val="283" w:hRule="atLeast"/>
        </w:trPr>
        <w:tc>
          <w:tcPr>
            <w:tcW w:w="340" w:type="dxa"/>
            <w:textDirection w:val="btLr" w:orient="270"/>
            <w:tmTcPr id="1785596603" protected="0"/>
          </w:tcPr>
          <w:p>
            <w:pPr>
              <w:spacing/>
              <w:jc w:val="center"/>
            </w:pPr>
            <w:r/>
          </w:p>
        </w:tc>
        <w:tc>
          <w:tcPr>
            <w:tcW w:w="4152" w:type="dxa"/>
            <w:tmTcPr id="1785596603" protected="0"/>
          </w:tcPr>
          <w:p>
            <w:pPr/>
            <w:r>
              <w:t>Motivation niedrig</w:t>
            </w:r>
          </w:p>
        </w:tc>
        <w:tc>
          <w:tcPr>
            <w:tcW w:w="4152" w:type="dxa"/>
            <w:tmTcPr id="1785596603" protected="0"/>
          </w:tcPr>
          <w:p>
            <w:pPr/>
            <w:r>
              <w:t>Motivation hoch</w:t>
            </w:r>
          </w:p>
        </w:tc>
      </w:tr>
    </w:tbl>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Führungsstile in Abhängigkeit von Kompetenz und Motivation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42"/>
        </w:numPr>
        <w:ind w:left="737" w:hanging="737"/>
      </w:pPr>
      <w:bookmarkStart w:id="67" w:name="_Toc349302539"/>
      <w:r/>
      <w:bookmarkEnd w:id="67"/>
      <w:r/>
      <w:bookmarkStart w:id="68" w:name="_Toc362531516"/>
      <w:r/>
      <w:bookmarkEnd w:id="68"/>
      <w:r>
        <w:t>Vertrauen als Grundlage von Führung</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Vertrauen ist die Grundlage erfolgreicher Führung. Das Vertrauen der Mitarbeiter entwickelt sich durch die Erfüllung der Erwartung, dass das Verhalten der Führungskraft berechenbar ist und sie positiv beeinflusst.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Unter dieser Voraussetzung sind Mitarbeiter bereit, eventuelle Risiken einzugehen, wie z.B. persönliche Informationen preiszugeben, auf Probleme oder Fehler hinzuweisen oder Verbesserungsvorschläge für den Prozessablauf zu machen.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Folgende Eigenschaften bilden die Grundlage von Vertrauen, auch Vertrauenstreiber genannt:</w:t>
      </w:r>
    </w:p>
    <w:p>
      <w:pPr>
        <w:pStyle w:val="para40"/>
        <w:numPr>
          <w:ilvl w:val="0"/>
          <w:numId w:val="58"/>
        </w:numPr>
        <w:ind w:left="454" w:hanging="284"/>
      </w:pPr>
      <w:r>
        <w:t>Kompetenz ist notwendig, damit jemand überhaupt eine Aufgabe erfolgreich erledigen kann. Nur wenn die Mitarbeiter von der Kompetenz einer Führungskraft bei den Entscheidungen überzeugt sind, werden sie dieser vertrauen.</w:t>
      </w:r>
    </w:p>
    <w:p>
      <w:pPr>
        <w:pStyle w:val="para40"/>
        <w:numPr>
          <w:ilvl w:val="0"/>
          <w:numId w:val="58"/>
        </w:numPr>
        <w:ind w:left="454" w:hanging="284"/>
      </w:pPr>
      <w:r>
        <w:t>Da Kompetenz oftmals nicht direkt geprüft werden kann, ist insbesondere die Selbstsicherheit einer Person zentral, um Vertrauen zu ermöglichen.</w:t>
      </w:r>
    </w:p>
    <w:p>
      <w:pPr>
        <w:pStyle w:val="para40"/>
        <w:numPr>
          <w:ilvl w:val="0"/>
          <w:numId w:val="58"/>
        </w:numPr>
        <w:ind w:left="454" w:hanging="284"/>
      </w:pPr>
      <w:r>
        <w:t>Benevolenz beschreibt die Wahrnehmung, dass jemand anderes zum Vorteil der beobachtenden Person handelt und nicht opportunistisch ist. Diese Wahrnehmung, dass es die Führungskraft "gut mit den Mitarbeitern meint", ist ebenso kritisch wie die Kompetenzwahrnehmung.</w:t>
      </w:r>
    </w:p>
    <w:p>
      <w:pPr>
        <w:pStyle w:val="para40"/>
        <w:numPr>
          <w:ilvl w:val="0"/>
          <w:numId w:val="58"/>
        </w:numPr>
        <w:ind w:left="454" w:hanging="284"/>
      </w:pPr>
      <w:r>
        <w:t>Integrität bedeutet, dass jemand sein Wort hält und erfüllt, was er versprochen hat. Wird dies öfter gewährleistet, dann kann langsam Vertrauen aufgebaut werden. Aber bereits ein einmaliger Wortbruch genügt, um das mühsam aufgebaute Vertrauen wieder zu zerstören.</w:t>
      </w:r>
    </w:p>
    <w:p>
      <w:pPr>
        <w:pStyle w:val="para40"/>
        <w:numPr>
          <w:ilvl w:val="0"/>
          <w:numId w:val="58"/>
        </w:numPr>
        <w:ind w:left="454" w:hanging="284"/>
      </w:pPr>
      <w:r>
        <w:t xml:space="preserve">Vertrauen hat sehr viel mit Berechenbarkeit zu tun. Wechselhaftes Verhalten ist daher Gift für Vertrauen. Wechselhaftes Verhalten macht sogar noch misstrauischer als konsistent opportunistisches oder wenig benevolentes Verhalten. Der Person wird im Zweifel Verstellung und besondere Tücke unterstellt und noch weniger vertraut. Ein Beispiel mag eine Führungskraft sein, die immer besonders loyal gewirkt hat, bei der sich dann aber herausstellt, dass sie die Firma über Jahre systematisch für einen Wettbewerber ausspioniert hat. Konsistenz im Verhalten sollte daher unbedingt über verschiedene Zeitpunkte und Kontexte zu beobachten sein. Dann erst können der Führungskraft feste Eigenschaften zugeschrieben werden und Vertrauen entstehen.  </w:t>
      </w:r>
    </w:p>
    <w:p>
      <w:pPr>
        <w:pStyle w:val="para40"/>
        <w:numPr>
          <w:ilvl w:val="0"/>
          <w:numId w:val="58"/>
        </w:numPr>
        <w:ind w:left="454" w:hanging="284"/>
      </w:pPr>
      <w:r>
        <w:t xml:space="preserve">Eigenes Vertrauen weckt bei dem Interaktionspartner ebenfalls Vertrauen. Ein Vertrauensvorschuss kann daher zu einer Wechselwirkung genutzt werden. Wer (scheinbar) offen zu anderen Menschen ist, kann Vertrauen aufbauen. </w:t>
      </w:r>
    </w:p>
    <w:p>
      <w:pPr>
        <w:pStyle w:val="para40"/>
        <w:numPr>
          <w:ilvl w:val="0"/>
          <w:numId w:val="58"/>
        </w:numPr>
        <w:ind w:left="454" w:hanging="284"/>
      </w:pPr>
      <w:r>
        <w:t>Ähnlichkeit mit dem Interaktionspartner ist eine wichtige Bedingung für Vertrauen. Menschen vertrauen am ehesten anderen Personen, die ähnlich sind in sozialer Schicht, Kultur, Sprache, Ethnie und Werten.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Führungskräfte sollten diese Vertrauenstreiber berücksichtigen, um eine gute Vertrauensbasis für ihren Erfolg zu festigen.</w:t>
      </w:r>
    </w:p>
    <w:p>
      <w:pPr>
        <w:pStyle w:val="para3"/>
        <w:numPr>
          <w:ilvl w:val="2"/>
          <w:numId w:val="42"/>
        </w:numPr>
        <w:ind w:left="737" w:hanging="737"/>
      </w:pPr>
      <w:bookmarkStart w:id="69" w:name="_TOC000011"/>
      <w:r/>
      <w:bookmarkStart w:id="70" w:name="_Toc362531517"/>
      <w:r/>
      <w:bookmarkEnd w:id="70"/>
      <w:r>
        <w:t>Führung und 'Empowerment'</w:t>
      </w:r>
      <w:bookmarkEnd w:id="69"/>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Mit Empowerment ('Selbstbefähigung', 'Stärkung von Autonomie und Eigenmacht') unterstützen Sie Ihre Mitarbeitenden und sorgen dafür, dass sie sich kompetent, bedeutsam und selbstbestimmt erleben und ihren eigenen Einfluss wahrnehmen können. Dann sind Mitarbeiter nachweislich produktiver, innovativer, engagierter und psychisch sowie physisch weniger belastet. Die bildet eine solide Grundlage für ihre eigene Weiterentwicklung.</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Als Führungskraft nehmen Sie in diesem Prozess sechs Rollen ein: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Als Sinnstifter</w:t>
      </w:r>
    </w:p>
    <w:p>
      <w:pPr>
        <w:pStyle w:val="para40"/>
        <w:numPr>
          <w:ilvl w:val="0"/>
          <w:numId w:val="58"/>
        </w:numPr>
        <w:ind w:left="454" w:hanging="284"/>
        <w:spacing w:line="264" w:lineRule="auto"/>
      </w:pPr>
      <w:r>
        <w:t>erklären Sie, warum Arbeitsaufgaben wichtig sind, und stellen Teilziele in einen größeren Zusammenhang.</w:t>
      </w:r>
    </w:p>
    <w:p>
      <w:pPr>
        <w:pStyle w:val="para40"/>
        <w:numPr>
          <w:ilvl w:val="0"/>
          <w:numId w:val="58"/>
        </w:numPr>
        <w:ind w:left="454" w:hanging="284"/>
        <w:spacing w:line="264" w:lineRule="auto"/>
      </w:pPr>
      <w:r>
        <w:t>zeigen Sie, wie relevant die Ergebnisse jeder Aufgabe für den Unternehmenserfolg sind.</w:t>
      </w:r>
    </w:p>
    <w:p>
      <w:pPr>
        <w:pStyle w:val="para40"/>
        <w:numPr>
          <w:ilvl w:val="0"/>
          <w:numId w:val="58"/>
        </w:numPr>
        <w:ind w:left="454" w:hanging="284"/>
        <w:spacing w:line="264" w:lineRule="auto"/>
      </w:pPr>
      <w:r>
        <w:t>entwerfen Sie mit dem Mitarbeiter eine Vision davon, was sich durch seine Arbeit in Zukunft erreichen lässt.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Als Coach</w:t>
      </w:r>
    </w:p>
    <w:p>
      <w:pPr>
        <w:pStyle w:val="para40"/>
        <w:numPr>
          <w:ilvl w:val="0"/>
          <w:numId w:val="58"/>
        </w:numPr>
        <w:ind w:left="454" w:hanging="284"/>
        <w:spacing w:line="264" w:lineRule="auto"/>
      </w:pPr>
      <w:r>
        <w:t>gehen Sie auf die Interessen Ihres Mitarbeiters bei der Arbeit ein und berücksichtigen diese bei der Verteilung von Aufgaben.</w:t>
      </w:r>
    </w:p>
    <w:p>
      <w:pPr>
        <w:pStyle w:val="para40"/>
        <w:numPr>
          <w:ilvl w:val="0"/>
          <w:numId w:val="58"/>
        </w:numPr>
        <w:ind w:left="454" w:hanging="284"/>
        <w:spacing w:line="264" w:lineRule="auto"/>
      </w:pPr>
      <w:r>
        <w:t>behandeln Sie Mitarbeiter als Individuen und sind an ihren Meinungen interessiert.</w:t>
      </w:r>
    </w:p>
    <w:p>
      <w:pPr>
        <w:pStyle w:val="para40"/>
        <w:numPr>
          <w:ilvl w:val="0"/>
          <w:numId w:val="58"/>
        </w:numPr>
        <w:ind w:left="454" w:hanging="284"/>
        <w:spacing w:line="264" w:lineRule="auto"/>
      </w:pPr>
      <w:r>
        <w:t>sind Sie guter Zuhörer.</w:t>
      </w:r>
    </w:p>
    <w:p>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br w:type="column"/>
      </w:r>
      <w:r>
        <w:rPr>
          <w:rFonts w:eastAsia="Cambria" w:cs="Basic Roman"/>
          <w:b/>
          <w:bCs/>
        </w:rPr>
        <w:t>Als Beteiligter</w:t>
      </w:r>
    </w:p>
    <w:p>
      <w:pPr>
        <w:pStyle w:val="para40"/>
        <w:numPr>
          <w:ilvl w:val="0"/>
          <w:numId w:val="58"/>
        </w:numPr>
        <w:ind w:left="454" w:hanging="284"/>
        <w:spacing w:line="264" w:lineRule="auto"/>
      </w:pPr>
      <w:r>
        <w:t>informieren Sie Mitarbeiter rechtzeitig und ausführlich.</w:t>
      </w:r>
    </w:p>
    <w:p>
      <w:pPr>
        <w:pStyle w:val="para40"/>
        <w:numPr>
          <w:ilvl w:val="0"/>
          <w:numId w:val="58"/>
        </w:numPr>
        <w:ind w:left="454" w:hanging="284"/>
        <w:spacing w:line="264" w:lineRule="auto"/>
      </w:pPr>
      <w:r>
        <w:t>kommunizieren Sie gezielt, statt sie mit Informationen zu überfluten.</w:t>
      </w:r>
    </w:p>
    <w:p>
      <w:pPr>
        <w:pStyle w:val="para40"/>
        <w:numPr>
          <w:ilvl w:val="0"/>
          <w:numId w:val="58"/>
        </w:numPr>
        <w:ind w:left="454" w:hanging="284"/>
      </w:pPr>
      <w:r>
        <w:t>beziehen Sie Ihre Mitarbeiter auch bei wichtigen Entscheidungen mit ein und lassen sich von guten Argumenten überzeugen.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Als Ermächtiger</w:t>
      </w:r>
    </w:p>
    <w:p>
      <w:pPr>
        <w:pStyle w:val="para40"/>
        <w:numPr>
          <w:ilvl w:val="0"/>
          <w:numId w:val="58"/>
        </w:numPr>
        <w:ind w:left="454" w:hanging="284"/>
        <w:spacing w:line="264" w:lineRule="auto"/>
      </w:pPr>
      <w:r>
        <w:t>bauen Sie bürokratische Hürden ab und reduzieren Kontrollmechanismen.</w:t>
      </w:r>
    </w:p>
    <w:p>
      <w:pPr>
        <w:pStyle w:val="para40"/>
        <w:numPr>
          <w:ilvl w:val="0"/>
          <w:numId w:val="58"/>
        </w:numPr>
        <w:ind w:left="454" w:hanging="284"/>
        <w:spacing w:line="264" w:lineRule="auto"/>
      </w:pPr>
      <w:r>
        <w:t>weisen Sie dem Mitarbeiter verantwortungsvolle Aufgaben zu.</w:t>
      </w:r>
    </w:p>
    <w:p>
      <w:pPr>
        <w:pStyle w:val="para40"/>
        <w:numPr>
          <w:ilvl w:val="0"/>
          <w:numId w:val="58"/>
        </w:numPr>
        <w:ind w:left="454" w:hanging="284"/>
        <w:spacing w:line="264" w:lineRule="auto"/>
      </w:pPr>
      <w:r>
        <w:t>setzen Sie Ziele, aber überlassen dem Mitarbeiter die Entscheidung, wie er sie erreicht.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Als Personalentwickler</w:t>
      </w:r>
    </w:p>
    <w:p>
      <w:pPr>
        <w:pStyle w:val="para40"/>
        <w:numPr>
          <w:ilvl w:val="0"/>
          <w:numId w:val="58"/>
        </w:numPr>
        <w:ind w:left="454" w:hanging="284"/>
        <w:spacing w:line="264" w:lineRule="auto"/>
      </w:pPr>
      <w:r>
        <w:t>helfen Sie dem Mitarbeiter dabei, seine beruflichen Fähigkeiten entsprechend seiner Bedürfnisse weiterzuentwickeln.</w:t>
      </w:r>
    </w:p>
    <w:p>
      <w:pPr>
        <w:pStyle w:val="para40"/>
        <w:numPr>
          <w:ilvl w:val="0"/>
          <w:numId w:val="58"/>
        </w:numPr>
        <w:ind w:left="454" w:hanging="284"/>
        <w:spacing w:line="264" w:lineRule="auto"/>
      </w:pPr>
      <w:r>
        <w:t>sind Sie von den Kompetenzen bzw. dem Potenzial des Mitarbeiters überzeugt und lassen ihn dies auch spüren.</w:t>
      </w:r>
    </w:p>
    <w:p>
      <w:pPr>
        <w:pStyle w:val="para40"/>
        <w:numPr>
          <w:ilvl w:val="0"/>
          <w:numId w:val="58"/>
        </w:numPr>
        <w:ind w:left="454" w:hanging="284"/>
        <w:spacing w:line="264" w:lineRule="auto"/>
      </w:pPr>
      <w:r>
        <w:t>geben Sie regelmäßiges wertschätzendes Feedback.</w:t>
      </w:r>
    </w:p>
    <w:p>
      <w:pPr>
        <w:pStyle w:val="para40"/>
        <w:numPr>
          <w:ilvl w:val="0"/>
          <w:numId w:val="58"/>
        </w:numPr>
        <w:ind w:left="454" w:hanging="284"/>
        <w:spacing w:line="264" w:lineRule="auto"/>
      </w:pPr>
      <w:r>
        <w:t>regen Sie den Mitarbeiter an, über berufliche Probleme nachzudenken.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Als Vorbild</w:t>
      </w:r>
    </w:p>
    <w:p>
      <w:pPr>
        <w:pStyle w:val="para40"/>
        <w:numPr>
          <w:ilvl w:val="0"/>
          <w:numId w:val="58"/>
        </w:numPr>
        <w:ind w:left="454" w:hanging="284"/>
        <w:spacing w:line="264" w:lineRule="auto"/>
      </w:pPr>
      <w:r>
        <w:t>zeigen Sie bei der Arbeit genau so hohen Einsatz wie die Mitarbeiter.</w:t>
      </w:r>
    </w:p>
    <w:p>
      <w:pPr>
        <w:pStyle w:val="para40"/>
        <w:numPr>
          <w:ilvl w:val="0"/>
          <w:numId w:val="58"/>
        </w:numPr>
        <w:ind w:left="454" w:hanging="284"/>
        <w:spacing w:line="264" w:lineRule="auto"/>
      </w:pPr>
      <w:r>
        <w:t>kümmern Sie sich um die eigene Personalentwicklung.</w:t>
      </w:r>
    </w:p>
    <w:p>
      <w:pPr>
        <w:pStyle w:val="para40"/>
        <w:numPr>
          <w:ilvl w:val="0"/>
          <w:numId w:val="58"/>
        </w:numPr>
        <w:ind w:left="454" w:hanging="284"/>
        <w:spacing w:line="264" w:lineRule="auto"/>
      </w:pPr>
      <w:r>
        <w:t>setzen Sie ethisch und moralisch hohe Standards an das eigene Verhalten.</w:t>
      </w:r>
    </w:p>
    <w:p>
      <w:bookmarkStart w:id="71" w:name="_TOC000355"/>
      <w:r/>
    </w:p>
    <w:p>
      <w:pPr>
        <w:pStyle w:val="para3"/>
        <w:numPr>
          <w:ilvl w:val="2"/>
          <w:numId w:val="42"/>
        </w:numPr>
        <w:ind w:left="737" w:hanging="737"/>
      </w:pPr>
      <w:r>
        <w:br w:type="page"/>
      </w:r>
      <w:bookmarkStart w:id="72" w:name="_TOC000019"/>
      <w:r>
        <w:t>Führungskompetenzen</w:t>
      </w:r>
      <w:bookmarkEnd w:id="71"/>
      <w:r/>
      <w:bookmarkEnd w:id="72"/>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Hier ein Überblick über die wichtigsten Führungskompetenzen einer Führungskraft:</w:t>
      </w:r>
    </w:p>
    <w:p>
      <w:pPr>
        <w:pStyle w:val="para40"/>
        <w:numPr>
          <w:ilvl w:val="0"/>
          <w:numId w:val="58"/>
        </w:numPr>
        <w:ind w:left="454" w:hanging="284"/>
        <w:spacing w:line="264" w:lineRule="auto"/>
        <w:rPr>
          <w:sz w:val="20"/>
          <w:szCs w:val="20"/>
        </w:rPr>
      </w:pPr>
      <w:r>
        <w:rPr>
          <w:sz w:val="20"/>
          <w:szCs w:val="20"/>
        </w:rPr>
        <w:t>Unternehmerische Kompetenz</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Kann ich Orientierung geben, strategisch handeln, Ziele entwickeln?</w:t>
      </w:r>
    </w:p>
    <w:p>
      <w:pPr>
        <w:pStyle w:val="para40"/>
        <w:numPr>
          <w:ilvl w:val="0"/>
          <w:numId w:val="58"/>
        </w:numPr>
        <w:ind w:left="454" w:hanging="284"/>
        <w:spacing w:line="264" w:lineRule="auto"/>
        <w:rPr>
          <w:sz w:val="20"/>
          <w:szCs w:val="20"/>
        </w:rPr>
      </w:pPr>
      <w:r>
        <w:rPr>
          <w:sz w:val="20"/>
          <w:szCs w:val="20"/>
        </w:rPr>
        <w:t>Führungskompetenz</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Kann ich Menschen führen? Kann ich integrieren und delegieren? Veränderungsprozesse lenken? Teamentwicklung fördern?</w:t>
      </w:r>
    </w:p>
    <w:p>
      <w:pPr>
        <w:pStyle w:val="para40"/>
        <w:numPr>
          <w:ilvl w:val="0"/>
          <w:numId w:val="58"/>
        </w:numPr>
        <w:ind w:left="454" w:hanging="284"/>
        <w:spacing w:line="264" w:lineRule="auto"/>
        <w:rPr>
          <w:sz w:val="20"/>
          <w:szCs w:val="20"/>
        </w:rPr>
      </w:pPr>
      <w:r>
        <w:rPr>
          <w:sz w:val="20"/>
          <w:szCs w:val="20"/>
        </w:rPr>
        <w:t>Methodenkompetenz</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Kann ich organisieren, analysieren und bewerten? Probleme lösen? Projekte lenken, moderieren und präsentieren, verhandeln? Bin ich kreativ?</w:t>
      </w:r>
    </w:p>
    <w:p>
      <w:pPr>
        <w:pStyle w:val="para40"/>
        <w:numPr>
          <w:ilvl w:val="0"/>
          <w:numId w:val="58"/>
        </w:numPr>
        <w:ind w:left="454" w:hanging="284"/>
        <w:spacing w:line="264" w:lineRule="auto"/>
        <w:rPr>
          <w:sz w:val="20"/>
          <w:szCs w:val="20"/>
        </w:rPr>
      </w:pPr>
      <w:r>
        <w:rPr>
          <w:sz w:val="20"/>
          <w:szCs w:val="20"/>
        </w:rPr>
        <w:t>Soziale Kompetenz</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Kann ich kommunizieren und informieren? Feedback geben? Konflikte lösen? Kompromisse eingehen, kooperieren und vernetzen?</w:t>
      </w:r>
    </w:p>
    <w:p>
      <w:pPr>
        <w:pStyle w:val="para40"/>
        <w:numPr>
          <w:ilvl w:val="0"/>
          <w:numId w:val="58"/>
        </w:numPr>
        <w:ind w:left="454" w:hanging="284"/>
        <w:spacing w:line="264" w:lineRule="auto"/>
        <w:rPr>
          <w:sz w:val="20"/>
          <w:szCs w:val="20"/>
        </w:rPr>
      </w:pPr>
      <w:r>
        <w:rPr>
          <w:sz w:val="20"/>
          <w:szCs w:val="20"/>
        </w:rPr>
        <w:t>Personale Kompetenz</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Bin ich flexibel und lernfähig? Belastbar? Besitze ich Ambiguitätstoleranz? Einfühlungsvermögen? Kann ich mich und andere einschätzen?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Wissen Sie, über welche Fähigkeiten Sie verfügen?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Ziemlich sicher werden Sie bei der ersten ehrlichen Bestandsaufnahme Lücken feststellen. Das ist normal und soll Sie nicht daran hindern, die anvisierte Führungsposition zu übernehmen. Sie können in der neuen Rolle trotzdem sehr erfolgreich sein, wenn Sie gleichzeitig die Bereitschaft für das persönliche Weiterlernen mitbringen. Denn viele der gefragten Fähigkeiten lassen sich überhaupt erst in der konkreten Tätigkeit, also '</w:t>
      </w:r>
      <w:r>
        <w:rPr>
          <w:rFonts w:eastAsia="Cambria" w:cs="Basic Roman"/>
          <w:lang w:val="en-gb" w:eastAsia="en-gb" w:bidi="en-gb"/>
        </w:rPr>
        <w:t>o</w:t>
      </w:r>
      <w:r>
        <w:rPr>
          <w:rFonts w:eastAsia="Cambria" w:cs="Basic Roman"/>
          <w:lang w:val="en-us" w:eastAsia="en-us" w:bidi="en-us"/>
        </w:rPr>
        <w:t>n the job</w:t>
      </w:r>
      <w:r>
        <w:rPr>
          <w:rFonts w:eastAsia="Cambria" w:cs="Basic Roman"/>
        </w:rPr>
        <w:t>' im Führungsalltag, ausbauen und können nicht 'auf Vorrat' erworben werden. Kompetenzen sind ein Leben lang ausbaufähig. Fragen Sie sich deshalb im Laufe Ihrer Führungstätigkeit immer wieder, was Sie benötigen und wie Sie sich weiterentwickeln können.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Wer kann Sie beim Ausbau Ihrer Fähigkeiten unterstützen?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Tipp: Suchen Sie sich auch außerhalb dieses Lernprogramms einen </w:t>
      </w:r>
      <w:r>
        <w:rPr>
          <w:rFonts w:eastAsia="Cambria" w:cs="Basic Roman"/>
          <w:b/>
          <w:bCs/>
        </w:rPr>
        <w:t>Sparringspartner</w:t>
      </w:r>
      <w:r>
        <w:rPr>
          <w:rFonts w:eastAsia="Cambria" w:cs="Basic Roman"/>
        </w:rPr>
        <w:t>, der Sie über dieses Trainingsprogramm hinaus unterstützt!</w:t>
      </w:r>
    </w:p>
    <w:p>
      <w:pPr>
        <w:pStyle w:val="para40"/>
        <w:numPr>
          <w:ilvl w:val="0"/>
          <w:numId w:val="58"/>
        </w:numPr>
        <w:ind w:left="454" w:hanging="284"/>
      </w:pPr>
      <w:r>
        <w:t xml:space="preserve">Im </w:t>
      </w:r>
      <w:r>
        <w:rPr>
          <w:b/>
          <w:bCs/>
        </w:rPr>
        <w:t>Idealfall</w:t>
      </w:r>
      <w:r>
        <w:t xml:space="preserve"> stellt Ihnen das Unternehmen einen </w:t>
      </w:r>
      <w:r>
        <w:rPr>
          <w:b/>
          <w:bCs/>
        </w:rPr>
        <w:t>Mentor</w:t>
      </w:r>
      <w:r>
        <w:t xml:space="preserve"> zur Seite, also eine erfahrene Führungskraft. Dies könnte z.B. ein Kollege oder eine Leitungsperson aus einer anderen Abteilung sein. Besprechen Sie mit diesem Sparringspartner konkrete Führungssituationen und reflektieren Sie, was Sie besser machen könnten.</w:t>
      </w:r>
    </w:p>
    <w:p>
      <w:pPr>
        <w:pStyle w:val="para40"/>
        <w:numPr>
          <w:ilvl w:val="0"/>
          <w:numId w:val="58"/>
        </w:numPr>
        <w:ind w:left="454" w:hanging="284"/>
      </w:pPr>
      <w:r>
        <w:t xml:space="preserve">Falls eine solche Begleitung nicht vorgesehen ist, bzw. als Zusatz zu dieser Unterstützung, können Sie mit Ihrem Vorgesetzten die Möglichkeiten weiterer Schulungsmaßnahmen ausloten. An welchen </w:t>
      </w:r>
      <w:r>
        <w:rPr>
          <w:b/>
          <w:bCs/>
        </w:rPr>
        <w:t>Seminaren</w:t>
      </w:r>
      <w:r>
        <w:t xml:space="preserve"> könnten Sie teilnehmen, um zusätzliche unternehmerische und methodische Fähigkeiten zu lernen?</w:t>
      </w:r>
    </w:p>
    <w:p>
      <w:pPr>
        <w:pStyle w:val="para40"/>
        <w:numPr>
          <w:ilvl w:val="0"/>
          <w:numId w:val="58"/>
        </w:numPr>
        <w:ind w:left="454" w:hanging="284"/>
      </w:pPr>
      <w:r>
        <w:t xml:space="preserve">Wenn Sie eine strategische Führungsposition einnehmen, sind Unternehmen oft bereit, Ihnen für die Einarbeitungszeit einen </w:t>
      </w:r>
      <w:r>
        <w:rPr>
          <w:b/>
          <w:bCs/>
        </w:rPr>
        <w:t>Coach</w:t>
      </w:r>
      <w:r>
        <w:t xml:space="preserve"> an die Seite zu stellen. Nehmen Sie dieses Angebot auf jeden Fall an! Auch wenn Sie momentan keine konkreten Problemstellungen benennen können - diese professionelle Unterstützung wird Ihnen, gerade in Kombination mit diesem Trainingsprogramm, auf dem Weg zur souveränen Führungskraft sehr behilflich sein.</w:t>
      </w:r>
    </w:p>
    <w:p>
      <w:pPr>
        <w:pStyle w:val="para40"/>
        <w:numPr>
          <w:ilvl w:val="0"/>
          <w:numId w:val="58"/>
        </w:numPr>
        <w:ind w:left="454" w:hanging="284"/>
      </w:p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42"/>
        </w:numPr>
        <w:ind w:left="737" w:hanging="737"/>
      </w:pPr>
      <w:r>
        <w:br w:type="page"/>
      </w:r>
      <w:bookmarkStart w:id="73" w:name="_TOC000809"/>
      <w:r>
        <w:t>Übung: Eine Bestandsaufnahme der eigenen Führungskompetenzen</w:t>
      </w:r>
      <w:bookmarkEnd w:id="73"/>
      <w:r/>
    </w:p>
    <w:p>
      <w:r/>
    </w:p>
    <w:p>
      <w:pPr>
        <w:ind w:firstLine="0"/>
        <w:spacing w:after="40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lang w:eastAsia="de-de" w:bidi="de-de"/>
        </w:rPr>
      </w:pPr>
      <w:r>
        <w:rPr>
          <w:i/>
          <w:iCs/>
          <w:lang w:eastAsia="de-de" w:bidi="de-de"/>
        </w:rPr>
        <w:t>Welche Führungsstile gehören zurzeit zu ihrem Werkzeugkoffer?</w:t>
      </w:r>
    </w:p>
    <w:p>
      <w:pPr>
        <w:ind w:firstLine="0"/>
        <w:spacing w:after="40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lang w:eastAsia="de-de" w:bidi="de-de"/>
        </w:rPr>
      </w:pPr>
      <w:r>
        <w:rPr>
          <w:i/>
          <w:iCs/>
          <w:lang w:eastAsia="de-de" w:bidi="de-de"/>
        </w:rPr>
        <w:t>Welche Wirkung haben diese Stile auf die Leistungsbereitschaft der Mitarbeiter?</w:t>
      </w:r>
    </w:p>
    <w:p>
      <w:pPr>
        <w:ind w:firstLine="0"/>
        <w:spacing w:after="36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lang w:eastAsia="de-de" w:bidi="de-de"/>
        </w:rPr>
      </w:pPr>
      <w:r>
        <w:rPr>
          <w:i/>
          <w:iCs/>
          <w:lang w:eastAsia="de-de" w:bidi="de-de"/>
        </w:rPr>
        <w:t>Welche Leistungsmotivationstreiber sind bereits aktiviert und welche müssen noch intensiviert werden?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0"/>
        <w:numPr>
          <w:ilvl w:val="0"/>
          <w:numId w:val="58"/>
        </w:numPr>
        <w:ind w:left="454" w:hanging="284"/>
      </w:pPr>
      <w:r/>
    </w:p>
    <w:p>
      <w:pPr>
        <w:pStyle w:val="para2"/>
        <w:numPr>
          <w:ilvl w:val="1"/>
          <w:numId w:val="42"/>
        </w:numPr>
        <w:ind w:left="578" w:hanging="578"/>
      </w:pPr>
      <w:r>
        <w:br w:type="page"/>
      </w:r>
      <w:bookmarkStart w:id="74" w:name="_TOC000356"/>
      <w:r/>
      <w:bookmarkStart w:id="75" w:name="_Toc334988851"/>
      <w:r/>
      <w:bookmarkEnd w:id="75"/>
      <w:r/>
      <w:bookmarkStart w:id="76" w:name="_Toc349302540"/>
      <w:r/>
      <w:bookmarkEnd w:id="76"/>
      <w:r/>
      <w:bookmarkStart w:id="77" w:name="_Toc362531518"/>
      <w:r/>
      <w:bookmarkEnd w:id="77"/>
      <w:r/>
      <w:bookmarkStart w:id="78" w:name="_Toc335470727"/>
      <w:r/>
      <w:bookmarkEnd w:id="78"/>
      <w:r>
        <w:t>Governance</w:t>
      </w:r>
      <w:bookmarkEnd w:id="74"/>
      <w:r/>
    </w:p>
    <w:p>
      <w:pPr>
        <w:spacing/>
        <w:jc w:val="left"/>
        <w:rPr>
          <w:sz w:val="16"/>
          <w:szCs w:val="16"/>
        </w:rPr>
      </w:pPr>
      <w:r>
        <w:rPr>
          <w:sz w:val="16"/>
          <w:szCs w:val="16"/>
        </w:rPr>
        <w:t xml:space="preserve">Quelle </w:t>
      </w:r>
      <w:hyperlink r:id="rId43" w:history="1">
        <w:r>
          <w:rPr>
            <w:rStyle w:val="char29"/>
            <w:sz w:val="16"/>
            <w:szCs w:val="16"/>
          </w:rPr>
          <w:t>https://www.haufe-akademie.de/blog/glossar/governance/?akttyp=organische%20suche&amp;med=google&amp;aktnr=84834&amp;wnr=04393672</w:t>
        </w:r>
      </w:hyperlink>
      <w:r>
        <w:rPr>
          <w:sz w:val="16"/>
          <w:szCs w:val="16"/>
        </w:rPr>
        <w:t>, 01.08.2026</w:t>
      </w:r>
    </w:p>
    <w:p>
      <w:pPr>
        <w:pStyle w:val="para3"/>
        <w:numPr>
          <w:ilvl w:val="2"/>
          <w:numId w:val="42"/>
        </w:numPr>
        <w:ind w:left="737" w:hanging="737"/>
      </w:pPr>
      <w:bookmarkStart w:id="79" w:name="_TOC000023"/>
      <w:r>
        <w:t>Definition von Governance</w:t>
      </w:r>
      <w:bookmarkEnd w:id="79"/>
      <w:r/>
    </w:p>
    <w:p>
      <w:r>
        <w:t>Der Begriff Governance beschreibt die Art und Weise, wie Organisationen, insbesondere Unternehmen, gesteuert und kontrolliert werden. Es geht um die Strukturen, Prozesse und Prinzipien, die eine effektive und verantwortungsvolle Unternehmensführung sicherstellen. Governance legt fest, wie Entscheidungen getroffen, Verantwortlichkeiten verteilt und Risiken überwacht werden. Ziel ist es, die Einhaltung gesetzlicher Vorschriften, die Interessen der Aktionäre sowie die langfristige Stabilität der Organisation zu gewährleisten.</w:t>
      </w:r>
    </w:p>
    <w:p>
      <w:pPr>
        <w:pStyle w:val="para3"/>
        <w:numPr>
          <w:ilvl w:val="2"/>
          <w:numId w:val="42"/>
        </w:numPr>
        <w:ind w:left="737" w:hanging="737"/>
      </w:pPr>
      <w:bookmarkStart w:id="80" w:name="_TOC000024"/>
      <w:r>
        <w:t>Ziele und Nutzen einer guten Governance</w:t>
      </w:r>
      <w:bookmarkEnd w:id="80"/>
      <w:r/>
    </w:p>
    <w:p>
      <w:r>
        <w:t>Governance ist nicht nur ein regulatorisches Muss, sondern ein strategisches Instrument zur Verbesserung der Unternehmensqualität. Sie unterstützt Organisationen dabei, ihr Handeln transparent, nachvollziehbar und effizient zu gestalten.</w:t>
      </w:r>
    </w:p>
    <w:p>
      <w:pPr>
        <w:pStyle w:val="para40"/>
        <w:numPr>
          <w:ilvl w:val="0"/>
          <w:numId w:val="58"/>
        </w:numPr>
        <w:ind w:left="454" w:hanging="284"/>
        <w:spacing w:after="60"/>
      </w:pPr>
      <w:r>
        <w:t>Rechtssicherheit: Sicherstellung der Einhaltung gesetzlicher und regulatorischer Anforderungen</w:t>
      </w:r>
    </w:p>
    <w:p>
      <w:pPr>
        <w:pStyle w:val="para40"/>
        <w:numPr>
          <w:ilvl w:val="0"/>
          <w:numId w:val="58"/>
        </w:numPr>
        <w:ind w:left="454" w:hanging="284"/>
        <w:spacing w:after="60"/>
      </w:pPr>
      <w:r>
        <w:t>Verantwortung: Klare Verteilung von Rollen, Aufgaben und Zuständigkeiten</w:t>
      </w:r>
    </w:p>
    <w:p>
      <w:pPr>
        <w:pStyle w:val="para40"/>
        <w:numPr>
          <w:ilvl w:val="0"/>
          <w:numId w:val="58"/>
        </w:numPr>
        <w:ind w:left="454" w:hanging="284"/>
        <w:spacing w:after="60"/>
      </w:pPr>
      <w:r>
        <w:t>Transparenz: Offenlegung von Entscheidungsprozessen und Ergebnissen</w:t>
      </w:r>
    </w:p>
    <w:p>
      <w:pPr>
        <w:pStyle w:val="para40"/>
        <w:numPr>
          <w:ilvl w:val="0"/>
          <w:numId w:val="58"/>
        </w:numPr>
        <w:ind w:left="454" w:hanging="284"/>
        <w:spacing w:after="60"/>
      </w:pPr>
      <w:r>
        <w:t>Effizienz: Optimierung von Prozessen und Ressourcen</w:t>
      </w:r>
    </w:p>
    <w:p>
      <w:pPr>
        <w:pStyle w:val="para40"/>
        <w:numPr>
          <w:ilvl w:val="0"/>
          <w:numId w:val="58"/>
        </w:numPr>
        <w:ind w:left="454" w:hanging="284"/>
      </w:pPr>
      <w:r>
        <w:t>Risikomanagement: Früherkennung und Steuerung potenzieller Risiken</w:t>
      </w:r>
    </w:p>
    <w:p>
      <w:pPr>
        <w:pStyle w:val="para3"/>
        <w:numPr>
          <w:ilvl w:val="2"/>
          <w:numId w:val="42"/>
        </w:numPr>
        <w:ind w:left="737" w:hanging="737"/>
      </w:pPr>
      <w:bookmarkStart w:id="81" w:name="_TOC000025"/>
      <w:r>
        <w:t>Governance-Strukturen in Unternehmen</w:t>
      </w:r>
      <w:bookmarkEnd w:id="81"/>
      <w:r/>
    </w:p>
    <w:p>
      <w:r>
        <w:t>In der Praxis unterscheiden sich Governance-Strukturen je nach Größe, Branche oder Region eines Unternehmens. Dennoch gibt es gemeinsame Elemente, die sich in vielen Organisationen wiederfinden:</w:t>
      </w:r>
    </w:p>
    <w:p>
      <w:pPr>
        <w:pStyle w:val="para40"/>
        <w:numPr>
          <w:ilvl w:val="0"/>
          <w:numId w:val="58"/>
        </w:numPr>
        <w:ind w:left="454" w:hanging="284"/>
        <w:spacing w:after="60"/>
      </w:pPr>
      <w:r>
        <w:t>Aufsichtsrat und Vorstand: Trennung von Kontrolle und operativer Führung</w:t>
      </w:r>
    </w:p>
    <w:p>
      <w:pPr>
        <w:pStyle w:val="para40"/>
        <w:numPr>
          <w:ilvl w:val="0"/>
          <w:numId w:val="58"/>
        </w:numPr>
        <w:ind w:left="454" w:hanging="284"/>
        <w:spacing w:after="60"/>
      </w:pPr>
      <w:r>
        <w:t>Compliance-Abteilungen: Überwachung der Regeltreue</w:t>
      </w:r>
    </w:p>
    <w:p>
      <w:pPr>
        <w:pStyle w:val="para40"/>
        <w:numPr>
          <w:ilvl w:val="0"/>
          <w:numId w:val="58"/>
        </w:numPr>
        <w:ind w:left="454" w:hanging="284"/>
        <w:spacing w:after="60"/>
      </w:pPr>
      <w:r>
        <w:t>Interne Kontrollsysteme: Sicherstellung korrekter Abläufe und Vermeidung von Fehlverhalten</w:t>
      </w:r>
    </w:p>
    <w:p>
      <w:pPr>
        <w:pStyle w:val="para40"/>
        <w:numPr>
          <w:ilvl w:val="0"/>
          <w:numId w:val="58"/>
        </w:numPr>
        <w:ind w:left="454" w:hanging="284"/>
        <w:spacing w:after="60"/>
      </w:pPr>
      <w:r>
        <w:t>Berichtswesen: Regelmäßige und standardisierte Informationsweitergabe an Stakeholder</w:t>
      </w:r>
    </w:p>
    <w:p>
      <w:pPr>
        <w:pStyle w:val="para3"/>
        <w:numPr>
          <w:ilvl w:val="2"/>
          <w:numId w:val="42"/>
        </w:numPr>
        <w:ind w:left="737" w:hanging="737"/>
      </w:pPr>
      <w:r>
        <w:br w:type="column"/>
      </w:r>
      <w:bookmarkStart w:id="82" w:name="_TOC000026"/>
      <w:r>
        <w:t>Corporate Governance als spezieller Ansatz</w:t>
      </w:r>
      <w:bookmarkEnd w:id="82"/>
      <w:r/>
    </w:p>
    <w:p>
      <w:r>
        <w:t>Ein besonderer Bereich ist die Corporate Governance. In Deutschland gibt es hierfür den Deutschen Corporate Governance Kodex (DCGK), der als Regelwerk Empfehlungen und Standards formuliert, die sich vorrangig an börsennotierte Unternehmen richten. Hier stehen die Rechte und Pflichten von Aktionär:innen, das Verhältnis zu Stakeholdern und die Integrität der Geschäftsleitung im Fokus. Ziel ist es, das Vertrauen der Kapitalmärkte zu stärken und langfristige Wertschöpfung zu sichern.</w:t>
      </w:r>
    </w:p>
    <w:p>
      <w:pPr>
        <w:pStyle w:val="para3"/>
        <w:numPr>
          <w:ilvl w:val="2"/>
          <w:numId w:val="42"/>
        </w:numPr>
        <w:ind w:left="737" w:hanging="737"/>
      </w:pPr>
      <w:bookmarkStart w:id="83" w:name="_TOC000027"/>
      <w:r>
        <w:t>Fragen zu Governance</w:t>
      </w:r>
      <w:bookmarkEnd w:id="83"/>
      <w:r/>
    </w:p>
    <w:p>
      <w:pPr>
        <w:pStyle w:val="para40"/>
        <w:numPr>
          <w:ilvl w:val="0"/>
          <w:numId w:val="58"/>
        </w:numPr>
        <w:ind w:left="454" w:hanging="284"/>
      </w:pPr>
      <w:r>
        <w:t>Was ist der Unterschied zwischen Governance und Management?</w:t>
      </w:r>
    </w:p>
    <w:p>
      <w:pPr>
        <w:ind w:left="454"/>
        <w:spacing/>
        <w:jc w:val="left"/>
      </w:pPr>
      <w:r>
        <w:t>Governance bezieht sich auf die übergeordneten Strukturen und Regeln, während Management die tägliche Umsetzung und operative Steuerung betrifft.</w:t>
      </w:r>
    </w:p>
    <w:p>
      <w:pPr>
        <w:pStyle w:val="para40"/>
        <w:numPr>
          <w:ilvl w:val="0"/>
          <w:numId w:val="58"/>
        </w:numPr>
        <w:ind w:left="454" w:hanging="284"/>
      </w:pPr>
      <w:r>
        <w:t>Warum ist Governance für Unternehmen wichtig?</w:t>
      </w:r>
    </w:p>
    <w:p>
      <w:pPr>
        <w:ind w:left="454"/>
        <w:spacing/>
        <w:jc w:val="left"/>
      </w:pPr>
      <w:r>
        <w:t>Governance sorgt für klare Verantwortlichkeiten, Risikominimierung und nachhaltige Entscheidungen – zentrale Faktoren für langfristigen Erfolg.</w:t>
      </w:r>
    </w:p>
    <w:p>
      <w:pPr>
        <w:pStyle w:val="para40"/>
        <w:numPr>
          <w:ilvl w:val="0"/>
          <w:numId w:val="58"/>
        </w:numPr>
        <w:ind w:left="454" w:hanging="284"/>
      </w:pPr>
      <w:r>
        <w:t>Gibt es verschiedene Arten von Governance?</w:t>
      </w:r>
    </w:p>
    <w:p>
      <w:pPr>
        <w:ind w:left="454"/>
        <w:spacing/>
        <w:jc w:val="left"/>
      </w:pPr>
      <w:r>
        <w:t>Ja, z.B. Corporate Governance, IT-Governance oder Umwelt-Governance. Jede Form fokussiert sich auf bestimmte Bereiche innerhalb einer Organisation.</w:t>
      </w:r>
    </w:p>
    <w:p>
      <w:pPr>
        <w:pStyle w:val="para2"/>
        <w:numPr>
          <w:ilvl w:val="1"/>
          <w:numId w:val="42"/>
        </w:numPr>
        <w:ind w:left="578" w:hanging="578"/>
      </w:pPr>
      <w:r>
        <w:br w:type="page"/>
      </w:r>
      <w:bookmarkStart w:id="84" w:name="_TOC000029"/>
      <w:r>
        <w:t>Management und Führung</w:t>
      </w:r>
      <w:bookmarkEnd w:id="84"/>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Bei Management geht es um die Sache, bei Führung um den Menschen.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Manager akzeptieren die geltende Kultur und existierenden Grenzen. Sie tragen dazu bei, dass geplante Prozesse funktionieren. Management ist darauf ausgerichtet, dass kurzfristig trotz widriger Umstände gute Ergebnisse erzielt werden. Das Management verteilt Aufgaben unter den Mitarbeitern und kontrolliert die Durchführung. Dies ist eine organisatorische Fähigkeit bzw. eine erlernbare Fertigkeit.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Gute Führung bedeutet, das Verhalten anderer Menschen auf ein zuvor definiertes Ziel hin zu steuern und die dafür notwendigen Mittel, Freiräume und Informationen zur Verfügung zu stellen. Ändern sich die Rahmenbedingungen, muss die Führungskraft überprüfen, ob das Ziel noch erreichbar ist oder nicht. Wenn nicht, werden mitunter Mittel und Freiräume angepasst. Ansonsten gilt die Devise, auf das Urteilsvermögen der eigenen Mitarbeiterinnen und Mitarbeiter zu vertrauen und ihnen frei von Mikromanagement innerhalb des vorher gesetzten Rahmens den Weg zum Ziel freizustellen.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 xml:space="preserve">Die Grundlage von Führung sind die Persönlichkeit, Identität und Vision der Führungskraft. Ihre Tätigkeit ist auf die Zukunft ausgerichtet. Sie arbeitet im Wesentlichen auf der Beziehungsebene. Sie ist Vorbild mit gefestigten Überzeugungen und Werten. Sie motiviert ihre Mitarbeiter und stellt bei Bedarf die Grenzen der jeweiligen Firmenkultur in Frage.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b/>
          <w:bCs/>
          <w:szCs w:val="24"/>
        </w:rPr>
        <w:t>Kurz zusammengefasst:</w:t>
      </w:r>
      <w:r>
        <w:rPr>
          <w:rFonts w:eastAsia="Cambria"/>
          <w:szCs w:val="24"/>
        </w:rPr>
        <w:t xml:space="preserve">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b/>
          <w:bCs/>
          <w:i/>
          <w:iCs/>
          <w:sz w:val="20"/>
          <w:szCs w:val="20"/>
        </w:rPr>
        <w:t>Manager</w:t>
      </w:r>
      <w:r>
        <w:rPr>
          <w:rFonts w:eastAsia="Cambria"/>
          <w:szCs w:val="24"/>
        </w:rPr>
        <w:t xml:space="preserve"> halten den Betrieb aufrecht und sorgen für reibungslosen Ablauf.</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b/>
          <w:bCs/>
          <w:i/>
          <w:iCs/>
          <w:sz w:val="20"/>
          <w:szCs w:val="20"/>
        </w:rPr>
        <w:t>Führungskräfte</w:t>
      </w:r>
      <w:r>
        <w:rPr>
          <w:rFonts w:eastAsia="Cambria"/>
          <w:szCs w:val="24"/>
        </w:rPr>
        <w:t xml:space="preserve"> sorgen für die Zukunftsfähigkeit des Betriebs und motivieren die Mitarbeiter.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Eine nicht mehr zeitgemäße Sonderstellung nimmt der sogenannte 'Boss' ein.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Es gibt Unterschiede zwischen Autorität durch Macht und Autorität durch Führung. Dies entspricht dem Unterschied zwischen einem Boss und einer Führungspersönlichkeit:</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before="400"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Kurzübersicht über die unterschiedlichen Ausprägungen von Boss, Management und Führung:</w:t>
      </w:r>
    </w:p>
    <w:tbl>
      <w:tblPr>
        <w:tblStyle w:val="NormalTable"/>
        <w:name w:val="Tabelle35"/>
        <w:tabOrder w:val="0"/>
        <w:jc w:val="left"/>
        <w:tblInd w:w="0" w:type="dxa"/>
        <w:tblW w:w="9066" w:type="dxa"/>
        <w:pPr>
          <w:spacing/>
          <w:jc w:val="left"/>
        </w:pPr>
        <w:tblLook w:val="0000" w:firstRow="0" w:lastRow="0" w:firstColumn="0" w:lastColumn="0" w:noHBand="0" w:noVBand="0"/>
      </w:tblPr>
      <w:tblGrid>
        <w:gridCol w:w="2793"/>
        <w:gridCol w:w="3030"/>
        <w:gridCol w:w="3243"/>
      </w:tblGrid>
      <w:tr>
        <w:trPr>
          <w:tblHeader w:val="0"/>
          <w:cantSplit w:val="0"/>
          <w:trHeight w:val="0" w:hRule="auto"/>
        </w:trPr>
        <w:tc>
          <w:tcPr>
            <w:tcW w:w="2793" w:type="dxa"/>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spacing w:after="0"/>
            </w:pPr>
            <w:r>
              <w:t>Boss</w:t>
            </w:r>
          </w:p>
        </w:tc>
        <w:tc>
          <w:tcPr>
            <w:tcW w:w="3030" w:type="dxa"/>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spacing w:after="0"/>
            </w:pPr>
            <w:r>
              <w:t>Management</w:t>
            </w:r>
          </w:p>
        </w:tc>
        <w:tc>
          <w:tcPr>
            <w:tcW w:w="3243" w:type="dxa"/>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spacing w:after="0"/>
            </w:pPr>
            <w:r>
              <w:t>Führung</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hat Macht</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strebt Kontrolle an</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fördert Veränderungen</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treibt die Mitarbeiter an</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sorgt für reibungslosen Ablauf</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schafft bei Bedarf neue Abläufe</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klagt an und zeigt auf, wer etwas falsch gemacht hat</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macht die Dinge richtig</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macht die richtigen Dinge</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weiß immer besser, wie man etwas macht</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verfügt über eine Reihe von Fertigkeiten</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verfügt über eine Reihe von Fertigkeiten und eine Identität</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hat Autorität</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verwaltet</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strebt Innovation an</w:t>
            </w:r>
          </w:p>
        </w:tc>
      </w:tr>
      <w:tr>
        <w:trPr>
          <w:tblHeader w:val="0"/>
          <w:cantSplit w:val="0"/>
          <w:trHeight w:val="0" w:hRule="auto"/>
        </w:trPr>
        <w:tc>
          <w:tcPr>
            <w:tcW w:w="279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bringt Menschen dazu, das zu tun, was er will</w:t>
            </w:r>
          </w:p>
        </w:tc>
        <w:tc>
          <w:tcPr>
            <w:tcW w:w="3030"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veranlasst Menschen, Dinge zu tun</w:t>
            </w:r>
          </w:p>
        </w:tc>
        <w:tc>
          <w:tcPr>
            <w:tcW w:w="3243" w:type="dxa"/>
            <w:tcMar>
              <w:top w:w="57" w:type="dxa"/>
              <w:left w:w="113" w:type="dxa"/>
              <w:bottom w:w="57"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785596603" protected="0"/>
          </w:tcPr>
          <w:p>
            <w:pPr>
              <w:pStyle w:val="para34"/>
              <w:numPr>
                <w:ilvl w:val="0"/>
                <w:numId w:val="58"/>
              </w:numPr>
              <w:ind w:left="397" w:hanging="284"/>
            </w:pPr>
            <w:r>
              <w:t>bringt Menschen unter Berufung auf Werte und Überzeugungen dazu, Dinge tun zu wollen</w:t>
            </w:r>
          </w:p>
        </w:tc>
      </w:tr>
    </w:tbl>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bookmarkStart w:id="85" w:name="_Toc335470728"/>
      <w:r/>
    </w:p>
    <w:p>
      <w:pPr>
        <w:pStyle w:val="para3"/>
        <w:numPr>
          <w:ilvl w:val="2"/>
          <w:numId w:val="42"/>
        </w:numPr>
        <w:ind w:left="680" w:hanging="681"/>
      </w:pPr>
      <w:r>
        <w:br w:type="page"/>
      </w:r>
      <w:bookmarkStart w:id="86" w:name="_TOC002477"/>
      <w:r>
        <w:t>Was gute Führungskräfte von schlechten Managern unterscheidet</w:t>
      </w:r>
      <w:bookmarkEnd w:id="86"/>
      <w:r/>
    </w:p>
    <w:p>
      <w:r>
        <w:t>1. DEZEMBER 2023  ARBEITS-ABC REDAKTION</w:t>
      </w:r>
    </w:p>
    <w:p>
      <w:pPr>
        <w:spacing/>
        <w:jc w:val="left"/>
        <w:rPr>
          <w:sz w:val="14"/>
          <w:szCs w:val="14"/>
        </w:rPr>
      </w:pPr>
      <w:r>
        <w:rPr>
          <w:sz w:val="14"/>
          <w:szCs w:val="14"/>
        </w:rPr>
        <w:t>Quelle: https://arbeits-abc.de/was-gute-fuehrungskraefte-von-schlechten-managern-unterscheidet/?xing_share=news</w:t>
      </w:r>
    </w:p>
    <w:p>
      <w:r>
        <w:t>Gute Führungskräfte unterscheiden sich in vielen Punkten von schlechten Managern. Hier sind fünf wesentliche Dinge, die gute Führungskräfte tun und die schlechte Manager oft nicht tun oder nicht tun werden.</w:t>
      </w:r>
    </w:p>
    <w:p>
      <w:pPr>
        <w:pStyle w:val="para4"/>
        <w:numPr>
          <w:ilvl w:val="3"/>
          <w:numId w:val="42"/>
        </w:numPr>
        <w:ind w:left="864" w:hanging="864"/>
      </w:pPr>
      <w:bookmarkStart w:id="87" w:name="_TOC002478"/>
      <w:r>
        <w:t>Empathie und emotionale Intelligenz:</w:t>
      </w:r>
      <w:bookmarkEnd w:id="87"/>
      <w:r/>
    </w:p>
    <w:p>
      <w:r>
        <w:t>Gute Führungskräfte verstehen und berücksichtigen die Gefühle und Bedürfnisse ihrer Mitarbeiter. Sie können sich in andere hineinversetzen und angemessen auf deren emotionale Zustände reagieren. Schlechte Manager hingegen neigen dazu, sich mehr auf Zahlen und Ergebnisse zu konzentrieren und vernachlässigen oft die menschliche Seite des Managements. Das Zauberwort heißt hier ganz klar: Empathie.</w:t>
      </w:r>
    </w:p>
    <w:p>
      <w:pPr>
        <w:pStyle w:val="para4"/>
        <w:numPr>
          <w:ilvl w:val="3"/>
          <w:numId w:val="42"/>
        </w:numPr>
        <w:ind w:left="864" w:hanging="864"/>
      </w:pPr>
      <w:bookmarkStart w:id="88" w:name="_TOC002479"/>
      <w:r>
        <w:t>Kommunikation und Transparenz:</w:t>
      </w:r>
      <w:bookmarkEnd w:id="88"/>
      <w:r/>
    </w:p>
    <w:p>
      <w:r>
        <w:t>Effektive Führungskräfte kommunizieren klar, offen und auf Augenhöhe. Sie teilen Informationen, geben konstruktives Feedback und fördern einen offenen Dialog. Im Gegensatz dazu halten schlechte Manager oftmals Informationen hinterm Berg zurück, kommunizieren unklar oder gar nicht, was zu Verwirrung und Misstrauen im Team führen kann.</w:t>
      </w:r>
    </w:p>
    <w:p>
      <w:pPr>
        <w:pStyle w:val="para4"/>
        <w:numPr>
          <w:ilvl w:val="3"/>
          <w:numId w:val="42"/>
        </w:numPr>
        <w:ind w:left="864" w:hanging="864"/>
      </w:pPr>
      <w:bookmarkStart w:id="89" w:name="_TOC002480"/>
      <w:r>
        <w:t>Förderung von Teamarbeit und Zusammenhalt:</w:t>
      </w:r>
      <w:bookmarkEnd w:id="89"/>
      <w:r/>
    </w:p>
    <w:p>
      <w:r>
        <w:t>Gute Führungskräfte verstehen die Bedeutung von Teamarbeit und arbeiten aktiv daran, ein starkes, kooperatives Team zu bilden. Sie erkennen und nutzen die Stärken jedes Einzelnen und fördern ein Umfeld, in dem Zusammenarbeit gedeihen kann. Schlechte Manager hingegen fördern oft Wettbewerb und Konflikte zwischen Mitarbeitern, was zu einer negativen Arbeitsatmosphäre führen kann.</w:t>
      </w:r>
    </w:p>
    <w:p>
      <w:pPr>
        <w:pStyle w:val="para4"/>
        <w:numPr>
          <w:ilvl w:val="3"/>
          <w:numId w:val="42"/>
        </w:numPr>
        <w:ind w:left="864" w:hanging="864"/>
      </w:pPr>
      <w:bookmarkStart w:id="90" w:name="_TOC002481"/>
      <w:r>
        <w:t>Flexibilität und Anpassungsfähigkeit:</w:t>
      </w:r>
      <w:bookmarkEnd w:id="90"/>
      <w:r/>
    </w:p>
    <w:p>
      <w:r>
        <w:t>In der heutigen Arbeitswelt ist die Fähigkeit, sich an Veränderungen anzupassen, entscheidend. Gute Führungskräfte sind offen für neue Ideen und Ansätze, bereit, von Fehlern zu lernen und ihre Strategien entsprechend anzupassen. Schlechte Manager sind oft starr in ihren Methoden und weigern sich, sich mit der Zeit zu gehen, was langfristig zum Scheitern führen kann. und wir alles wissen: Wer nicht geht mit der Zeit, der geht mit der Zeit.</w:t>
      </w:r>
    </w:p>
    <w:p>
      <w:pPr>
        <w:pStyle w:val="para4"/>
        <w:numPr>
          <w:ilvl w:val="3"/>
          <w:numId w:val="42"/>
        </w:numPr>
        <w:ind w:left="864" w:hanging="864"/>
      </w:pPr>
      <w:bookmarkStart w:id="91" w:name="_TOC002482"/>
      <w:r>
        <w:t>Vorbild sein und Integrität zeigen:</w:t>
      </w:r>
      <w:bookmarkEnd w:id="91"/>
      <w:r/>
    </w:p>
    <w:p>
      <w:r>
        <w:t>Gute Führungskräfte leben die Werte und Standards, die sie von ihren Teams erwarten. Sie handeln ethisch und mit Integrität. Schlechte Manager hingegen zeigen oft ein Verhalten, das nicht mit den beschworenen Werten und Leitlinien des Unternehmens übereinstimmt, was zu einem Vertrauensverlust und mangelnder Glaubwürdigkeit führen kann.</w:t>
      </w:r>
    </w:p>
    <w:p>
      <w:r>
        <w:t>Diese Punkte sind entscheidend für effektive Führung und tragen wesentlich zum Erfolg eines Teams und des gesamten Unternehmens bei.</w:t>
      </w:r>
    </w:p>
    <w:p>
      <w:r/>
    </w:p>
    <w:p>
      <w:pPr>
        <w:pStyle w:val="para2"/>
        <w:numPr>
          <w:ilvl w:val="1"/>
          <w:numId w:val="42"/>
        </w:numPr>
        <w:ind w:left="578" w:hanging="578"/>
        <w:rPr>
          <w:color w:val="007F7F"/>
          <w:sz w:val="28"/>
          <w:szCs w:val="28"/>
          <w:lang w:eastAsia="de-de" w:bidi="de-de"/>
        </w:rPr>
      </w:pPr>
      <w:r>
        <w:br w:type="page"/>
      </w:r>
      <w:bookmarkStart w:id="92" w:name="_TOC000030"/>
      <w:r>
        <w:rPr>
          <w:color w:val="007F7F"/>
          <w:sz w:val="28"/>
          <w:szCs w:val="28"/>
          <w:lang w:eastAsia="de-de" w:bidi="de-de"/>
        </w:rPr>
      </w:r>
      <w:r/>
      <w:bookmarkStart w:id="93" w:name="_TOC000022"/>
      <w:r/>
      <w:bookmarkStart w:id="94" w:name="_TOC000020"/>
      <w:r/>
      <w:r>
        <w:rPr>
          <w:color w:val="007F7F"/>
          <w:sz w:val="28"/>
          <w:szCs w:val="28"/>
          <w:lang w:eastAsia="de-de" w:bidi="de-de"/>
        </w:rPr>
        <w:t>Dienender Führungsstil</w:t>
      </w:r>
      <w:r/>
      <w:bookmarkEnd w:id="94"/>
      <w:r/>
      <w:bookmarkEnd w:id="93"/>
      <w:r/>
      <w:r>
        <w:rPr>
          <w:color w:val="007F7F"/>
          <w:sz w:val="28"/>
          <w:szCs w:val="28"/>
          <w:lang w:eastAsia="de-de" w:bidi="de-de"/>
        </w:rPr>
      </w:r>
      <w:bookmarkEnd w:id="92"/>
      <w:r>
        <w:rPr>
          <w:color w:val="007F7F"/>
          <w:sz w:val="28"/>
          <w:szCs w:val="28"/>
          <w:lang w:eastAsia="de-de" w:bidi="de-de"/>
        </w:rPr>
      </w:r>
    </w:p>
    <w:p>
      <w:r>
        <w:t>Unter dienender Führung, auch als Servant Leadership bekannt, wird ein Führungsstil verstanden, bei dem die Bedürfnisse der Mitarbeitenden an erster Stelle stehen. Doch so gut Servant Leadership fürs Teamgefüge ist, ist auch dieser Führungsstil kein Allheilmittel. Das ist das Hauptergebnis einer norwegischen Studie, die im Journal of Organizational Behavior erschienen ist.</w:t>
      </w:r>
    </w:p>
    <w:p>
      <w:r>
        <w:t>Dienende Führung geht oft auf Kosten der Performance.</w:t>
      </w:r>
    </w:p>
    <w:p>
      <w:r>
        <w:t>In zwei Studien, einem Laborexperiment und einer Langzeitstudie mit 120 teilnehmenden KMU, untersuchten die Forschenden die Effekte dienender Führung auf das Arbeitsklima und die Performance. Diese beschreiben sie als ein zweischneidiges Schwert: Denn einerseits schafft Servant Leadership ein sogenanntes Meisterklima, in dem der Fokus auf Lernen, Zusammenarbeit und persönlicher Weiterentwicklung liegt. Dieses Klima führt dazu, dass sich Mitarbeitende gegenseitig mehr unterstützen und das Teamgefüge gestärkt wird. Gleichzeitig schwächt sie jedoch das Leistungsklima, da Wettbewerb und der Vergleich mit anderen nicht mehr im Vordergrund stehen. In der Studie ging das mit einer geringeren finanziellen Performance des Unternehmens einher.</w:t>
      </w:r>
    </w:p>
    <w:p>
      <w:r>
        <w:t>Die gute Nachricht dabei: Das muss nicht so sein. Denn oftmals liege der Fehler nicht im Führungsstil selbst, sondern in einer einseitigen Umsetzung, so die Forschenden. Sie empfehlen ein „Sowohl als auch“-Klima, in dem sowohl die Zusammenarbeit im Team als auch ein gesunder Wettbewerb gefördert wird. Dem Team Autonomie zu geben, gilt dabei als der stärkste Hebel, um negative Auswirkungen dienender Führung abzufedern. Ebenfalls sei es elementar, klar bei den Erwartungen zu sein, betonen die Autorinnen und Autoren der Studie: Führungskräfte müssen unmissverständlich definieren, was Erfolg für sie bedeutet. Denn nur wenn die Mitarbeitenden wissen, woran sie gemessen werden, können sie ihre Autonomie wirksam nutzen.</w:t>
      </w:r>
    </w:p>
    <w:p>
      <w:bookmarkStart w:id="95" w:name="Textbox3"/>
      <w:r/>
      <w:r>
        <w:fldChar w:fldCharType="begin">
          <w:ffData>
            <w:name w:val="Textbox3"/>
            <w:enabled/>
            <w:calcOnExit w:val="0"/>
            <w:textInput/>
            <w:vAlign w:val="top"/>
            <w:dim t="141" b="141" l="141" r="141" w:top="72" w:bottom="72" w:left="144" w:right="144">
              <w:width w:w="4221"/>
              <w:height w:h="7601"/>
            </w:dim>
            <w:shd w:val="clear" w:color="auto" w:fill="FFFFFF" tmshd="6553856, 16777215, 16777215"/>
            <w:top w:val="single" w:sz="8" w:space="0" w:color="000000" tmln="20, 20, 20, 0, 0"/>
            <w:bottom w:val="single" w:sz="8" w:space="0" w:color="000000" tmln="20, 20, 20, 0, 0"/>
            <w:left w:val="single" w:sz="8" w:space="0" w:color="000000" tmln="20, 20, 20, 0, 0"/>
            <w:right w:val="single" w:sz="8" w:space="0" w:color="000000" tmln="20, 20, 20, 0, 0"/>
          </w:ffData>
        </w:fldChar>
      </w:r>
      <w:r>
        <w:instrText xml:space="preserve"> FORMTEXT </w:instrText>
      </w:r>
      <w:r>
        <w:fldChar w:fldCharType="separate"/>
      </w:r>
      <w:r>
        <w:t>Dienend Führen, aber richtig: So gelingt Servant Leadership</w:t>
      </w:r>
    </w:p>
    <w:p>
      <w:pPr>
        <w:spacing/>
        <w:jc w:val="left"/>
        <w:rPr>
          <w:sz w:val="16"/>
          <w:szCs w:val="16"/>
        </w:rPr>
      </w:pPr>
      <w:r>
        <w:rPr>
          <w:sz w:val="16"/>
          <w:szCs w:val="16"/>
        </w:rPr>
        <w:t>Quelle: managerseminare.de; Studie "</w:t>
      </w:r>
      <w:r>
        <w:rPr>
          <w:sz w:val="16"/>
          <w:szCs w:val="16"/>
          <w:lang w:val="en-gb" w:eastAsia="en-gb" w:bidi="en-gb"/>
        </w:rPr>
        <w:t>The Double-Edged-Sword of Servant Leadership: Motivational Climates, Helping Behaviour, and Financial Performance"</w:t>
      </w:r>
      <w:r>
        <w:rPr>
          <w:sz w:val="16"/>
          <w:szCs w:val="16"/>
          <w:lang w:eastAsia="de-de" w:bidi="de-de"/>
        </w:rPr>
        <w:t xml:space="preserve"> des</w:t>
      </w:r>
      <w:r>
        <w:rPr>
          <w:sz w:val="16"/>
          <w:szCs w:val="16"/>
          <w:lang w:val="en-gb" w:eastAsia="en-gb" w:bidi="en-gb"/>
        </w:rPr>
        <w:t xml:space="preserve"> Centre of Applied Research </w:t>
      </w:r>
      <w:r>
        <w:rPr>
          <w:sz w:val="16"/>
          <w:szCs w:val="16"/>
          <w:lang w:eastAsia="de-de" w:bidi="de-de"/>
        </w:rPr>
        <w:t>der</w:t>
      </w:r>
      <w:r>
        <w:rPr>
          <w:sz w:val="16"/>
          <w:szCs w:val="16"/>
          <w:lang w:val="en-gb" w:eastAsia="en-gb" w:bidi="en-gb"/>
        </w:rPr>
        <w:t xml:space="preserve"> NHH Norwegian School of Economics</w:t>
      </w:r>
      <w:r>
        <w:rPr>
          <w:sz w:val="16"/>
          <w:szCs w:val="16"/>
        </w:rPr>
        <w:t>, n=120 KMU und deren Führungskräfte, 2025.</w:t>
      </w:r>
    </w:p>
    <w:p>
      <w:pPr>
        <w:numPr>
          <w:ilvl w:val="0"/>
          <w:numId w:val="276"/>
        </w:numPr>
        <w:ind w:left="360" w:hanging="369"/>
      </w:pPr>
      <w:r>
        <w:t>Zusammenarbeit und gesunden Wettbewerb fördern:</w:t>
      </w:r>
    </w:p>
    <w:p>
      <w:pPr>
        <w:ind w:left="340"/>
      </w:pPr>
      <w:r>
        <w:t>Es ist essenziell, die Anstrengung und den Lernfortschritt einzelner Personen zu loben, doch auch das Erreichen von anspruchsvollen Zielen im Team muss klar und transparent belohnt werden.</w:t>
      </w:r>
    </w:p>
    <w:p>
      <w:pPr>
        <w:numPr>
          <w:ilvl w:val="0"/>
          <w:numId w:val="277"/>
        </w:numPr>
        <w:ind w:left="360" w:hanging="369"/>
      </w:pPr>
      <w:r>
        <w:t>Mehr Autonomie fürs Team</w:t>
      </w:r>
    </w:p>
    <w:p>
      <w:pPr>
        <w:ind w:left="340"/>
      </w:pPr>
      <w:r>
        <w:t>Es ist wichtig, Verantwortung zu übertragen und den Mitarbeitenden die Freiheit zu geben, selbst zu entscheiden, wie sie ihre Aufgabe erledigen. Dafür braucht es Vertrauen, dass sie die besten Wege finden, ihre Ziele zu erreichen.</w:t>
      </w:r>
    </w:p>
    <w:p>
      <w:pPr>
        <w:numPr>
          <w:ilvl w:val="0"/>
          <w:numId w:val="278"/>
        </w:numPr>
        <w:ind w:left="360" w:hanging="369"/>
      </w:pPr>
      <w:r>
        <w:t>Klare Erwartungen setzen</w:t>
      </w:r>
    </w:p>
    <w:p>
      <w:pPr>
        <w:ind w:left="340"/>
      </w:pPr>
      <w:r>
        <w:t>Dienende Führung bedeutet nicht, schwammig bei den Zielen zu sein. Es gilt, unmissverständlich zu definieren, was Erfolg be</w:t>
      </w:r>
      <w:r>
        <w:rPr>
          <w:b/>
          <w:bCs/>
        </w:rPr>
        <w:t xml:space="preserve">deutet - sowohl für das Teamverhalten als </w:t>
      </w:r>
      <w:r>
        <w:t xml:space="preserve">auch für die Geschäftszahlen. </w:t>
      </w:r>
      <w:r>
        <w:fldChar w:fldCharType="end"/>
      </w:r>
      <w:r/>
      <w:bookmarkEnd w:id="95"/>
      <w:r/>
    </w:p>
    <w:p>
      <w:pPr>
        <w:pStyle w:val="para2"/>
        <w:numPr>
          <w:ilvl w:val="1"/>
          <w:numId w:val="42"/>
        </w:numPr>
        <w:ind w:left="578" w:hanging="578"/>
      </w:pPr>
      <w:r>
        <w:br w:type="page"/>
      </w:r>
      <w:bookmarkStart w:id="96" w:name="_TOC002122"/>
      <w:r/>
      <w:bookmarkEnd w:id="85"/>
      <w:r/>
      <w:bookmarkEnd w:id="96"/>
      <w:r/>
      <w:r>
        <w:rPr>
          <w:color w:val="007F7F"/>
          <w:sz w:val="28"/>
          <w:szCs w:val="28"/>
          <w:lang w:eastAsia="de-de" w:bidi="de-de"/>
        </w:rPr>
        <w:t>Coachender Führungsstil</w:t>
      </w:r>
      <w:r/>
    </w:p>
    <w:p>
      <w:pPr>
        <w:ind w:firstLine="0"/>
        <w:spacing w:after="120" w:line="288"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 w:val="16"/>
          <w:szCs w:val="16"/>
        </w:rPr>
      </w:pPr>
      <w:r>
        <w:rPr>
          <w:rFonts w:eastAsia="Cambria" w:cs="Basic Roman"/>
          <w:sz w:val="16"/>
          <w:szCs w:val="16"/>
        </w:rPr>
        <w:t xml:space="preserve">Auszüge aus: </w:t>
      </w:r>
      <w:r>
        <w:rPr>
          <w:rStyle w:val="char29"/>
          <w:rFonts w:eastAsia="Cambria" w:cs="Basic Roman"/>
          <w:sz w:val="16"/>
          <w:szCs w:val="16"/>
        </w:rPr>
        <w:t>https://www.marcus-hein.de/coachender-fuehrungsstil/</w:t>
      </w:r>
      <w:r>
        <w:rPr>
          <w:rFonts w:eastAsia="Cambria" w:cs="Basic Roman"/>
          <w:sz w:val="16"/>
          <w:szCs w:val="16"/>
        </w:rPr>
        <w:t>, 26.07.2026</w:t>
      </w:r>
    </w:p>
    <w:p>
      <w:r>
        <w:t>Coaching und Führung sind zwei grundlegend verschiedene Rollen – mit unterschiedlichen Zielen, Verantwortlichkeiten und Grenzen. Trotzdem gibt es gute Gründe, Coaching-Skills in der Führung zu nutzen. Entscheidend ist, zu verstehen, wo und wie das sinnvoll ist – und wann Führung einfach Führung bleiben muss.</w:t>
      </w:r>
    </w:p>
    <w:p>
      <w:bookmarkStart w:id="97" w:name="_TOC000009"/>
      <w:r/>
    </w:p>
    <w:p>
      <w:pPr>
        <w:pStyle w:val="para3"/>
        <w:numPr>
          <w:ilvl w:val="2"/>
          <w:numId w:val="42"/>
        </w:numPr>
        <w:ind w:left="737" w:hanging="737"/>
      </w:pPr>
      <w:r>
        <w:br w:type="column"/>
      </w:r>
      <w:bookmarkStart w:id="98" w:name="_TOC000021"/>
      <w:r>
        <w:t>Führung ist nicht Coaching – zwei Rollen, zwei Logiken.</w:t>
      </w:r>
      <w:bookmarkEnd w:id="97"/>
      <w:r/>
      <w:bookmarkEnd w:id="98"/>
      <w:r/>
    </w:p>
    <w:p>
      <w:r>
        <w:t>Viele Unternehmen propagieren heute: „Führungskräfte müssen Coaches sein.“ Doch Coaching folgt einer völlig anderen Logik als Führung.</w:t>
      </w:r>
    </w:p>
    <w:p>
      <w:r>
        <w:t>Fazit: Eine Führungskraft kann Coaching-Techniken nutzen – aber sie ist kein Coach.</w:t>
      </w:r>
    </w:p>
    <w:p>
      <w:r>
        <w:t>Coaching bedeutet: der Mitarbeitende bestimmt Thema, Ziel und Tempo. Führung bedeutet: die Führungskraft trägt Verantwortung für Richtung, Ergebnisse und Rahmenbedingungen.</w:t>
      </w:r>
    </w:p>
    <w:p>
      <w:pPr>
        <w:ind w:left="737" w:hanging="737"/>
      </w:p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tbl>
      <w:tblPr>
        <w:tblStyle w:val="TableGrid"/>
        <w:name w:val="Tabelle208"/>
        <w:tabOrder w:val="0"/>
        <w:jc w:val="left"/>
        <w:tblInd w:w="0" w:type="dxa"/>
        <w:tblW w:w="8921" w:type="dxa"/>
        <w:pPr>
          <w:ind w:firstLine="0"/>
          <w:spacing/>
          <w:jc w:val="left"/>
        </w:pPr>
        <w:tblLook w:val="04A0" w:firstRow="1" w:lastRow="0" w:firstColumn="1" w:lastColumn="0" w:noHBand="0" w:noVBand="1"/>
      </w:tblPr>
      <w:tblGrid>
        <w:gridCol w:w="1600"/>
        <w:gridCol w:w="3385"/>
        <w:gridCol w:w="3936"/>
      </w:tblGrid>
      <w:tr>
        <w:trPr>
          <w:tblHeader w:val="0"/>
          <w:cantSplit w:val="0"/>
          <w:trHeight w:val="0" w:hRule="auto"/>
        </w:trPr>
        <w:tc>
          <w:tcPr>
            <w:tcW w:w="1600" w:type="dxa"/>
            <w:tcMar>
              <w:top w:w="57" w:type="dxa"/>
              <w:left w:w="57" w:type="dxa"/>
              <w:bottom w:w="57" w:type="dxa"/>
              <w:right w:w="57" w:type="dxa"/>
            </w:tcMar>
            <w:tmTcPr id="1785596603" protected="0"/>
          </w:tcPr>
          <w:p>
            <w:pPr>
              <w:spacing/>
              <w:jc w:val="left"/>
            </w:pPr>
            <w:r/>
          </w:p>
        </w:tc>
        <w:tc>
          <w:tcPr>
            <w:tcW w:w="3385" w:type="dxa"/>
            <w:tcMar>
              <w:top w:w="57" w:type="dxa"/>
              <w:left w:w="57" w:type="dxa"/>
              <w:bottom w:w="57" w:type="dxa"/>
              <w:right w:w="57" w:type="dxa"/>
            </w:tcMar>
            <w:tmTcPr id="1785596603" protected="0"/>
          </w:tcPr>
          <w:p>
            <w:pPr>
              <w:pStyle w:val="para0"/>
              <w:spacing w:after="0" w:line="240" w:lineRule="auto"/>
              <w:jc w:val="left"/>
            </w:pPr>
            <w:r>
              <w:t>Coaching</w:t>
            </w:r>
          </w:p>
        </w:tc>
        <w:tc>
          <w:tcPr>
            <w:tcW w:w="3936" w:type="dxa"/>
            <w:tcMar>
              <w:top w:w="57" w:type="dxa"/>
              <w:left w:w="57" w:type="dxa"/>
              <w:bottom w:w="57" w:type="dxa"/>
              <w:right w:w="57" w:type="dxa"/>
            </w:tcMar>
            <w:tmTcPr id="1785596603" protected="0"/>
          </w:tcPr>
          <w:p>
            <w:pPr>
              <w:pStyle w:val="para0"/>
              <w:spacing w:after="0" w:line="240" w:lineRule="auto"/>
              <w:jc w:val="left"/>
            </w:pPr>
            <w:r>
              <w:t>Führung</w:t>
            </w:r>
          </w:p>
        </w:tc>
      </w:tr>
      <w:tr>
        <w:trPr>
          <w:tblHeader w:val="0"/>
          <w:cantSplit w:val="0"/>
          <w:trHeight w:val="0" w:hRule="auto"/>
        </w:trPr>
        <w:tc>
          <w:tcPr>
            <w:tcW w:w="1600" w:type="dxa"/>
            <w:tcMar>
              <w:top w:w="57" w:type="dxa"/>
              <w:left w:w="57" w:type="dxa"/>
              <w:bottom w:w="57" w:type="dxa"/>
              <w:right w:w="57" w:type="dxa"/>
            </w:tcMar>
            <w:tmTcPr id="1785596603" protected="0"/>
          </w:tcPr>
          <w:p>
            <w:pPr>
              <w:pStyle w:val="para0"/>
              <w:spacing w:after="0" w:line="240" w:lineRule="auto"/>
              <w:jc w:val="left"/>
            </w:pPr>
            <w:r>
              <w:t>Thema</w:t>
            </w:r>
          </w:p>
        </w:tc>
        <w:tc>
          <w:tcPr>
            <w:tcW w:w="3385" w:type="dxa"/>
            <w:tcMar>
              <w:top w:w="57" w:type="dxa"/>
              <w:left w:w="57" w:type="dxa"/>
              <w:bottom w:w="57" w:type="dxa"/>
              <w:right w:w="57" w:type="dxa"/>
            </w:tcMar>
            <w:tmTcPr id="1785596603" protected="0"/>
          </w:tcPr>
          <w:p>
            <w:pPr>
              <w:pStyle w:val="para0"/>
              <w:spacing w:after="0" w:line="240" w:lineRule="auto"/>
              <w:jc w:val="left"/>
            </w:pPr>
            <w:r>
              <w:t>Thema des Klienten</w:t>
            </w:r>
          </w:p>
        </w:tc>
        <w:tc>
          <w:tcPr>
            <w:tcW w:w="3936" w:type="dxa"/>
            <w:tcMar>
              <w:top w:w="57" w:type="dxa"/>
              <w:left w:w="57" w:type="dxa"/>
              <w:bottom w:w="57" w:type="dxa"/>
              <w:right w:w="57" w:type="dxa"/>
            </w:tcMar>
            <w:tmTcPr id="1785596603" protected="0"/>
          </w:tcPr>
          <w:p>
            <w:pPr>
              <w:pStyle w:val="para0"/>
              <w:spacing w:after="0" w:line="240" w:lineRule="auto"/>
              <w:jc w:val="left"/>
            </w:pPr>
            <w:r>
              <w:t>Thema des Unternehmens und/oder der Führungskraft bzw. Verantwortungsbereichs</w:t>
            </w:r>
          </w:p>
        </w:tc>
      </w:tr>
      <w:tr>
        <w:trPr>
          <w:tblHeader w:val="0"/>
          <w:cantSplit w:val="0"/>
          <w:trHeight w:val="0" w:hRule="auto"/>
        </w:trPr>
        <w:tc>
          <w:tcPr>
            <w:tcW w:w="1600" w:type="dxa"/>
            <w:tcMar>
              <w:top w:w="57" w:type="dxa"/>
              <w:left w:w="57" w:type="dxa"/>
              <w:bottom w:w="57" w:type="dxa"/>
              <w:right w:w="57" w:type="dxa"/>
            </w:tcMar>
            <w:tmTcPr id="1785596603" protected="0"/>
          </w:tcPr>
          <w:p>
            <w:pPr>
              <w:pStyle w:val="para0"/>
              <w:spacing w:after="0" w:line="240" w:lineRule="auto"/>
              <w:jc w:val="left"/>
            </w:pPr>
            <w:r>
              <w:t>Ziel</w:t>
            </w:r>
          </w:p>
        </w:tc>
        <w:tc>
          <w:tcPr>
            <w:tcW w:w="3385" w:type="dxa"/>
            <w:tcMar>
              <w:top w:w="57" w:type="dxa"/>
              <w:left w:w="57" w:type="dxa"/>
              <w:bottom w:w="57" w:type="dxa"/>
              <w:right w:w="57" w:type="dxa"/>
            </w:tcMar>
            <w:tmTcPr id="1785596603" protected="0"/>
          </w:tcPr>
          <w:p>
            <w:pPr>
              <w:pStyle w:val="para0"/>
              <w:spacing w:after="0" w:line="240" w:lineRule="auto"/>
              <w:jc w:val="left"/>
            </w:pPr>
            <w:r>
              <w:t>Selbstreflexion &amp; Selbstverantwortung</w:t>
            </w:r>
          </w:p>
        </w:tc>
        <w:tc>
          <w:tcPr>
            <w:tcW w:w="3936" w:type="dxa"/>
            <w:tcMar>
              <w:top w:w="57" w:type="dxa"/>
              <w:left w:w="57" w:type="dxa"/>
              <w:bottom w:w="57" w:type="dxa"/>
              <w:right w:w="57" w:type="dxa"/>
            </w:tcMar>
            <w:tmTcPr id="1785596603" protected="0"/>
          </w:tcPr>
          <w:p>
            <w:pPr>
              <w:pStyle w:val="para0"/>
              <w:spacing w:after="0" w:line="240" w:lineRule="auto"/>
              <w:jc w:val="left"/>
            </w:pPr>
            <w:r>
              <w:t>Zielerreichung &amp; Ergebnisverantwortung</w:t>
            </w:r>
          </w:p>
        </w:tc>
      </w:tr>
      <w:tr>
        <w:trPr>
          <w:tblHeader w:val="0"/>
          <w:cantSplit w:val="0"/>
          <w:trHeight w:val="0" w:hRule="auto"/>
        </w:trPr>
        <w:tc>
          <w:tcPr>
            <w:tcW w:w="1600" w:type="dxa"/>
            <w:tcMar>
              <w:top w:w="57" w:type="dxa"/>
              <w:left w:w="57" w:type="dxa"/>
              <w:bottom w:w="57" w:type="dxa"/>
              <w:right w:w="57" w:type="dxa"/>
            </w:tcMar>
            <w:tmTcPr id="1785596603" protected="0"/>
          </w:tcPr>
          <w:p>
            <w:pPr>
              <w:pStyle w:val="para0"/>
              <w:spacing w:after="0" w:line="240" w:lineRule="auto"/>
              <w:jc w:val="left"/>
            </w:pPr>
            <w:r>
              <w:t>Rolle</w:t>
            </w:r>
          </w:p>
        </w:tc>
        <w:tc>
          <w:tcPr>
            <w:tcW w:w="3385" w:type="dxa"/>
            <w:tcMar>
              <w:top w:w="57" w:type="dxa"/>
              <w:left w:w="57" w:type="dxa"/>
              <w:bottom w:w="57" w:type="dxa"/>
              <w:right w:w="57" w:type="dxa"/>
            </w:tcMar>
            <w:tmTcPr id="1785596603" protected="0"/>
          </w:tcPr>
          <w:p>
            <w:pPr>
              <w:pStyle w:val="para0"/>
              <w:spacing w:after="0" w:line="240" w:lineRule="auto"/>
              <w:jc w:val="left"/>
            </w:pPr>
            <w:r>
              <w:t>Prozessbegleiter, neutral, ergebnisoffen</w:t>
            </w:r>
          </w:p>
        </w:tc>
        <w:tc>
          <w:tcPr>
            <w:tcW w:w="3936" w:type="dxa"/>
            <w:tcMar>
              <w:top w:w="57" w:type="dxa"/>
              <w:left w:w="57" w:type="dxa"/>
              <w:bottom w:w="57" w:type="dxa"/>
              <w:right w:w="57" w:type="dxa"/>
            </w:tcMar>
            <w:tmTcPr id="1785596603" protected="0"/>
          </w:tcPr>
          <w:p>
            <w:pPr>
              <w:pStyle w:val="para0"/>
              <w:spacing w:after="0" w:line="240" w:lineRule="auto"/>
              <w:jc w:val="left"/>
            </w:pPr>
            <w:r>
              <w:t>Gestalter, Entscheider, Richtungsgeber</w:t>
            </w:r>
          </w:p>
        </w:tc>
      </w:tr>
      <w:tr>
        <w:trPr>
          <w:tblHeader w:val="0"/>
          <w:cantSplit w:val="0"/>
          <w:trHeight w:val="0" w:hRule="auto"/>
        </w:trPr>
        <w:tc>
          <w:tcPr>
            <w:tcW w:w="1600" w:type="dxa"/>
            <w:tcMar>
              <w:top w:w="57" w:type="dxa"/>
              <w:left w:w="57" w:type="dxa"/>
              <w:bottom w:w="57" w:type="dxa"/>
              <w:right w:w="57" w:type="dxa"/>
            </w:tcMar>
            <w:tmTcPr id="1785596603" protected="0"/>
          </w:tcPr>
          <w:p>
            <w:pPr>
              <w:pStyle w:val="para0"/>
              <w:spacing w:after="0" w:line="240" w:lineRule="auto"/>
              <w:jc w:val="left"/>
            </w:pPr>
            <w:r>
              <w:t>Machtverhältnis</w:t>
            </w:r>
          </w:p>
        </w:tc>
        <w:tc>
          <w:tcPr>
            <w:tcW w:w="3385" w:type="dxa"/>
            <w:tcMar>
              <w:top w:w="57" w:type="dxa"/>
              <w:left w:w="57" w:type="dxa"/>
              <w:bottom w:w="57" w:type="dxa"/>
              <w:right w:w="57" w:type="dxa"/>
            </w:tcMar>
            <w:tmTcPr id="1785596603" protected="0"/>
          </w:tcPr>
          <w:p>
            <w:pPr>
              <w:pStyle w:val="para0"/>
              <w:spacing w:after="0" w:line="240" w:lineRule="auto"/>
              <w:jc w:val="left"/>
            </w:pPr>
            <w:r>
              <w:t>Beziehung auf Augenhöhe</w:t>
            </w:r>
          </w:p>
        </w:tc>
        <w:tc>
          <w:tcPr>
            <w:tcW w:w="3936" w:type="dxa"/>
            <w:tcMar>
              <w:top w:w="57" w:type="dxa"/>
              <w:left w:w="57" w:type="dxa"/>
              <w:bottom w:w="57" w:type="dxa"/>
              <w:right w:w="57" w:type="dxa"/>
            </w:tcMar>
            <w:tmTcPr id="1785596603" protected="0"/>
          </w:tcPr>
          <w:p>
            <w:pPr>
              <w:pStyle w:val="para0"/>
              <w:spacing w:after="0" w:line="240" w:lineRule="auto"/>
              <w:jc w:val="left"/>
            </w:pPr>
            <w:r>
              <w:t>Hierarchisches Verhältnis (auch wenn auf Augenhöhe miteinander spricht)</w:t>
            </w:r>
          </w:p>
        </w:tc>
      </w:tr>
      <w:tr>
        <w:trPr>
          <w:tblHeader w:val="0"/>
          <w:cantSplit w:val="0"/>
          <w:trHeight w:val="0" w:hRule="auto"/>
        </w:trPr>
        <w:tc>
          <w:tcPr>
            <w:tcW w:w="1600" w:type="dxa"/>
            <w:tcMar>
              <w:top w:w="57" w:type="dxa"/>
              <w:left w:w="57" w:type="dxa"/>
              <w:bottom w:w="57" w:type="dxa"/>
              <w:right w:w="57" w:type="dxa"/>
            </w:tcMar>
            <w:tmTcPr id="1785596603" protected="0"/>
          </w:tcPr>
          <w:p>
            <w:pPr>
              <w:pStyle w:val="para0"/>
              <w:spacing w:after="0" w:line="240" w:lineRule="auto"/>
              <w:jc w:val="left"/>
            </w:pPr>
            <w:r>
              <w:t>Fokus</w:t>
            </w:r>
          </w:p>
        </w:tc>
        <w:tc>
          <w:tcPr>
            <w:tcW w:w="3385" w:type="dxa"/>
            <w:tcMar>
              <w:top w:w="57" w:type="dxa"/>
              <w:left w:w="57" w:type="dxa"/>
              <w:bottom w:w="57" w:type="dxa"/>
              <w:right w:w="57" w:type="dxa"/>
            </w:tcMar>
            <w:tmTcPr id="1785596603" protected="0"/>
          </w:tcPr>
          <w:p>
            <w:pPr>
              <w:pStyle w:val="para0"/>
              <w:spacing w:after="0" w:line="240" w:lineRule="auto"/>
              <w:jc w:val="left"/>
            </w:pPr>
            <w:r>
              <w:t>Entwicklung im Interesse des Klienten</w:t>
            </w:r>
          </w:p>
        </w:tc>
        <w:tc>
          <w:tcPr>
            <w:tcW w:w="3936" w:type="dxa"/>
            <w:tcMar>
              <w:top w:w="57" w:type="dxa"/>
              <w:left w:w="57" w:type="dxa"/>
              <w:bottom w:w="57" w:type="dxa"/>
              <w:right w:w="57" w:type="dxa"/>
            </w:tcMar>
            <w:tmTcPr id="1785596603" protected="0"/>
          </w:tcPr>
          <w:p>
            <w:pPr>
              <w:pStyle w:val="para0"/>
              <w:spacing w:after="0" w:line="240" w:lineRule="auto"/>
              <w:jc w:val="left"/>
            </w:pPr>
            <w:r>
              <w:t>Entwicklung im Interesse und Einklang mit Unternehmenszielen</w:t>
            </w:r>
          </w:p>
        </w:tc>
      </w:tr>
    </w:tbl>
    <w:p>
      <w:r>
        <w:t>D Lo  Führu  aching</w:t>
      </w:r>
    </w:p>
    <w:p>
      <w:pPr>
        <w:tabs defTabSz="708">
          <w:tab w:val="left" w:pos="2324" w:leader="none"/>
          <w:tab w:val="left" w:pos="6180" w:leader="none"/>
        </w:tabs>
      </w:pPr>
      <w:r>
        <w:tab/>
        <w:tab/>
      </w:r>
      <w:r>
        <w:rPr>
          <w:u w:color="auto" w:val="single"/>
        </w:rPr>
        <w:tab/>
      </w:r>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42"/>
        </w:numPr>
        <w:ind w:left="737" w:hanging="737"/>
      </w:pPr>
      <w:bookmarkStart w:id="99" w:name="_TOC000012"/>
      <w:r>
        <w:t>Die „lethologische Begabung“ – warum Coaches „nicht wissen“</w:t>
      </w:r>
      <w:bookmarkEnd w:id="99"/>
      <w:r/>
    </w:p>
    <w:p>
      <w:r>
        <w:rPr>
          <w:noProof/>
        </w:rPr>
        <mc:AlternateContent>
          <mc:Choice Requires="wps">
            <w:drawing>
              <wp:anchor distT="36195" distB="36195" distL="107950" distR="107950" simplePos="0" relativeHeight="251658252" behindDoc="0" locked="0" layoutInCell="0" hidden="0" allowOverlap="1">
                <wp:simplePos x="0" y="0"/>
                <wp:positionH relativeFrom="column">
                  <wp:posOffset>1308100</wp:posOffset>
                </wp:positionH>
                <wp:positionV relativeFrom="paragraph">
                  <wp:posOffset>514985</wp:posOffset>
                </wp:positionV>
                <wp:extent cx="1351915" cy="2029460"/>
                <wp:effectExtent l="12700" t="12700" r="12700" b="12700"/>
                <wp:wrapSquare wrapText="bothSides"/>
                <wp:docPr id="12" name="Textbox2"/>
                <wp:cNvGraphicFramePr/>
                <a:graphic xmlns:a="http://schemas.openxmlformats.org/drawingml/2006/main">
                  <a:graphicData uri="http://schemas.microsoft.com/office/word/2010/wordprocessingShape">
                    <wps:wsp>
                      <wps:cNvSpPr/>
                      <wps:spPr>
                        <a:xfrm>
                          <a:off x="0" y="0"/>
                          <a:ext cx="1351915" cy="2029460"/>
                        </a:xfrm>
                        <a:prstGeom prst="rect">
                          <a:avLst/>
                        </a:prstGeom>
                        <a:noFill/>
                        <a:ln w="12700">
                          <a:solidFill>
                            <a:srgbClr val="000000"/>
                          </a:solidFill>
                        </a:ln>
                      </wps:spPr>
                      <wps:txbx>
                        <w:txbxContent>
                          <w:p>
                            <w:pPr>
                              <w:spacing w:after="0"/>
                              <w:jc w:val="left"/>
                            </w:pPr>
                            <w:r>
                              <w:rPr>
                                <w:b/>
                                <w:bCs/>
                              </w:rPr>
                              <w:t>Lethologisch</w:t>
                            </w:r>
                            <w:r>
                              <w:t xml:space="preserve"> leitet sich von der Lethologie ab – der „Lehre vom Nichtwissen“. Es beschreibt eine bewusste Haltung der Offenheit und des bewussten Nicht-Wissens, die besonders in der Pädagogik, der Philosophie und der systemischen Beratung genutzt wird.</w:t>
                            </w:r>
                          </w:p>
                        </w:txbxContent>
                      </wps:txbx>
                      <wps:bodyPr spcFirstLastPara="1" vertOverflow="clip" horzOverflow="clip" lIns="71755" tIns="71755" rIns="71755" bIns="71755" upright="1">
                        <a:prstTxWarp prst="textNoShape">
                          <a:avLst/>
                        </a:prstTxWarp>
                        <a:noAutofit/>
                      </wps:bodyPr>
                    </wps:wsp>
                  </a:graphicData>
                </a:graphic>
              </wp:anchor>
            </w:drawing>
          </mc:Choice>
          <mc:Fallback>
            <w:pict>
              <v:rect id="Textbox2" o:spid="_x0000_s1026" style="position:absolute;margin-left:103.00pt;margin-top:40.55pt;width:106.45pt;height:159.80pt;z-index:251658252;mso-wrap-distance-left:8.50pt;mso-wrap-distance-top:2.85pt;mso-wrap-distance-right:8.50pt;mso-wrap-distance-bottom:2.85pt;mso-wrap-style:square" strokeweight="1.00pt" filled="f" o:insetmode="custom">
                <w10:wrap type="square" anchorx="text" anchory="text"/>
                <v:textbox inset="5.7pt,5.7pt,5.7pt,5.7pt">
                  <w:txbxContent>
                    <w:p>
                      <w:pPr>
                        <w:spacing w:after="0"/>
                        <w:jc w:val="left"/>
                      </w:pPr>
                      <w:r>
                        <w:rPr>
                          <w:b/>
                          <w:bCs/>
                        </w:rPr>
                        <w:t>Lethologisch</w:t>
                      </w:r>
                      <w:r>
                        <w:t xml:space="preserve"> leitet sich von der Lethologie ab – der „Lehre vom Nichtwissen“. Es beschreibt eine bewusste Haltung der Offenheit und des bewussten Nicht-Wissens, die besonders in der Pädagogik, der Philosophie und der systemischen Beratung genutzt wird.</w:t>
                      </w:r>
                    </w:p>
                  </w:txbxContent>
                </v:textbox>
              </v:rect>
            </w:pict>
          </mc:Fallback>
        </mc:AlternateContent>
      </w:r>
      <w:r>
        <w:t xml:space="preserve">Sonja Radatz, eine sehr geschätzte Coaching-Expertin, nennt sieben Voraussetzungen für eine systemische Coachinghaltung, darunter die </w:t>
      </w:r>
      <w:r>
        <w:rPr>
          <w:b/>
          <w:bCs/>
        </w:rPr>
        <w:t>lethologische Begabung</w:t>
      </w:r>
      <w:r>
        <w:t>. Sie beschreibt nach Heinz von Foerster die Fähigkeit, „nicht zu wissen“ – also ohne Hypothesen, Ratschläge oder Bewertungen in ein Gespräch zu gehen.</w:t>
      </w:r>
    </w:p>
    <w:p>
      <w:r>
        <w:t>Flientür Coaches ist diese Haltung essenziell. Sie stellen Fragen, hören zu, öffnen Perspektiven – aber sie geben keine Lösungen oder Lösungsideen vor. Dadurch wird der Klient befähigt, eigene Antworten und Lösungen zu entwickeln, die in sein System passen.</w:t>
      </w:r>
    </w:p>
    <w:p>
      <w:r/>
    </w:p>
    <w:p>
      <w:r>
        <w:br w:type="column"/>
      </w:r>
      <w:r>
        <w:t>Für Führungskräfte ist diese Haltung jedoch eine echte Herausforderung:</w:t>
      </w:r>
    </w:p>
    <w:p>
      <w:pPr>
        <w:pStyle w:val="para40"/>
        <w:numPr>
          <w:ilvl w:val="0"/>
          <w:numId w:val="58"/>
        </w:numPr>
        <w:ind w:left="454" w:hanging="284"/>
      </w:pPr>
      <w:r>
        <w:t>Einerseits ist es wertvoll, nicht sofort Lösungen vorzugeben, sondern Mitarbeitende selbst denken und entscheiden zu lassen. Wir bringen sie damit stärker in die Verantwortung.</w:t>
      </w:r>
    </w:p>
    <w:p>
      <w:pPr>
        <w:pStyle w:val="para40"/>
        <w:numPr>
          <w:ilvl w:val="0"/>
          <w:numId w:val="58"/>
        </w:numPr>
        <w:ind w:left="454" w:hanging="284"/>
      </w:pPr>
      <w:r>
        <w:t>Andererseits trägt die Führungskraft Verantwortung für Ergebnisse und kann nicht in jedem Kontext nichts wissen.</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Beispiel:</w:t>
      </w:r>
    </w:p>
    <w:p>
      <w:r>
        <w:t>Ein Mitarbeiter fragt: „Wie soll ich das Problem mit dem Kunden lösen?“</w:t>
      </w:r>
    </w:p>
    <w:p>
      <w:pPr>
        <w:pStyle w:val="para40"/>
        <w:numPr>
          <w:ilvl w:val="0"/>
          <w:numId w:val="58"/>
        </w:numPr>
        <w:ind w:left="454" w:hanging="284"/>
      </w:pPr>
      <w:r>
        <w:rPr>
          <w:b/>
          <w:bCs/>
        </w:rPr>
        <w:t>Coach-Haltung:</w:t>
      </w:r>
      <w:r>
        <w:t xml:space="preserve"> „Welche drei Wege fallen dir ein, um das Thema anzugehen?“</w:t>
      </w:r>
    </w:p>
    <w:p>
      <w:pPr>
        <w:pStyle w:val="para40"/>
        <w:numPr>
          <w:ilvl w:val="0"/>
          <w:numId w:val="58"/>
        </w:numPr>
        <w:ind w:left="454" w:hanging="284"/>
      </w:pPr>
      <w:r>
        <w:rPr>
          <w:b/>
          <w:bCs/>
        </w:rPr>
        <w:t>Führungshaltung:</w:t>
      </w:r>
      <w:r>
        <w:t xml:space="preserve"> „Was sind deine Ideen – und ich gebe dir Feedback, ob wir das so umsetzen können.“</w:t>
      </w:r>
    </w:p>
    <w:p>
      <w:r>
        <w:t xml:space="preserve">Das zeigt: Eine </w:t>
      </w:r>
      <w:r>
        <w:rPr>
          <w:b/>
          <w:bCs/>
        </w:rPr>
        <w:t>lethologische Grundhaltung</w:t>
      </w:r>
      <w:r>
        <w:t xml:space="preserve"> kann Führung enorm bereichern – wenn sie bewusst eingesetzt wird und die Führungskraft gleichzeitig ihre Rolle klar behält.</w:t>
      </w:r>
    </w:p>
    <w:p>
      <w:r/>
    </w:p>
    <w:p>
      <w:pPr>
        <w:pStyle w:val="para3"/>
        <w:numPr>
          <w:ilvl w:val="2"/>
          <w:numId w:val="42"/>
        </w:numPr>
        <w:ind w:left="737" w:hanging="737"/>
      </w:pPr>
      <w:r>
        <w:br w:type="page"/>
      </w:r>
      <w:bookmarkStart w:id="100" w:name="_TOC000013"/>
      <w:r>
        <w:t>Wo coachender Führungsstil passt – und wo nicht</w:t>
      </w:r>
      <w:bookmarkEnd w:id="100"/>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Verwirrung entsteht, wenn Mitarbeiterentwicklung automatisch mit einem coachenden Führungsstil gleichgesetzt wird.</w:t>
      </w:r>
    </w:p>
    <w:p>
      <w:pPr>
        <w:pStyle w:val="para40"/>
        <w:numPr>
          <w:ilvl w:val="0"/>
          <w:numId w:val="58"/>
        </w:numPr>
        <w:ind w:left="454" w:hanging="284"/>
      </w:pPr>
      <w:r>
        <w:rPr>
          <w:b/>
          <w:bCs/>
        </w:rPr>
        <w:t>Coachender Führungsstil:</w:t>
      </w:r>
      <w:r>
        <w:t xml:space="preserve"> orientiert sich stark am Mitarbeitenden, lässt viel Eigenraum, setzt auf Fragen statt Vorgaben.</w:t>
      </w:r>
    </w:p>
    <w:p>
      <w:pPr>
        <w:pStyle w:val="para40"/>
        <w:numPr>
          <w:ilvl w:val="0"/>
          <w:numId w:val="58"/>
        </w:numPr>
        <w:ind w:left="454" w:hanging="284"/>
      </w:pPr>
      <w:r>
        <w:rPr>
          <w:b/>
          <w:bCs/>
        </w:rPr>
        <w:t>Klassische Führung:</w:t>
      </w:r>
      <w:r>
        <w:t xml:space="preserve"> behält das Unternehmensziel fest im Blick, setzt klare Rahmenbedingungen und bewertet Leistung.</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b/>
          <w:bCs/>
        </w:rPr>
        <w:t>Thema und Ziel</w:t>
      </w:r>
      <w:r>
        <w:rPr>
          <w:rFonts w:eastAsia="Cambria" w:cs="Basic Roman"/>
        </w:rPr>
        <w:t xml:space="preserve"> unterscheiden beide Rollen:</w:t>
      </w:r>
    </w:p>
    <w:p>
      <w:pPr>
        <w:pStyle w:val="para40"/>
        <w:numPr>
          <w:ilvl w:val="0"/>
          <w:numId w:val="58"/>
        </w:numPr>
        <w:ind w:left="454" w:hanging="284"/>
      </w:pPr>
      <w:r>
        <w:rPr>
          <w:b/>
          <w:bCs/>
        </w:rPr>
        <w:t>Coaching:</w:t>
      </w:r>
      <w:r>
        <w:t xml:space="preserve"> „Was ist für dich persönlich der beste Weg?“</w:t>
      </w:r>
    </w:p>
    <w:p>
      <w:pPr>
        <w:pStyle w:val="para40"/>
        <w:numPr>
          <w:ilvl w:val="0"/>
          <w:numId w:val="58"/>
        </w:numPr>
        <w:ind w:left="454" w:hanging="284"/>
      </w:pPr>
      <w:r>
        <w:rPr>
          <w:b/>
          <w:bCs/>
        </w:rPr>
        <w:t>Führung:</w:t>
      </w:r>
      <w:r>
        <w:t xml:space="preserve"> „Was bringt dich weiter und unterstützt gleichzeitig unser Team und unsere Ziele?“</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Beispiel:</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Ein Mitarbeitender überlegt, sich in eine neue Technologie einzuarbeiten:</w:t>
      </w:r>
    </w:p>
    <w:p>
      <w:pPr>
        <w:pStyle w:val="para40"/>
        <w:numPr>
          <w:ilvl w:val="0"/>
          <w:numId w:val="58"/>
        </w:numPr>
        <w:ind w:left="454" w:hanging="284"/>
      </w:pPr>
      <w:r>
        <w:rPr>
          <w:b/>
          <w:bCs/>
        </w:rPr>
        <w:t>Coach-Perspektive:</w:t>
      </w:r>
      <w:r>
        <w:t xml:space="preserve"> „Was motiviert dich an diesem Thema?“</w:t>
      </w:r>
    </w:p>
    <w:p>
      <w:pPr>
        <w:pStyle w:val="para40"/>
        <w:numPr>
          <w:ilvl w:val="0"/>
          <w:numId w:val="58"/>
        </w:numPr>
        <w:ind w:left="454" w:hanging="284"/>
      </w:pPr>
      <w:r>
        <w:rPr>
          <w:b/>
          <w:bCs/>
        </w:rPr>
        <w:t>Führungs-Perspektive:</w:t>
      </w:r>
      <w:r>
        <w:t xml:space="preserve"> „Diese Technologie ist strategisch wichtig für uns – lass uns schauen, wie wir deine Stärken gezielt dafür entwickeln können.“</w:t>
      </w:r>
    </w:p>
    <w:p>
      <w:pPr>
        <w:pStyle w:val="para3"/>
        <w:numPr>
          <w:ilvl w:val="2"/>
          <w:numId w:val="42"/>
        </w:numPr>
        <w:ind w:left="737" w:hanging="737"/>
      </w:pPr>
      <w:bookmarkStart w:id="101" w:name="_TOC000014"/>
      <w:r>
        <w:t>Coaching-Elemente, die Führungskräfte nutzen können</w:t>
      </w:r>
      <w:bookmarkEnd w:id="101"/>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Coaching-Skills sind kein Ersatz für Führung, aber eine wertvolle Ergänzung. Führungskräfte können sich vier zentrale Elemente abschauen:</w:t>
      </w:r>
    </w:p>
    <w:p>
      <w:pPr>
        <w:numPr>
          <w:ilvl w:val="0"/>
          <w:numId w:val="65"/>
        </w:numPr>
        <w:ind w:left="360" w:hanging="360"/>
        <w:spacing w:line="240" w:lineRule="exact"/>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Offene Fragen stellen</w:t>
        <w:br w:type="textWrapping"/>
      </w:r>
      <w:r>
        <w:rPr>
          <w:rFonts w:eastAsia="Cambria" w:cs="Basic Roman"/>
        </w:rPr>
        <w:t>Statt schnelle Lösungen zu geben, Mitarbeitende zum Denken anregen: „Was wäre ein erster sinnvoller Schritt?“</w:t>
      </w:r>
      <w:r>
        <w:rPr>
          <w:rFonts w:eastAsia="Cambria" w:cs="Basic Roman"/>
          <w:b/>
          <w:bCs/>
        </w:rPr>
      </w:r>
    </w:p>
    <w:p>
      <w:pPr>
        <w:numPr>
          <w:ilvl w:val="0"/>
          <w:numId w:val="65"/>
        </w:numPr>
        <w:ind w:left="360" w:hanging="360"/>
        <w:spacing w:line="240" w:lineRule="exact"/>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Aktiv zuhören</w:t>
        <w:br w:type="textWrapping"/>
      </w:r>
      <w:r>
        <w:rPr>
          <w:rFonts w:eastAsia="Cambria" w:cs="Basic Roman"/>
        </w:rPr>
        <w:t>Nicht nur auf Inhalte achten, sondern auch auf Zwischentöne und Bedürfnisse.</w:t>
      </w:r>
      <w:r>
        <w:rPr>
          <w:rFonts w:eastAsia="Cambria" w:cs="Basic Roman"/>
          <w:b/>
          <w:bCs/>
        </w:rPr>
      </w:r>
    </w:p>
    <w:p>
      <w:pPr>
        <w:numPr>
          <w:ilvl w:val="0"/>
          <w:numId w:val="65"/>
        </w:numPr>
        <w:ind w:left="360" w:hanging="360"/>
        <w:spacing w:line="240" w:lineRule="exact"/>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Stärken und Ressourcen fördern</w:t>
        <w:br w:type="textWrapping"/>
      </w:r>
      <w:r>
        <w:rPr>
          <w:rFonts w:eastAsia="Cambria" w:cs="Basic Roman"/>
        </w:rPr>
        <w:t>Fokus auf Potenziale statt Defizite – das steigert Motivation und Leistungsbereitschaft.</w:t>
      </w:r>
      <w:r>
        <w:rPr>
          <w:rFonts w:eastAsia="Cambria" w:cs="Basic Roman"/>
          <w:b/>
          <w:bCs/>
        </w:rPr>
      </w:r>
    </w:p>
    <w:p>
      <w:pPr>
        <w:numPr>
          <w:ilvl w:val="0"/>
          <w:numId w:val="65"/>
        </w:numPr>
        <w:ind w:left="360" w:hanging="360"/>
        <w:spacing w:line="240" w:lineRule="exact"/>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Selbstverantwortung entwickeln</w:t>
        <w:br w:type="textWrapping"/>
      </w:r>
      <w:r>
        <w:rPr>
          <w:rFonts w:eastAsia="Cambria" w:cs="Basic Roman"/>
        </w:rPr>
        <w:t>Mitarbeitende befähigen, eigene Entscheidungen zu treffen, anstatt ständig Vorgaben zu erwarten.</w:t>
      </w:r>
      <w:r>
        <w:rPr>
          <w:rFonts w:eastAsia="Cambria" w:cs="Basic Roman"/>
          <w:b/>
          <w:bCs/>
        </w:rPr>
      </w:r>
    </w:p>
    <w:p>
      <w:pPr>
        <w:pStyle w:val="para3"/>
        <w:numPr>
          <w:ilvl w:val="2"/>
          <w:numId w:val="42"/>
        </w:numPr>
        <w:ind w:left="737" w:hanging="737"/>
      </w:pPr>
      <w:bookmarkStart w:id="102" w:name="_TOC000015"/>
      <w:r>
        <w:t>Klare Grenzen: Führung bleibt Führung</w:t>
      </w:r>
      <w:bookmarkEnd w:id="102"/>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Übernahme von Coaching-Elementen ist sinnvoll – aber gefährlich, wenn die Rolle verwischt.</w:t>
      </w:r>
    </w:p>
    <w:p>
      <w:pPr>
        <w:pStyle w:val="para40"/>
        <w:numPr>
          <w:ilvl w:val="0"/>
          <w:numId w:val="58"/>
        </w:numPr>
        <w:ind w:left="454" w:hanging="284"/>
      </w:pPr>
      <w:r>
        <w:t>Mitarbeitende müssen wissen, wann ihre Führungskraft ihre Entwicklung unterstützt und wann Leistung bewertet wird.</w:t>
      </w:r>
    </w:p>
    <w:p>
      <w:pPr>
        <w:pStyle w:val="para40"/>
        <w:numPr>
          <w:ilvl w:val="0"/>
          <w:numId w:val="58"/>
        </w:numPr>
        <w:ind w:left="454" w:hanging="284"/>
      </w:pPr>
      <w:r>
        <w:t>Offene Fragen und eine coachende Haltung sind wertvoll, solange die Verantwortung für Ergebnisse klar bei der Führungskraft bleibt.</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Merksatz:</w:t>
      </w:r>
    </w:p>
    <w:p>
      <w:pPr>
        <w:ind w:left="567" w:right="675" w:firstLine="0"/>
        <w:spacing w:line="240" w:lineRule="exact"/>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i/>
          <w:iCs/>
        </w:rPr>
      </w:pPr>
      <w:r>
        <w:rPr>
          <w:rFonts w:eastAsia="Cambria" w:cs="Basic Roman"/>
          <w:b/>
          <w:bCs/>
          <w:i/>
          <w:iCs/>
        </w:rPr>
        <w:t>„Nutzen Sie die Kraft guter Fragen – aber vergessen Sie nicht: Führung heißt, Richtung geben.“</w:t>
      </w:r>
    </w:p>
    <w:p>
      <w:pPr>
        <w:pStyle w:val="para3"/>
        <w:numPr>
          <w:ilvl w:val="2"/>
          <w:numId w:val="42"/>
        </w:numPr>
        <w:ind w:left="737" w:hanging="737"/>
      </w:pPr>
      <w:bookmarkStart w:id="103" w:name="_TOC000016"/>
      <w:r>
        <w:t>Fazit</w:t>
      </w:r>
      <w:bookmarkEnd w:id="103"/>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Ein coachender Führungsstil kann Mitarbeitende befähigen, motivieren und Potenziale freisetzen. Aber er darf nie die Führungsrolle ersetzen.</w:t>
      </w:r>
    </w:p>
    <w:p>
      <w:pPr>
        <w:pStyle w:val="para36"/>
        <w:numPr>
          <w:ilvl w:val="0"/>
          <w:numId w:val="58"/>
        </w:numPr>
        <w:ind w:left="454" w:hanging="284"/>
      </w:pPr>
      <w:r>
        <w:t>Coaching-Techniken: Ja, unbedingt.</w:t>
      </w:r>
    </w:p>
    <w:p>
      <w:pPr>
        <w:pStyle w:val="para36"/>
        <w:numPr>
          <w:ilvl w:val="0"/>
          <w:numId w:val="58"/>
        </w:numPr>
        <w:ind w:left="454" w:hanging="284"/>
      </w:pPr>
      <w:r>
        <w:t>Coaching-Rolle: Nein, nur in Ausnahmefällen.</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Die Kunst liegt darin, die Balance zu halten:</w:t>
      </w:r>
    </w:p>
    <w:p>
      <w:pPr>
        <w:pStyle w:val="para36"/>
        <w:numPr>
          <w:ilvl w:val="0"/>
          <w:numId w:val="58"/>
        </w:numPr>
        <w:ind w:left="454" w:hanging="284"/>
      </w:pPr>
      <w:r>
        <w:t>klare Orientierung geben,</w:t>
      </w:r>
    </w:p>
    <w:p>
      <w:pPr>
        <w:pStyle w:val="para36"/>
        <w:numPr>
          <w:ilvl w:val="0"/>
          <w:numId w:val="58"/>
        </w:numPr>
        <w:ind w:left="454" w:hanging="284"/>
      </w:pPr>
      <w:r>
        <w:t>Potenziale fördern,</w:t>
      </w:r>
    </w:p>
    <w:p>
      <w:pPr>
        <w:pStyle w:val="para36"/>
        <w:numPr>
          <w:ilvl w:val="0"/>
          <w:numId w:val="58"/>
        </w:numPr>
        <w:ind w:left="454" w:hanging="284"/>
      </w:pPr>
      <w:r>
        <w:t>gleichzeitig Eigenverantwortung stärken.</w:t>
      </w:r>
    </w:p>
    <w:p>
      <w:pPr>
        <w:ind w:firstLine="0"/>
        <w:spacing w:line="240" w:lineRule="exac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Wer das versteht, nutzt die besten Elemente beider Welten – und entwickelt Mitarbeitende, ohne seine Führungsaufgabe aus den Augen zu verlieren.</w:t>
      </w:r>
    </w:p>
    <w:p>
      <w:pPr>
        <w:spacing w:line="240" w:lineRule="exact"/>
      </w:pPr>
      <w:r/>
    </w:p>
    <w:p>
      <w:pPr>
        <w:spacing w:line="240" w:lineRule="exact"/>
      </w:pPr>
      <w:r/>
    </w:p>
    <w:p>
      <w:pPr>
        <w:pStyle w:val="para2"/>
        <w:numPr>
          <w:ilvl w:val="1"/>
          <w:numId w:val="42"/>
        </w:numPr>
        <w:ind w:left="578" w:hanging="578"/>
      </w:pPr>
      <w:r>
        <w:br w:type="page"/>
      </w:r>
      <w:bookmarkStart w:id="104" w:name="_TOC002069"/>
      <w:r>
        <w:t>Laterale Führung</w:t>
      </w:r>
      <w:bookmarkEnd w:id="104"/>
      <w:r/>
    </w:p>
    <w:p>
      <w:r>
        <w:t>Im Begriff der Lateralen Führung steckt der lateinische Begriff 'latus' für 'Seite'. Führungskräfte und Mitarbeitende arbeiten hier gleichberechtigt, ohne eine Hierarchiestruktur, zusammen. Die Führung erfolgt also nicht von oben nach unten, sondern aus der gleichen Ebene heraus.</w:t>
      </w:r>
    </w:p>
    <w:p>
      <w:r>
        <w:t xml:space="preserve">Laterale Führung bedeutet Führen ohne Vorgesetztenfunktion. Die Verantwortung wird innerhalb des Teams aufgeteilt. Dadurch kommen die Sichtweisen und Entscheidungen der einzelnen Mitarbeitenden stärker zum Tragen, die Motivation und das persönliche Engagement werden gestärkt. </w:t>
      </w:r>
    </w:p>
    <w:p>
      <w:r>
        <w:t>Damit die Teamarbeit gelingt, müssen Führungskräfte ohne Weisungsbefugnis die unterschiedlichen Interessen aller Beteiligten berücksichtigen. Dies beinhaltet nicht nur die Koordination der einzelnen Aufgaben und das Aushandeln von Kompromissen, sondern auch eine sanfte Steuerung der Mitarbeitenden, um sie in die gewünschte Richtung zu lenken – schließlich soll ein gemeinsames übergeordnetes Ziel erreicht werden. Menschenkenntnis, Verhandlungsgeschick und Einfühlungsvermögen sind deshalb für das Laterale Führen unabdingbar.</w:t>
      </w:r>
    </w:p>
    <w:p>
      <w:r>
        <w:t>Beispiele aus Unternehmen, die auf die Laterale Führung setzen, zeigen zudem eine effizientere Arbeitsweise und einen offeneren Umgang mit Fehlern.</w:t>
      </w:r>
    </w:p>
    <w:p>
      <w:r>
        <w:t>Laterale Führung ist Führung ohne Weisungsbefugnis. Ihre Grundlage sind folgende vier Punkte:</w:t>
      </w:r>
    </w:p>
    <w:p>
      <w:pPr>
        <w:pStyle w:val="para40"/>
        <w:numPr>
          <w:ilvl w:val="0"/>
          <w:numId w:val="58"/>
        </w:numPr>
        <w:ind w:left="454" w:hanging="284"/>
      </w:pPr>
      <w:r>
        <w:rPr>
          <w:b/>
          <w:bCs/>
        </w:rPr>
        <w:t>Kommunikation:</w:t>
      </w:r>
      <w:r>
        <w:t xml:space="preserve"> Führungskräfte sorgen für Interaktion und Dialog innerhalb des Teams. Bei Verständigungsproblemen greifen sie vermittelnd ein.</w:t>
      </w:r>
    </w:p>
    <w:p>
      <w:pPr>
        <w:pStyle w:val="para40"/>
        <w:numPr>
          <w:ilvl w:val="0"/>
          <w:numId w:val="58"/>
        </w:numPr>
        <w:ind w:left="454" w:hanging="284"/>
      </w:pPr>
      <w:r>
        <w:rPr>
          <w:b/>
          <w:bCs/>
        </w:rPr>
        <w:t>Verständigung:</w:t>
      </w:r>
      <w:r>
        <w:t xml:space="preserve"> Individuelle Auffassungen und Überzeugungen müssen unter einen Hut gebracht werden. Es werden gemeinsame Herausforderungen und Werte definiert, um das übergeordnete Ziel zu erreichen.</w:t>
      </w:r>
    </w:p>
    <w:p>
      <w:pPr>
        <w:pStyle w:val="para40"/>
        <w:numPr>
          <w:ilvl w:val="0"/>
          <w:numId w:val="58"/>
        </w:numPr>
        <w:ind w:left="454" w:hanging="284"/>
      </w:pPr>
      <w:r>
        <w:rPr>
          <w:b/>
          <w:bCs/>
        </w:rPr>
        <w:t>Vertrauen:</w:t>
      </w:r>
      <w:r>
        <w:t xml:space="preserve"> Die Grundlagen für die Zusammenarbeit werden gemeinsam erarbeitet. Die dabei festgelegten Regeln gelten für alle Mitarbeitenden gleichermaßen, für deren Einhaltung ist die Führungskraft verantwortlich.</w:t>
      </w:r>
    </w:p>
    <w:p>
      <w:pPr>
        <w:pStyle w:val="para40"/>
        <w:numPr>
          <w:ilvl w:val="0"/>
          <w:numId w:val="58"/>
        </w:numPr>
        <w:ind w:left="454" w:hanging="284"/>
      </w:pPr>
      <w:r>
        <w:rPr>
          <w:b/>
          <w:bCs/>
        </w:rPr>
        <w:t>Macht:</w:t>
      </w:r>
      <w:r>
        <w:t xml:space="preserve"> Fachwissen, Expertise, Sympathie, Charisma und eine gewisse Informationshoheit können die eigene Macht im Team stärken.</w:t>
      </w:r>
    </w:p>
    <w:p>
      <w:r>
        <w:t>Die Mitarbeitenden sind Experten für ihre Tätigkeit. Daher ist es sinnvoll, die Verantwortung innerhalb eines Unternehmens nicht mehr einer einzelnen Führungskraft zu übertragen, sondern die Mitarbeitenden demokratisch in den Entscheidungsprozess mit einzubeziehen. Durch ihr breites Fachwissen bringen sich die Mitarbeitenden in die Projekt- oder Teamarbeit ein und sind dabei je nach Aufgabenstellung mehreren Vorgesetzten verpflichtet.</w:t>
      </w:r>
    </w:p>
    <w:p>
      <w:r>
        <w:t>Hier sind fünf Merkmale von Lateraler Führung:</w:t>
      </w:r>
    </w:p>
    <w:p>
      <w:pPr>
        <w:rPr>
          <w:b/>
          <w:bCs/>
        </w:rPr>
      </w:pPr>
      <w:r>
        <w:rPr>
          <w:b/>
          <w:bCs/>
        </w:rPr>
        <w:t>1. In Zielen denken statt Ziele setzen</w:t>
      </w:r>
    </w:p>
    <w:p>
      <w:r>
        <w:t>Wer in Zielen denkt, entwickelt gemeinsam mit Mitarbeitern und Partnern Visionen und vereinbart gemeinsame Ziele mit ihnen. Er beteiligt sie an dem ganzen Prozess. Wissen, Kompetenz und Informationen werden geteilt.</w:t>
      </w:r>
    </w:p>
    <w:p>
      <w:pPr>
        <w:rPr>
          <w:b/>
          <w:bCs/>
        </w:rPr>
      </w:pPr>
      <w:r>
        <w:rPr>
          <w:b/>
          <w:bCs/>
        </w:rPr>
        <w:t>2. Teams sich selbst organisieren lassen</w:t>
      </w:r>
    </w:p>
    <w:p>
      <w:r>
        <w:t>Es werden klare Prioritäten vereinbart, um sich nicht im Klein-Klein zu verlieren. Der Chef vertraut, statt zu delegieren. Der Abbau von Bürokratie und Hierarchien soll mehr Geschwindigkeit einbringen. Widersprüche innerhalb des Teams oder Projektes werden zum Thema gemacht und besprochen - mit dem Ergebnis, dass man sie ausräumen kann oder akzeptieren muss.</w:t>
      </w:r>
    </w:p>
    <w:p>
      <w:pPr>
        <w:rPr>
          <w:b/>
          <w:bCs/>
        </w:rPr>
      </w:pPr>
      <w:r>
        <w:rPr>
          <w:b/>
          <w:bCs/>
        </w:rPr>
        <w:t>3. Überzeugen statt delegieren</w:t>
      </w:r>
    </w:p>
    <w:p>
      <w:r>
        <w:t>Eine Führungskraft hat klare Vorstellungen. Sie muss die Mitarbeitenden von diesen überzeugen. Dazu gehört der Spaß an Debatten und Kontroversen, Offenheit für kreative Lösungen und auch eine gewisse Lust an der Selbstinszenierung.</w:t>
      </w:r>
    </w:p>
    <w:p>
      <w:pPr>
        <w:rPr>
          <w:b/>
          <w:bCs/>
        </w:rPr>
      </w:pPr>
      <w:r>
        <w:rPr>
          <w:b/>
          <w:bCs/>
        </w:rPr>
        <w:t>4. Entscheiden und mitentscheiden lassen</w:t>
      </w:r>
    </w:p>
    <w:p>
      <w:r>
        <w:t>Die Aufgabe wird benannt und die Mitarbeitenden können ihre Expertise einbringen. Sie entwickeln gemeinsam eine Lösung - ihre Lösung. Die Führungskraft stellt dazu Fragen und gibt Anregungen. Hierdurch wird der Lösungsweg so beeinflusst, dass das Ergebnis im Sinne der Führungskraft ist. Da die Mitarbeitenden diese Lösung im Wesentlichen selbst entwickelt haben, sind sie bei der Umsetzung ganz anders engagiert, als wenn die Aufgabe direkt übertragen würde.</w:t>
      </w:r>
    </w:p>
    <w:p>
      <w:pPr>
        <w:rPr>
          <w:b/>
          <w:bCs/>
        </w:rPr>
      </w:pPr>
      <w:r>
        <w:rPr>
          <w:b/>
          <w:bCs/>
        </w:rPr>
        <w:t>5. Selbstverpflichtung statt Kontrolle</w:t>
      </w:r>
    </w:p>
    <w:p>
      <w:r>
        <w:t>Das Herzstück des klassischen Managements ist das Kontrollieren. Dabei gibt es zwei Ausprägungen: paranoides Überkontrollieren und Nichtkontrollieren.</w:t>
      </w:r>
    </w:p>
    <w:p>
      <w:r>
        <w:t xml:space="preserve">Besser ist das Arbeiten mit Selbstverpflichtungen. Dabei monitort der Vorgesetzte wichtige Entscheidungen des Teams. Statt von Kontrolle gibt es Feedback. Feedback hat mit Freiwilligkeit und Selbstverantwortung zu tun, während Kontrolle von außen kommt. Voraussetzung für das Gelingen von Selbstverpflichtungen ist Ergebnistransparenz. </w:t>
      </w:r>
    </w:p>
    <w:p>
      <w:r>
        <w:t>Unternehmen müssen auch bereit sein, hochmotivierte, qualifizierte Mitarbeiter machen zu lassen.</w:t>
      </w:r>
    </w:p>
    <w:p>
      <w:r/>
    </w:p>
    <w:p>
      <w:pPr>
        <w:pStyle w:val="para2"/>
        <w:numPr>
          <w:ilvl w:val="1"/>
          <w:numId w:val="42"/>
        </w:numPr>
        <w:ind w:left="578" w:hanging="578"/>
      </w:pPr>
      <w:r>
        <w:br w:type="page"/>
      </w:r>
      <w:bookmarkStart w:id="105" w:name="_TOC002292"/>
      <w:r>
        <w:t>Veränderungen - Change Management</w:t>
      </w:r>
      <w:bookmarkEnd w:id="105"/>
      <w:r/>
    </w:p>
    <w:p>
      <w:pPr>
        <w:spacing/>
        <w:jc w:val="left"/>
      </w:pPr>
      <w:r>
        <w:t>Quelle: XING-News von 27.06.2022</w:t>
      </w:r>
    </w:p>
    <w:p>
      <w:pPr>
        <w:spacing/>
        <w:jc w:val="left"/>
        <w:rPr>
          <w:sz w:val="16"/>
          <w:szCs w:val="16"/>
        </w:rPr>
      </w:pPr>
      <w:r>
        <w:rPr>
          <w:sz w:val="16"/>
          <w:szCs w:val="16"/>
        </w:rPr>
        <w:t>Von Lisa Drescher, Esther Nauenburg und Tim Warszta</w:t>
      </w:r>
    </w:p>
    <w:p>
      <w:pPr>
        <w:spacing/>
        <w:jc w:val="left"/>
        <w:rPr>
          <w:sz w:val="14"/>
          <w:szCs w:val="14"/>
        </w:rPr>
      </w:pPr>
      <w:r>
        <w:rPr>
          <w:sz w:val="14"/>
          <w:szCs w:val="14"/>
        </w:rPr>
        <w:t>https://www.personalwirtschaft.de/news/hr-organisation/wie-unternehmen-beschaeftigte-bei-change-prozessen-mitnehmen-138988/?xing_share=news</w:t>
      </w:r>
    </w:p>
    <w:p>
      <w:r>
        <w:t>Die Corona-Pandemie zwang zu Veränderungen in betrieblichen Abläufen, z.B. der Einführung von Homeoffice. Unternehmen standen vor der Herausforderung, Veränderungsmaßnahmen meist innerhalb sehr kurzer Zeit vorzunehmen. Solchen und anderen Krisen ist gemeinsam, dass Organisationen auf neue Entwicklungen und ihre Auswirkungen zügig reagieren müssen, obwohl sie bisher noch keine oder nur geringe Erfahrungen im Umgang mit der neuen Problemstellung sammeln konnten.</w:t>
      </w:r>
    </w:p>
    <w:p>
      <w:r>
        <w:t>In einigen Betrieben führen die Unsicherheiten zu unüberlegtem Aktionismus oder aber zu Passivität. Dabei bergen Krisen bekanntermaßen auch Chancen. Die Aufgabe der Verantwortlichen liegt darin, diese zu erkennen sowie operativ und strategisch angemessen zu reagieren, um einen Veränderungsprozess mit positiven Effekten einzuleiten.</w:t>
      </w:r>
    </w:p>
    <w:p>
      <w:r>
        <w:t>Ein wichtiger Stellhebel im betrieblichen Wandel ist die Einstellung der Mitarbeitenden. Wenn Unternehmen ihnen die Notwendigkeit vermitteln und Partizipationsmöglichkeiten schaffen, kann er gelingen.</w:t>
      </w:r>
    </w:p>
    <w:p>
      <w:r>
        <w:t>Zahlreiche wissenschaftliche Studien stellen heraus, dass die Reaktionen von Beschäftigten in Veränderungsprozessen als erfolgskritisch gelten und eine große Herausforderung für Geschäftsführung und HR darstellen. Ebenso wurde deutlich, dass in Krisenzeiten die Veränderungsbereitschaft der Mitarbeitenden höher ist, da diese offensichtlich notwendig ist.</w:t>
      </w:r>
    </w:p>
    <w:p>
      <w:pPr>
        <w:pStyle w:val="para3"/>
        <w:numPr>
          <w:ilvl w:val="2"/>
          <w:numId w:val="42"/>
        </w:numPr>
        <w:ind w:left="737" w:hanging="737"/>
      </w:pPr>
      <w:bookmarkStart w:id="106" w:name="_TOC002293"/>
      <w:r>
        <w:t>Handlungsempfehlungen</w:t>
      </w:r>
      <w:bookmarkEnd w:id="106"/>
      <w:r/>
    </w:p>
    <w:p>
      <w:r>
        <w:t>Wie kann es Unternehmen gelingen, krisenbedingte Veränderungsprozesse erfolgreich bei Mitarbeitenden zu implementieren? Die exemplarischen Handlungsempfehlungen zeigen, wie Arbeitgeber agieren sollten.</w:t>
      </w:r>
    </w:p>
    <w:p>
      <w:r/>
    </w:p>
    <w:p>
      <w:pPr>
        <w:pStyle w:val="para40"/>
        <w:numPr>
          <w:ilvl w:val="0"/>
          <w:numId w:val="58"/>
        </w:numPr>
        <w:ind w:left="454" w:hanging="284"/>
      </w:pPr>
      <w:r>
        <w:t>Halten Sie die Mitarbeitenden auf dem Laufenden, um Gerüchte und Ängste zu vermeiden.</w:t>
      </w:r>
    </w:p>
    <w:p>
      <w:pPr>
        <w:ind w:left="454"/>
      </w:pPr>
      <w:r>
        <w:t>Forschungen zeigen positive Zusammenhänge zwischen der Kommunikation in Change-Prozessen und der Bereitschaft der Beschäftigten, sich darauf einzulassen. Sie decken auch positive Zusammenhänge zwischen Veränderungsbereitschaft, Notwendigkeit und Angemessenheit der Maßnahmen auf. So ist das Bestreben, sich auf die neue Situation einzustellen, umso größer, je besser die relevanten Maßnahmen erklärt werden. Von Beginn an sollte daher eine offene und sorgfältige Informationsweitergabe erfolgen, um Missverständnisse zu vermeiden und der Entstehung von Gerüchten und Ängsten vorzubeugen.</w:t>
      </w:r>
    </w:p>
    <w:p>
      <w:pPr>
        <w:pStyle w:val="para40"/>
        <w:numPr>
          <w:ilvl w:val="0"/>
          <w:numId w:val="58"/>
        </w:numPr>
        <w:ind w:left="454" w:hanging="284"/>
      </w:pPr>
      <w:r>
        <w:t>Es ist hilfreich, frühzeitig festzulegen, wann die Ziele und Maßnahmen offengelegt werden, in welcher Form und durch wen.</w:t>
      </w:r>
    </w:p>
    <w:p>
      <w:pPr>
        <w:ind w:left="454"/>
      </w:pPr>
      <w:r>
        <w:t>Die Stufen des Change-Prozesses sollten in einer Kommunikationsstrategie festgehalten werden. Auf diese Weise können alle Verantwortlichen einheitlich vorgehen, , was die Wahrscheinlichkeit von Missverständnissen und Fehlinformationen verringert. Zum Beispiel bieten sich Betriebsversammlungen, Infoplakate, das Intranet und Mitarbeiterrundschreiben an.</w:t>
      </w:r>
    </w:p>
    <w:p>
      <w:pPr>
        <w:pStyle w:val="para40"/>
        <w:numPr>
          <w:ilvl w:val="0"/>
          <w:numId w:val="58"/>
        </w:numPr>
        <w:ind w:left="454" w:hanging="284"/>
      </w:pPr>
      <w:r>
        <w:t>Zeigen Sie, warum die Veränderung notwendig ist und welche Vorteile dadurch entstehen können.</w:t>
      </w:r>
    </w:p>
    <w:p>
      <w:pPr>
        <w:ind w:left="454"/>
      </w:pPr>
      <w:r>
        <w:t>Mitarbeitende, die von Umstellungen betroffen sind, ändern dann ihr Handeln und Verhalten, wenn sie verstehen, dass es aufgrund der unternehmerischen Perspektiven notwendig ist. Deshalb sollte ein wesentlicher Fokus in der Kommunikation darauf liegen, diese Faktoren nachvollziehbar zu erklären.</w:t>
      </w:r>
    </w:p>
    <w:p>
      <w:pPr>
        <w:pStyle w:val="para40"/>
        <w:numPr>
          <w:ilvl w:val="0"/>
          <w:numId w:val="58"/>
        </w:numPr>
        <w:ind w:left="454" w:hanging="284"/>
      </w:pPr>
      <w:r>
        <w:t>Beschäftigte müssen begreifen können, dass die getroffene Maßnahme des Unternehmens dazu führen soll, die Lücke zwischen dem Ist- und dem Soll-Zustand zu schließen.</w:t>
      </w:r>
    </w:p>
    <w:p>
      <w:pPr>
        <w:ind w:left="454"/>
      </w:pPr>
      <w:r>
        <w:t>Ein Wandel kann von den Mitarbeitenden beispielsweise dann als notwendig und angemessen angesehen werden, wenn er die Arbeitsplätze sichert, die Wettbewerbsfähigkeit des Unternehmens steigert oder Arbeitsabläufe verbessert werden. Diese Argumente führen in der Regel dazu, dass Betroffen die Veränderung positiv bewerten und deren Nutzen höher einschätzen, als das erwartete Risiko. Daher agieren sie eher als Unterstützer neuer Prozesse, im Gegensatz zu denjenigen, die mit individuellen Verlusten rechnen.</w:t>
      </w:r>
    </w:p>
    <w:p>
      <w:pPr>
        <w:pStyle w:val="para40"/>
        <w:numPr>
          <w:ilvl w:val="0"/>
          <w:numId w:val="58"/>
        </w:numPr>
        <w:ind w:left="454" w:hanging="284"/>
      </w:pPr>
      <w:r>
        <w:t>Krisen wie zum Beispiel die Finanzkrise von 2008 und die Corona-Pandemie führen dazu, dass die Notwendigkeit eines Wandels von Mitarbeitenden schneller erkannt wird.</w:t>
      </w:r>
    </w:p>
    <w:p>
      <w:pPr>
        <w:ind w:left="454"/>
      </w:pPr>
      <w:r>
        <w:t>Die Auswirkungen der unsicheren Situation sind für sie leichter nachvollziehbar. Im Vergleich zu unternehmensintern getriebenen Veränderungen können die Beschäftigten besser einschätzen, ob die Maßnahmen angemessen sind.</w:t>
      </w:r>
    </w:p>
    <w:p>
      <w:pPr>
        <w:pStyle w:val="para40"/>
        <w:numPr>
          <w:ilvl w:val="0"/>
          <w:numId w:val="58"/>
        </w:numPr>
        <w:ind w:left="454" w:hanging="284"/>
      </w:pPr>
      <w:r>
        <w:t>Neben der allgemeinen Kommunikationsstrategie können Feedback-Gespräche die Beschäftigten dabei unterstützen, die individuellen Folgen des Wandels positiv zu bewerten.</w:t>
      </w:r>
    </w:p>
    <w:p>
      <w:pPr>
        <w:ind w:left="454"/>
      </w:pPr>
      <w:r>
        <w:t>In diesen Gesprächen sollte es den Beschäftigten möglich sein, ihre Anliegen und Bedenken bezüglich der Veränderungen offen zu äußern. Führungskräfte können wiederum durch weitere Informationen Unsicherheiten reduzieren. Außerdem sollten die konkreten individuellen Folgen für den Einzelnen, thematisiert werden.</w:t>
      </w:r>
    </w:p>
    <w:p>
      <w:pPr>
        <w:pStyle w:val="para40"/>
        <w:numPr>
          <w:ilvl w:val="0"/>
          <w:numId w:val="58"/>
        </w:numPr>
        <w:ind w:left="454" w:hanging="284"/>
      </w:pPr>
      <w:r>
        <w:t>Die Beschäftigten sollten den Veränderungsprozess aktiv mitgestalten.</w:t>
      </w:r>
    </w:p>
    <w:p>
      <w:r>
        <w:t>Grundsätzlich gilt, dass ein Change partizipativ oder nicht partizipativ verlaufen kann. In gelingenden Neuorientierungsprozessen ist entscheidend, wie der Einzelne die Teilhabe an der Planung und Umsetzung sowie seinen möglichen Einfluss empfindet. Die aktive Beteiligung in Entscheidungs- und Umsetzungsprozessen kann also ein Schlüssel zum Erfolgsein. Als partizipative Maßnahmen können beispielsweise Workshop-Formate oder Mitarbeiterbefragungen zum Einsatz kommen. Auch Teammeetings sind sinnvoll, da alle Personen direkt in Überlegungen und Entscheidungsfindungen einbezogen werden.</w:t>
      </w:r>
    </w:p>
    <w:p>
      <w:pPr>
        <w:pStyle w:val="para3"/>
        <w:numPr>
          <w:ilvl w:val="2"/>
          <w:numId w:val="42"/>
        </w:numPr>
        <w:ind w:left="737" w:hanging="737"/>
      </w:pPr>
      <w:bookmarkStart w:id="107" w:name="_TOC002294"/>
      <w:r>
        <w:t>Fazit</w:t>
      </w:r>
      <w:bookmarkEnd w:id="107"/>
      <w:r/>
    </w:p>
    <w:p>
      <w:r>
        <w:t>Krisen gehen meist mit einem hohen Veränderungsdruck für Unternehmen einher. Die ausgelöste Dringlichkeit einer Veränderung führt dazu, dass Mitarbeiter durchaus anerkennen, dass ein Wandel notwendig und angemessen ist. Diese Wahrnehmung sollte zusätzlich durch eine entsprechende Kommunikationsstrategie sowie partizipative Interventionsmaßnahmen unterstützt werden. Die treibenden Führungskräfte nehmen somit eine zentrale Rolle innerhalb des Prozesses ein, da der Einbezug der Mitarbeitenden einen hohen Stellenwert einnimmt. Es gilt, die Beteiligten bewusst in diesen Veränderungsprozess miteinzubinden und das Mitspracherecht zu fördern. Mitarbeitende sollten ermutigt werden, Bedenken zu äußern. Führungskräfte können bei Bedarf Missverständnisse aufnehmen und diese aus dem Weg räumen. Mit dem Wandel verbundene Erfolgsmomente – wie beispielsweise die erfolgreiche spontane Einführung von Homeoffice aufgrund einer Pandemie – hat die positiven Erfahrungen von Veränderungen bei vielen Beschäftigten erhöht, obwohl wenig Planungszeit vorhanden war und bei vielen Bedenken bestanden.</w:t>
      </w:r>
    </w:p>
    <w:p>
      <w:r/>
    </w:p>
    <w:p>
      <w:pPr>
        <w:pStyle w:val="para2"/>
        <w:numPr>
          <w:ilvl w:val="1"/>
          <w:numId w:val="42"/>
        </w:numPr>
        <w:ind w:left="578" w:hanging="578"/>
      </w:pPr>
      <w:r>
        <w:br w:type="page"/>
      </w:r>
      <w:bookmarkStart w:id="108" w:name="_TOC000357"/>
      <w:r>
        <w:t>Checkliste: 12 Anzeichen für einen schlechten Chef</w:t>
      </w:r>
      <w:bookmarkEnd w:id="108"/>
      <w:r/>
    </w:p>
    <w:p>
      <w:r>
        <w:t>von Viola Booth, 23.02.2022 aus: Quelle: XING-News Job&amp;Karriere vom 25.02.2022</w:t>
      </w:r>
    </w:p>
    <w:p>
      <w:pPr>
        <w:rPr>
          <w:i/>
          <w:iCs/>
        </w:rPr>
      </w:pPr>
      <w:r>
        <w:rPr>
          <w:i/>
          <w:iCs/>
        </w:rPr>
        <w:t>Dein Vorgesetzter/deine Vorgesetzte ist ein schlechter Chef/eine schlechte Chefin, wenn er/sie …</w:t>
      </w:r>
    </w:p>
    <w:p>
      <w:pPr>
        <w:numPr>
          <w:ilvl w:val="0"/>
          <w:numId w:val="241"/>
        </w:numPr>
        <w:ind w:left="360" w:hanging="369"/>
        <w:rPr>
          <w:i/>
          <w:iCs/>
        </w:rPr>
      </w:pPr>
      <w:r>
        <w:rPr>
          <w:i/>
          <w:iCs/>
        </w:rPr>
        <w:t>… so selbstverliebt ist, dass er/sie nur seine/ihre eigenen Ideen lobt. Die Kreativität anderer kann er/sie nicht würdigen.</w:t>
      </w:r>
    </w:p>
    <w:p>
      <w:pPr>
        <w:numPr>
          <w:ilvl w:val="0"/>
          <w:numId w:val="241"/>
        </w:numPr>
        <w:ind w:left="360" w:hanging="369"/>
        <w:rPr>
          <w:i/>
          <w:iCs/>
        </w:rPr>
      </w:pPr>
      <w:r>
        <w:rPr>
          <w:i/>
          <w:iCs/>
        </w:rPr>
        <w:t>… ständig die Meinung ändert und damit Entscheidungen und Arbeitsprozesse über Bord wirft und erschwert.</w:t>
      </w:r>
    </w:p>
    <w:p>
      <w:pPr>
        <w:numPr>
          <w:ilvl w:val="0"/>
          <w:numId w:val="241"/>
        </w:numPr>
        <w:ind w:left="360" w:hanging="369"/>
        <w:rPr>
          <w:i/>
          <w:iCs/>
        </w:rPr>
      </w:pPr>
      <w:r>
        <w:rPr>
          <w:i/>
          <w:iCs/>
        </w:rPr>
        <w:t>… mangelnde Entscheidungsfreude an den Tag legt. Chefs, die sich gar nicht entscheiden können, nerven ihre Mitarbeiter. Selbstsicheres Auftreten und die Fähigkeit, Entscheidungen zu treffen, zeichnet in Sachen Mitarbeiterführung schließlich einen guten Chef aus.</w:t>
      </w:r>
    </w:p>
    <w:p>
      <w:pPr>
        <w:numPr>
          <w:ilvl w:val="0"/>
          <w:numId w:val="241"/>
        </w:numPr>
        <w:ind w:left="360" w:hanging="369"/>
        <w:rPr>
          <w:i/>
          <w:iCs/>
        </w:rPr>
      </w:pPr>
      <w:r>
        <w:rPr>
          <w:i/>
          <w:iCs/>
        </w:rPr>
        <w:t>… keine Prioritäten setzen kann.</w:t>
      </w:r>
    </w:p>
    <w:p>
      <w:pPr>
        <w:numPr>
          <w:ilvl w:val="0"/>
          <w:numId w:val="241"/>
        </w:numPr>
        <w:ind w:left="360" w:hanging="369"/>
        <w:rPr>
          <w:i/>
          <w:iCs/>
        </w:rPr>
      </w:pPr>
      <w:r>
        <w:rPr>
          <w:i/>
          <w:iCs/>
        </w:rPr>
        <w:t>… keine soziale Kompetenzen besitzt, er/sie deinen Namen nicht kennt, dich auf dem Gang nicht grüßt und generell nur strikte Anordnungen in strengem Ton gibt. Unfreundlich, gleichgültig und herablassend – durch diese Verhaltensweisen zeichnet sich wahrlich kein guter Chef aus.</w:t>
      </w:r>
    </w:p>
    <w:p>
      <w:pPr>
        <w:numPr>
          <w:ilvl w:val="0"/>
          <w:numId w:val="241"/>
        </w:numPr>
        <w:ind w:left="360" w:hanging="369"/>
        <w:rPr>
          <w:i/>
          <w:iCs/>
        </w:rPr>
      </w:pPr>
      <w:r>
        <w:rPr>
          <w:i/>
          <w:iCs/>
        </w:rPr>
        <w:t>… nicht begründet, warum er/sie etwas schlecht findet oder ablehnt. Wenn dein Chef/deine Chefin nicht dazu in der Lage ist, dir ein ordentliches Feedback zu geben, kannst du es beim nächsten Mal auch nicht besser oder anders machen.</w:t>
      </w:r>
    </w:p>
    <w:p>
      <w:pPr>
        <w:numPr>
          <w:ilvl w:val="0"/>
          <w:numId w:val="241"/>
        </w:numPr>
        <w:ind w:left="360" w:hanging="369"/>
        <w:rPr>
          <w:i/>
          <w:iCs/>
        </w:rPr>
      </w:pPr>
      <w:r>
        <w:rPr>
          <w:i/>
          <w:iCs/>
        </w:rPr>
        <w:t>… Entscheidungen trifft und dafür keinerlei Begründung abliefert. Natürlich muss dein Chef/deine Chefin mit dir nicht alles besprechen oder sich rechtfertigen. Wenn aber ein Projekt von dir eingestellt wird und du mit dem Gedanken „Warum und wieso?“ im Regen stehst, ist das kein guter Führungsstil.</w:t>
      </w:r>
    </w:p>
    <w:p>
      <w:pPr>
        <w:numPr>
          <w:ilvl w:val="0"/>
          <w:numId w:val="241"/>
        </w:numPr>
        <w:ind w:left="360" w:hanging="369"/>
        <w:rPr>
          <w:i/>
          <w:iCs/>
        </w:rPr>
      </w:pPr>
      <w:r>
        <w:rPr>
          <w:i/>
          <w:iCs/>
        </w:rPr>
        <w:t>… kein offenes Ohr für dich hat. Zwar ist dein Chef/deine Chefin nicht der Kummerkasten für deine persönlichen Probleme, aber trotzdem sollte er/sie dafür empfänglich sein. Wenn du zum Beispiel ein Problem mit einem Kollegen hast und das die Stimmung im Büro drückt und du dich unwohl fühlst, ist dies ein Anliegen, das deinen Chef/deine Chefin interessieren sollte.</w:t>
      </w:r>
    </w:p>
    <w:p>
      <w:pPr>
        <w:numPr>
          <w:ilvl w:val="0"/>
          <w:numId w:val="241"/>
        </w:numPr>
        <w:ind w:left="360" w:hanging="369"/>
        <w:rPr>
          <w:i/>
          <w:iCs/>
        </w:rPr>
      </w:pPr>
      <w:r>
        <w:rPr>
          <w:i/>
          <w:iCs/>
        </w:rPr>
        <w:t>… keinen Kontakt zu seinen/ihren Mitarbeitern aufbaut. Ein guter Chef/eine gute Chefin sammelt Pluspunkte, wenn er/sie ab und zu mal mit den Mitarbeitern Mittagessen geht oder in der Kaffeeküche ein paar persönliche Worte mit dir wechselt. Das sorgt für mehr Wohlbefinden und schafft eine Vertrauensbasis.</w:t>
      </w:r>
    </w:p>
    <w:p>
      <w:pPr>
        <w:numPr>
          <w:ilvl w:val="0"/>
          <w:numId w:val="241"/>
        </w:numPr>
        <w:ind w:left="360" w:hanging="369"/>
        <w:rPr>
          <w:i/>
          <w:iCs/>
        </w:rPr>
      </w:pPr>
      <w:r>
        <w:rPr>
          <w:i/>
          <w:iCs/>
        </w:rPr>
        <w:t>… Angst und Schrecken verbreitet, weil er/sie regelmäßig Anordnungen und Deadlines über den Flur brüllt und regelmäßig Mitarbeiter in sein/ihr Büro zitiert, die dieses dann weinend wieder verlassen.</w:t>
      </w:r>
    </w:p>
    <w:p>
      <w:pPr>
        <w:numPr>
          <w:ilvl w:val="0"/>
          <w:numId w:val="241"/>
        </w:numPr>
        <w:ind w:left="360" w:hanging="369"/>
        <w:rPr>
          <w:i/>
          <w:iCs/>
        </w:rPr>
      </w:pPr>
      <w:r>
        <w:rPr>
          <w:i/>
          <w:iCs/>
        </w:rPr>
        <w:t>… seine/ihre Mitarbeiter nicht in ihren Stärken fördert, sondern sie lieber klein hält, um sich selbst besser dazustellen.</w:t>
      </w:r>
    </w:p>
    <w:p>
      <w:pPr>
        <w:numPr>
          <w:ilvl w:val="0"/>
          <w:numId w:val="241"/>
        </w:numPr>
        <w:ind w:left="360" w:hanging="369"/>
        <w:rPr>
          <w:i/>
          <w:iCs/>
        </w:rPr>
      </w:pPr>
      <w:r>
        <w:rPr>
          <w:i/>
          <w:iCs/>
        </w:rPr>
        <w:t>… die Mitarbeiter nicht motivieren kann, indem er/sie ein Lob verteilt und Anerkennung zeigt.</w:t>
      </w:r>
    </w:p>
    <w:p>
      <w:pPr>
        <w:pStyle w:val="para2"/>
        <w:numPr>
          <w:ilvl w:val="1"/>
          <w:numId w:val="42"/>
        </w:numPr>
        <w:ind w:left="578" w:hanging="578"/>
      </w:pPr>
      <w:bookmarkStart w:id="109" w:name="_Toc367795324"/>
      <w:r/>
      <w:bookmarkEnd w:id="109"/>
      <w:r>
        <w:t>So lassen schlechte Chefs die Arbeitsmoral sinken</w:t>
      </w:r>
    </w:p>
    <w:p>
      <w:pPr>
        <w:ind w:firstLine="22"/>
        <w:spacing w:after="120"/>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 w:val="16"/>
          <w:szCs w:val="16"/>
        </w:rPr>
      </w:pPr>
      <w:r>
        <w:rPr>
          <w:rFonts w:eastAsia="Cambria" w:cs="Basic Roman"/>
          <w:sz w:val="16"/>
          <w:szCs w:val="16"/>
        </w:rPr>
        <w:t xml:space="preserve">Auszug aus dem Beitrag: </w:t>
      </w:r>
      <w:hyperlink r:id="rId44" w:history="1">
        <w:r>
          <w:rPr>
            <w:rStyle w:val="char29"/>
            <w:rFonts w:eastAsia="Cambria" w:cs="Basic Roman"/>
            <w:sz w:val="16"/>
            <w:szCs w:val="16"/>
          </w:rPr>
          <w:t>https://www.n-tv.de/wirtschaft/So-lassen-schlechte-Chefs-die-Arbeitsmoral-sinken-id31098686.html</w:t>
        </w:r>
      </w:hyperlink>
      <w:r>
        <w:rPr>
          <w:rFonts w:eastAsia="Cambria" w:cs="Basic Roman"/>
          <w:sz w:val="16"/>
          <w:szCs w:val="16"/>
        </w:rPr>
        <w:t>, 26.07.2026, 10:42 Uhr, Christina-Lohner interviewt Alexander Häfner, Vorstandsmitglied des Berufsverbands Deutscher Psychologinnen und Psychologen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Wie lässt sich Leistungsbereitschaft fördern?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Führung spielt eine große Rolle. Ganz grob gesagt machen die Bedingungen etwa die Hälfte an der Leistungsbereitschaft aus, die andere Hälfte liegt in der Persönlichkeit. Beides ist substanziell.</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Welcher Führungsstil steigert die Leistungsbereitschaft?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Dazu gehören verschiedene Aspekte: </w:t>
      </w:r>
    </w:p>
    <w:p>
      <w:pPr>
        <w:pStyle w:val="para40"/>
        <w:numPr>
          <w:ilvl w:val="0"/>
          <w:numId w:val="58"/>
        </w:numPr>
        <w:ind w:left="454" w:hanging="284"/>
      </w:pPr>
      <w:r>
        <w:t xml:space="preserve">Bin ich als Führungskraft vorbildlich und glaubwürdig in meinem Verhalten? </w:t>
      </w:r>
    </w:p>
    <w:p>
      <w:pPr>
        <w:pStyle w:val="para40"/>
        <w:numPr>
          <w:ilvl w:val="0"/>
          <w:numId w:val="58"/>
        </w:numPr>
        <w:ind w:left="454" w:hanging="284"/>
      </w:pPr>
      <w:r>
        <w:t xml:space="preserve">Bin ich im Topmanagement auch selbst bereit, Opfer zu bringen? </w:t>
      </w:r>
    </w:p>
    <w:p>
      <w:pPr>
        <w:pStyle w:val="para40"/>
        <w:numPr>
          <w:ilvl w:val="0"/>
          <w:numId w:val="58"/>
        </w:numPr>
        <w:ind w:left="454" w:hanging="284"/>
      </w:pPr>
      <w:r>
        <w:t xml:space="preserve">Berücksichtige ich moralische Standards? </w:t>
      </w:r>
    </w:p>
    <w:p>
      <w:pPr>
        <w:pStyle w:val="para40"/>
        <w:numPr>
          <w:ilvl w:val="0"/>
          <w:numId w:val="58"/>
        </w:numPr>
        <w:ind w:left="454" w:hanging="284"/>
      </w:pPr>
      <w:r>
        <w:t xml:space="preserve">Erkläre ich gut die Unternehmensvision und wie die Ziele erreicht werden können? </w:t>
      </w:r>
    </w:p>
    <w:p>
      <w:pPr>
        <w:pStyle w:val="para40"/>
        <w:numPr>
          <w:ilvl w:val="0"/>
          <w:numId w:val="58"/>
        </w:numPr>
        <w:ind w:left="454" w:hanging="284"/>
      </w:pPr>
      <w:r>
        <w:t xml:space="preserve">Ermuntere ich, Bestehendes zu hinterfragen, eigene Ideen und auch Kritik einzubringen? </w:t>
      </w:r>
    </w:p>
    <w:p>
      <w:pPr>
        <w:pStyle w:val="para40"/>
        <w:numPr>
          <w:ilvl w:val="0"/>
          <w:numId w:val="58"/>
        </w:numPr>
        <w:ind w:left="454" w:hanging="284"/>
      </w:pPr>
      <w:r>
        <w:t xml:space="preserve">Kann ich selbst Fehler zugeben und mich korrigieren?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Ganz wichtig ist auch die individuelle Unterstützung: </w:t>
      </w:r>
    </w:p>
    <w:p>
      <w:pPr>
        <w:pStyle w:val="para40"/>
        <w:numPr>
          <w:ilvl w:val="0"/>
          <w:numId w:val="58"/>
        </w:numPr>
        <w:ind w:left="454" w:hanging="284"/>
      </w:pPr>
      <w:r>
        <w:t xml:space="preserve">Die Mitarbeiter müssen spüren, dass sie keine Nummer sind, sondern sich die Führung für sie interessiert und um ihre individuelle Entwicklung kümmert.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Das alles nennt sich transformationale Führung und hilft besonders, wenn es um die Extrameile geht.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Daneben ist seit vielen Jahren das Konzept Empowerment gut erforscht, zu Deutsch Ermächtigung: </w:t>
      </w:r>
    </w:p>
    <w:p>
      <w:pPr>
        <w:pStyle w:val="para40"/>
        <w:numPr>
          <w:ilvl w:val="0"/>
          <w:numId w:val="58"/>
        </w:numPr>
        <w:ind w:left="454" w:hanging="284"/>
      </w:pPr>
      <w:r>
        <w:t>Wenn Mitarbeiter ermuntert und befähigt werden, Entscheidungskompetenzen erhalten, ist die Wahrscheinlichkeit hoch, dass mehr, vor allem kreative Leistung entsteht.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Wie sieht schlechte Führung aus?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Ganz schlecht ist Laissez-faire, also maximale Freiheit und nur in Notfällen einzugreifen - wenn es keine Zielvereinbarungen und regelmäßigen Rücksprachen gibt. Dann fallen bei manchen Mitarbeitern Dinge hinten runter, andere fühlen sich als Nummer.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Koordination und Förderung brauchen gemeinsame Zeit und Gespräche: Wie können Kompetenzen weiterentwickelt werden, aber auch, was demotiviert? Gibt es zum Beispiel Konflikte im Team? Als Führungskraft nur zu sagen, wenn ihr ein Problem habt, kommt ihr zu mir, ist gefährlich.</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Welche weiteren typischen Fehler unterlaufen Führungskräften?</w:t>
      </w:r>
    </w:p>
    <w:p>
      <w:pPr>
        <w:pStyle w:val="para40"/>
        <w:numPr>
          <w:ilvl w:val="0"/>
          <w:numId w:val="58"/>
        </w:numPr>
        <w:ind w:left="454" w:hanging="284"/>
      </w:pPr>
      <w:r>
        <w:t xml:space="preserve">Jede Form von Abwertung sollte ich vermeiden. Zum Beispiel </w:t>
      </w:r>
    </w:p>
    <w:p>
      <w:pPr>
        <w:pStyle w:val="para40"/>
        <w:numPr>
          <w:ilvl w:val="0"/>
          <w:numId w:val="58"/>
        </w:numPr>
        <w:ind w:left="454" w:hanging="284"/>
      </w:pPr>
      <w:r>
        <w:t xml:space="preserve">jemanden vor der Gruppe lächerlich zu machen, </w:t>
      </w:r>
    </w:p>
    <w:p>
      <w:pPr>
        <w:pStyle w:val="para40"/>
        <w:numPr>
          <w:ilvl w:val="0"/>
          <w:numId w:val="58"/>
        </w:numPr>
        <w:ind w:left="454" w:hanging="284"/>
      </w:pPr>
      <w:r>
        <w:t xml:space="preserve">eine Teamleistung als die eigene zu verkaufen oder </w:t>
      </w:r>
    </w:p>
    <w:p>
      <w:pPr>
        <w:pStyle w:val="para40"/>
        <w:numPr>
          <w:ilvl w:val="0"/>
          <w:numId w:val="58"/>
        </w:numPr>
        <w:ind w:left="454" w:hanging="284"/>
      </w:pPr>
      <w:r>
        <w:t xml:space="preserve">nicht zuzuhören, sondern nur die eigenen Gedanken zu transportieren.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Das wirkt maximal demotivierend und treibt Menschen in die innere Kündigung.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Ein dritter wichtiger Punkt ist Fairness. Wenn ich viel einbringe, sogar Mehrarbeit leiste und das weder immateriell noch materiell anerkannt wird, zerstört das Leistungsbereitschaft. Überdurchschnittlicher Einsatz muss sowohl materiell als auch immateriell anerkannt werden.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b/>
          <w:bCs/>
        </w:rPr>
      </w:pPr>
      <w:r>
        <w:rPr>
          <w:rFonts w:eastAsia="Cambria" w:cs="Basic Roman"/>
          <w:b/>
          <w:bCs/>
        </w:rPr>
        <w:t>Eine innere Kündigung kann zum Blaumachen verleiten. Krankschreibungen werden nun erschwert. Wie verbreitet ist Krankfeiern, und wie lässt es sich am besten unterbinden?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In Befragungen gibt ein kleiner Teil der Beschäftigten zu, blauzumachen. Es geht um einen einstelligen Prozentbereich, aber immerhin fünf bis zehn Prozent der Befragten.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Vorbeugen lässt sich durch das beschriebene konstruktive Führungsverhalten: </w:t>
      </w:r>
    </w:p>
    <w:p>
      <w:pPr>
        <w:pStyle w:val="para40"/>
        <w:numPr>
          <w:ilvl w:val="0"/>
          <w:numId w:val="58"/>
        </w:numPr>
        <w:ind w:left="454" w:hanging="284"/>
      </w:pPr>
      <w:r>
        <w:t xml:space="preserve">das Signal, dass jeder gebraucht wird; </w:t>
      </w:r>
    </w:p>
    <w:p>
      <w:pPr>
        <w:pStyle w:val="para40"/>
        <w:numPr>
          <w:ilvl w:val="0"/>
          <w:numId w:val="58"/>
        </w:numPr>
        <w:ind w:left="454" w:hanging="284"/>
      </w:pPr>
      <w:r>
        <w:t xml:space="preserve">vertrauensvolle, stabile Beziehungen, </w:t>
      </w:r>
    </w:p>
    <w:p>
      <w:pPr>
        <w:pStyle w:val="para40"/>
        <w:numPr>
          <w:ilvl w:val="0"/>
          <w:numId w:val="58"/>
        </w:numPr>
        <w:ind w:left="454" w:hanging="284"/>
      </w:pPr>
      <w:r>
        <w:t xml:space="preserve">ein Wir-Gefühl zu fördern im Team, </w:t>
      </w:r>
    </w:p>
    <w:p>
      <w:pPr>
        <w:pStyle w:val="para40"/>
        <w:numPr>
          <w:ilvl w:val="0"/>
          <w:numId w:val="58"/>
        </w:numPr>
        <w:ind w:left="454" w:hanging="284"/>
      </w:pPr>
      <w:r>
        <w:t xml:space="preserve">aber auch die Norm zu setzen, dass es sich um kein Kavaliersdelikt handelt.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 xml:space="preserve">Bei Auffälligkeiten, wenn zum Beispiel jemand gehäuft Montag oder Freitag krank ist, sollte ich früh, also nicht erst nach Monaten oder gar Jahren, nachfragen: </w:t>
      </w:r>
    </w:p>
    <w:p>
      <w:pPr>
        <w:pStyle w:val="para40"/>
        <w:numPr>
          <w:ilvl w:val="0"/>
          <w:numId w:val="58"/>
        </w:numPr>
        <w:ind w:left="454" w:hanging="284"/>
      </w:pPr>
      <w:r>
        <w:t xml:space="preserve">Hat es was mit der Arbeit zu tun, können wir etwas verändern?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rPr>
      </w:pPr>
      <w:r>
        <w:rPr>
          <w:rFonts w:eastAsia="Cambria" w:cs="Basic Roman"/>
        </w:rPr>
        <w:t>Leider findet auch Missbrauch statt, eine ganz schwierige Herausforderung für Führungskräfte.</w:t>
      </w:r>
    </w:p>
    <w:p>
      <w:r/>
    </w:p>
    <w:p>
      <w:r/>
    </w:p>
    <w:p>
      <w:r/>
    </w:p>
    <w:p>
      <w:pPr>
        <w:pStyle w:val="para1"/>
        <w:numPr>
          <w:ilvl w:val="0"/>
          <w:numId w:val="42"/>
        </w:numPr>
        <w:ind w:left="432" w:hanging="432"/>
      </w:pPr>
      <w:r>
        <w:br w:type="page"/>
      </w:r>
      <w:bookmarkStart w:id="110" w:name="_TOC000008"/>
      <w:r/>
      <w:bookmarkStart w:id="111" w:name="_TOC001171"/>
      <w:r/>
      <w:bookmarkEnd w:id="111"/>
      <w:r/>
      <w:bookmarkStart w:id="112" w:name="_TOC000341"/>
      <w:r/>
      <w:bookmarkEnd w:id="112"/>
      <w:r/>
      <w:bookmarkStart w:id="113" w:name="_TOC000870"/>
      <w:r/>
      <w:bookmarkStart w:id="114" w:name="_TOC000742"/>
      <w:r/>
      <w:bookmarkEnd w:id="114"/>
      <w:r/>
      <w:bookmarkEnd w:id="113"/>
      <w:r/>
      <w:bookmarkStart w:id="115" w:name="_TOC000003"/>
      <w:r/>
      <w:bookmarkStart w:id="116" w:name="_TOC002355"/>
      <w:r>
        <w:t>Standortbestimmung: Ich und Führung?</w:t>
      </w:r>
      <w:bookmarkEnd w:id="116"/>
      <w:r/>
      <w:bookmarkEnd w:id="115"/>
      <w:r/>
      <w:bookmarkEnd w:id="110"/>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Führung beginnt mit einer persönlichen Vision, mit der ein verlockendes Ziel verbunden ist. Eine Vision ist ein verlockender Ausblick auf eine mögliche Zukunft. Um diese Vision umzusetzen, müssen zwei Dinge erfüllt sein: </w:t>
      </w:r>
    </w:p>
    <w:p>
      <w:pPr>
        <w:pStyle w:val="para40"/>
        <w:numPr>
          <w:ilvl w:val="0"/>
          <w:numId w:val="58"/>
        </w:numPr>
        <w:ind w:left="454" w:hanging="284"/>
      </w:pPr>
      <w:r>
        <w:t>Die Vision ist so attraktiv, dass Sie zum zielgerichteten Handeln angeregt werden.</w:t>
      </w:r>
    </w:p>
    <w:p>
      <w:pPr>
        <w:pStyle w:val="para40"/>
        <w:numPr>
          <w:ilvl w:val="0"/>
          <w:numId w:val="58"/>
        </w:numPr>
        <w:ind w:left="454" w:hanging="284"/>
      </w:pPr>
      <w:r>
        <w:t>Deshalb beziehen Sie andere Menschen ein und inspirieren diese zum Handeln.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Wie geht es Ihnen bei dieser Idee als Führungspersönlichkeit? Dies wollen wir in den nächsten Schritten erkunden.</w:t>
      </w:r>
    </w:p>
    <w:p>
      <w:pPr>
        <w:pStyle w:val="para2"/>
        <w:numPr>
          <w:ilvl w:val="1"/>
          <w:numId w:val="42"/>
        </w:numPr>
        <w:ind w:left="578" w:hanging="578"/>
      </w:pPr>
      <w:bookmarkStart w:id="117" w:name="_TOC000358"/>
      <w:r>
        <w:t>Übung: Eine vorbildliche Führungskraft</w:t>
      </w:r>
      <w:bookmarkEnd w:id="117"/>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i/>
          <w:iCs/>
          <w:szCs w:val="24"/>
        </w:rPr>
      </w:pPr>
      <w:r>
        <w:rPr>
          <w:rFonts w:eastAsia="Cambria" w:cs="Basic Roman"/>
          <w:i/>
          <w:iCs/>
          <w:szCs w:val="24"/>
        </w:rPr>
        <w:t xml:space="preserve">Machen Sie es sich auf Ihrem Sitz bequem, schließen vielleicht die Augen und lauschen meiner Stimme.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i/>
          <w:iCs/>
          <w:szCs w:val="24"/>
        </w:rPr>
      </w:pPr>
      <w:r>
        <w:rPr>
          <w:rFonts w:eastAsia="Cambria" w:cs="Basic Roman"/>
          <w:i/>
          <w:iCs/>
          <w:szCs w:val="24"/>
        </w:rPr>
        <w:t>Kennen Sie eine Führungskraft, die Sie als Vorbild ansehen? Stellen sie sich diese Person bildlich vor. Falls Sie keine in Ihrem sinne vorbildliche Führungskraft kennen, entwickeln Sie ein Modell einer solchen Person: Was sind ihre inneren Werte und Überzeugungen? Wie verhält sie sich? Was ist sonst noch wichtig, um vorbildlich führen zu können? Schreiben Sie alle diese Eigenschaften dieser Person zu und machen sich ein Bild von ihr.</w:t>
      </w:r>
    </w:p>
    <w:p>
      <w:pPr>
        <w:pStyle w:val="para40"/>
        <w:numPr>
          <w:ilvl w:val="0"/>
          <w:numId w:val="58"/>
        </w:numPr>
        <w:ind w:left="454" w:hanging="284"/>
        <w:spacing w:after="80"/>
        <w:rPr>
          <w:i/>
          <w:iCs/>
        </w:rPr>
      </w:pPr>
      <w:r>
        <w:rPr>
          <w:i/>
          <w:iCs/>
        </w:rPr>
        <w:t>Denken Sie an Ihre vorbildliche Führungskraft und machen Sie sich in Ihrem Geist ein Bild von ihr. Stellen Sie sich vor, dass diese Führungspersönlichkeit von Menschen umgeben ist, auf die sie Einfluss hat und die ihrer Führung folgen.</w:t>
      </w:r>
    </w:p>
    <w:p>
      <w:pPr>
        <w:pStyle w:val="para40"/>
        <w:numPr>
          <w:ilvl w:val="0"/>
          <w:numId w:val="58"/>
        </w:numPr>
        <w:ind w:left="454" w:hanging="284"/>
        <w:spacing w:after="80"/>
        <w:rPr>
          <w:i/>
          <w:iCs/>
        </w:rPr>
      </w:pPr>
      <w:r>
        <w:rPr>
          <w:i/>
          <w:iCs/>
        </w:rPr>
        <w:t>Wenn Sie sich diese Führungskraft in Ihrer Fantasie vorstellen, wo befindet sie sich - vor oder hinter Ihnen oder an Ihrer Seite?</w:t>
      </w:r>
    </w:p>
    <w:p>
      <w:pPr>
        <w:pStyle w:val="para40"/>
        <w:numPr>
          <w:ilvl w:val="0"/>
          <w:numId w:val="58"/>
        </w:numPr>
        <w:ind w:left="454" w:hanging="284"/>
        <w:spacing w:after="80"/>
        <w:rPr>
          <w:i/>
          <w:iCs/>
        </w:rPr>
      </w:pPr>
      <w:r>
        <w:rPr>
          <w:i/>
          <w:iCs/>
        </w:rPr>
        <w:t>Steht die Führungskraft in Ihrem mentalen Bild vor den anderen Menschen - nur ein wenig entfernt, in einer mittleren Entfernung oder sehr weit weg?</w:t>
      </w:r>
    </w:p>
    <w:p>
      <w:pPr>
        <w:pStyle w:val="para40"/>
        <w:numPr>
          <w:ilvl w:val="0"/>
          <w:numId w:val="58"/>
        </w:numPr>
        <w:ind w:left="454" w:hanging="284"/>
        <w:spacing w:after="80"/>
        <w:rPr>
          <w:i/>
          <w:iCs/>
        </w:rPr>
      </w:pPr>
      <w:r>
        <w:rPr>
          <w:i/>
          <w:iCs/>
        </w:rPr>
        <w:t>Ist die Person größer, kleiner oder genauso groß wie die Menschen, die sie führt?</w:t>
      </w:r>
    </w:p>
    <w:p>
      <w:pPr>
        <w:pStyle w:val="para40"/>
        <w:numPr>
          <w:ilvl w:val="0"/>
          <w:numId w:val="58"/>
        </w:numPr>
        <w:ind w:left="454" w:hanging="284"/>
        <w:spacing w:after="80"/>
        <w:rPr>
          <w:i/>
          <w:iCs/>
        </w:rPr>
      </w:pPr>
      <w:r>
        <w:rPr>
          <w:i/>
          <w:iCs/>
        </w:rPr>
        <w:t>Befindet sich die Person über oder unter den von ihr geführten Menschen oder auf gleicher Ebene?</w:t>
      </w:r>
    </w:p>
    <w:p>
      <w:pPr>
        <w:pStyle w:val="para40"/>
        <w:numPr>
          <w:ilvl w:val="0"/>
          <w:numId w:val="58"/>
        </w:numPr>
        <w:ind w:left="454" w:hanging="284"/>
        <w:spacing w:after="80"/>
        <w:rPr>
          <w:i/>
          <w:iCs/>
        </w:rPr>
      </w:pPr>
      <w:r>
        <w:rPr>
          <w:i/>
          <w:iCs/>
        </w:rPr>
        <w:t>Ist es ein 'Leader', der lebhafter, farbiger oder 'überlebensgroß' im Vergleich zu den Umstehenden erscheint?</w:t>
      </w:r>
    </w:p>
    <w:p>
      <w:pPr>
        <w:pStyle w:val="para40"/>
        <w:numPr>
          <w:ilvl w:val="0"/>
          <w:numId w:val="58"/>
        </w:numPr>
        <w:ind w:left="454" w:hanging="284"/>
        <w:spacing w:after="80"/>
        <w:rPr>
          <w:i/>
          <w:iCs/>
        </w:rPr>
      </w:pPr>
      <w:r>
        <w:rPr>
          <w:i/>
          <w:iCs/>
        </w:rPr>
        <w:t>Wenn andere Ihr Bild anschauen, ohne jemanden auf dem Bild zu kennen, wie würden sie wissen, wer die Führung innehat?</w:t>
      </w:r>
    </w:p>
    <w:p>
      <w:pPr>
        <w:pStyle w:val="para40"/>
        <w:numPr>
          <w:ilvl w:val="0"/>
          <w:numId w:val="58"/>
        </w:numPr>
        <w:ind w:left="454" w:hanging="284"/>
        <w:spacing w:after="80"/>
        <w:rPr>
          <w:i/>
          <w:iCs/>
        </w:rPr>
      </w:pPr>
      <w:r>
        <w:rPr>
          <w:i/>
          <w:iCs/>
        </w:rPr>
        <w:t>Wie lebendig ist das Bild? Ist es farbig?</w:t>
      </w:r>
    </w:p>
    <w:p>
      <w:pPr>
        <w:pStyle w:val="para40"/>
        <w:numPr>
          <w:ilvl w:val="0"/>
          <w:numId w:val="58"/>
        </w:numPr>
        <w:ind w:left="454" w:hanging="284"/>
        <w:rPr>
          <w:i/>
          <w:iCs/>
        </w:rPr>
      </w:pPr>
      <w:r>
        <w:rPr>
          <w:i/>
          <w:iCs/>
        </w:rPr>
        <w:t>Enthält es Bewegung?</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i/>
          <w:iCs/>
          <w:szCs w:val="24"/>
        </w:rPr>
      </w:pPr>
      <w:r>
        <w:rPr>
          <w:rFonts w:eastAsia="Cambria" w:cs="Basic Roman"/>
          <w:i/>
          <w:iCs/>
          <w:szCs w:val="24"/>
        </w:rPr>
        <w:t>Achten Sie jetzt darauf, ob in Ihrer mentalen Szene etwas zu hören ist. Hören Sie Stimmen?</w:t>
      </w:r>
    </w:p>
    <w:p>
      <w:pPr>
        <w:pStyle w:val="para40"/>
        <w:numPr>
          <w:ilvl w:val="0"/>
          <w:numId w:val="58"/>
        </w:numPr>
        <w:ind w:left="454" w:hanging="284"/>
        <w:spacing w:after="80"/>
        <w:rPr>
          <w:i/>
          <w:iCs/>
        </w:rPr>
      </w:pPr>
      <w:r>
        <w:rPr>
          <w:i/>
          <w:iCs/>
        </w:rPr>
        <w:t>Stellen Sie sich vor, dass der, der die Führungsposition einnimmt, spricht. Wie würden Sie seine Stimme beschreiben?</w:t>
      </w:r>
    </w:p>
    <w:p>
      <w:pPr>
        <w:pStyle w:val="para40"/>
        <w:numPr>
          <w:ilvl w:val="0"/>
          <w:numId w:val="58"/>
        </w:numPr>
        <w:ind w:left="454" w:hanging="284"/>
        <w:spacing w:after="80"/>
        <w:rPr>
          <w:i/>
          <w:iCs/>
        </w:rPr>
      </w:pPr>
      <w:r>
        <w:rPr>
          <w:i/>
          <w:iCs/>
        </w:rPr>
        <w:t>Lauschen Sie jetzt auch auf die anderen Menschen. Wie klingen deren Stimmen?</w:t>
      </w:r>
    </w:p>
    <w:p>
      <w:pPr>
        <w:pStyle w:val="para40"/>
        <w:numPr>
          <w:ilvl w:val="0"/>
          <w:numId w:val="58"/>
        </w:numPr>
        <w:ind w:left="454" w:hanging="284"/>
        <w:spacing w:after="80"/>
        <w:rPr>
          <w:i/>
          <w:iCs/>
        </w:rPr>
      </w:pPr>
      <w:r>
        <w:rPr>
          <w:i/>
          <w:iCs/>
        </w:rPr>
        <w:t>Gibt es besondere Merkmale, durch die sich die Stimme des Führenden heraushebt?</w:t>
      </w:r>
    </w:p>
    <w:p>
      <w:pPr>
        <w:pStyle w:val="para40"/>
        <w:numPr>
          <w:ilvl w:val="0"/>
          <w:numId w:val="58"/>
        </w:numPr>
        <w:ind w:left="454" w:hanging="284"/>
        <w:rPr>
          <w:i/>
          <w:iCs/>
        </w:rPr>
      </w:pPr>
      <w:r>
        <w:rPr>
          <w:i/>
          <w:iCs/>
        </w:rPr>
        <w:t>Würde ein Fremder die Stimmen hören, ohne das Bild zu sehen, könnte er herausfinden, welche Stimme der Führungskraft zuzuordnen ist?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i/>
          <w:iCs/>
          <w:szCs w:val="24"/>
        </w:rPr>
      </w:pPr>
      <w:r>
        <w:rPr>
          <w:rFonts w:eastAsia="Cambria" w:cs="Basic Roman"/>
          <w:i/>
          <w:iCs/>
          <w:szCs w:val="24"/>
        </w:rPr>
        <w:t>Jetzt lassen Sie den Rest des Bildes unverändert und sehen Sie sich selbst in Gesellschaft dieser Führungspersönlichkeit.</w:t>
      </w:r>
    </w:p>
    <w:p>
      <w:pPr>
        <w:pStyle w:val="para40"/>
        <w:numPr>
          <w:ilvl w:val="0"/>
          <w:numId w:val="58"/>
        </w:numPr>
        <w:ind w:left="454" w:hanging="284"/>
        <w:spacing w:after="80"/>
        <w:rPr>
          <w:i/>
          <w:iCs/>
        </w:rPr>
      </w:pPr>
      <w:r>
        <w:rPr>
          <w:i/>
          <w:iCs/>
        </w:rPr>
        <w:t>Machen Sie sich genauso groß wie die Führungskraft und stellen Sie sich neben sie, gleich weit von anderen Menschen entfernt.</w:t>
      </w:r>
    </w:p>
    <w:p>
      <w:pPr>
        <w:pStyle w:val="para40"/>
        <w:numPr>
          <w:ilvl w:val="0"/>
          <w:numId w:val="58"/>
        </w:numPr>
        <w:ind w:left="454" w:hanging="284"/>
        <w:spacing w:after="80"/>
        <w:rPr>
          <w:i/>
          <w:iCs/>
        </w:rPr>
      </w:pPr>
      <w:r>
        <w:rPr>
          <w:i/>
          <w:iCs/>
        </w:rPr>
        <w:t>Welches Gefühl ist das, wenn Sie sich dort als Führungskraft stehen sehen?</w:t>
      </w:r>
    </w:p>
    <w:p>
      <w:pPr>
        <w:pStyle w:val="para40"/>
        <w:numPr>
          <w:ilvl w:val="0"/>
          <w:numId w:val="58"/>
        </w:numPr>
        <w:ind w:left="454" w:hanging="284"/>
        <w:rPr>
          <w:i/>
          <w:iCs/>
        </w:rPr>
      </w:pPr>
      <w:r>
        <w:rPr>
          <w:i/>
          <w:iCs/>
        </w:rPr>
        <w:t>Ändern Sie das Bild so lange leicht ab, bis es für Sie angenehm ist.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i/>
          <w:iCs/>
          <w:szCs w:val="24"/>
        </w:rPr>
      </w:pPr>
      <w:r>
        <w:rPr>
          <w:rFonts w:eastAsia="Cambria" w:cs="Basic Roman"/>
          <w:i/>
          <w:iCs/>
          <w:szCs w:val="24"/>
        </w:rPr>
        <w:t>Treten Sie jetzt in das Bild und nehmen ihre Position ein. Schauen Sie durch Ihre eigenen Augen auf die Menschen rundum, die Ihrer Führung folgen. Wie fühlen Sie sich jetzt dort?</w:t>
      </w:r>
    </w:p>
    <w:p>
      <w:pPr>
        <w:pStyle w:val="para2"/>
        <w:numPr>
          <w:ilvl w:val="1"/>
          <w:numId w:val="42"/>
        </w:numPr>
        <w:ind w:left="578" w:hanging="578"/>
      </w:pPr>
      <w:bookmarkStart w:id="118" w:name="_TOC001056"/>
      <w:r>
        <w:t>Fragen an die eigene Employability (Beschäftigungsfähigkeit, Arbeitsmarktfähigkeit)</w:t>
      </w:r>
      <w:bookmarkEnd w:id="118"/>
      <w:r/>
    </w:p>
    <w:p>
      <w:pPr>
        <w:rPr>
          <w:sz w:val="12"/>
          <w:szCs w:val="12"/>
        </w:rPr>
      </w:pPr>
      <w:r>
        <w:rPr>
          <w:sz w:val="12"/>
          <w:szCs w:val="12"/>
        </w:rPr>
        <w:t>Quelle: managerSeminare 284 vom 22.10.2021 Extraheft „Special Berufsbegleitend lernen, Das Corona-Upgrade – Selbstcheck Weiterbildung“ Seite 17</w:t>
      </w:r>
    </w:p>
    <w:p>
      <w:r>
        <w:t>Karriere ist heute immer auch mit einem Nachjustieren oder Neuausrichten der Employability verbunden. Um sich selbst ein Bild von den vorhandenen und benötigten Kompetenzen zu machen, hilft eine strukturierte Selbstbefragung.</w:t>
      </w:r>
    </w:p>
    <w:p>
      <w:r>
        <w:t>Die Prüfung der eigenen Employability – für aktuelle oder angestrebte Tätigkeiten – besteht in einem Abgleich von beruflichem Standort, Zielen und fachlichen Trends. Diese Reviews mit sich selbst sollten regelmäßig wiederholt werden, um Employability und Karriere rechtzeitig in die richtigen Bahnen lenken zu können.</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bookmarkStart w:id="119" w:name="_TOC001057"/>
      <w:r/>
    </w:p>
    <w:p>
      <w:pPr>
        <w:pStyle w:val="para3"/>
        <w:numPr>
          <w:ilvl w:val="2"/>
          <w:numId w:val="42"/>
        </w:numPr>
        <w:ind w:left="737" w:hanging="737"/>
      </w:pPr>
      <w:r>
        <w:br w:type="page"/>
      </w:r>
      <w:bookmarkStart w:id="120" w:name="_TOC001294"/>
      <w:r>
        <w:t>Standortanalyse: Was kann ich?</w:t>
      </w:r>
      <w:bookmarkEnd w:id="119"/>
      <w:r/>
      <w:bookmarkEnd w:id="120"/>
      <w:r/>
    </w:p>
    <w:p>
      <w:pPr>
        <w:pStyle w:val="para40"/>
        <w:numPr>
          <w:ilvl w:val="0"/>
          <w:numId w:val="58"/>
        </w:numPr>
        <w:ind w:left="454" w:hanging="284"/>
        <w:spacing w:after="1180"/>
      </w:pPr>
      <w:r>
        <w:t>Was finde ich gut an mir (kann ich z.B. gut zuhören, gut organisieren etc.)?</w:t>
      </w:r>
    </w:p>
    <w:p>
      <w:pPr>
        <w:pStyle w:val="para40"/>
        <w:numPr>
          <w:ilvl w:val="0"/>
          <w:numId w:val="58"/>
        </w:numPr>
        <w:ind w:left="454" w:hanging="284"/>
        <w:spacing w:after="1180"/>
      </w:pPr>
      <w:r>
        <w:t>Was fällt mir leicht und führt zu besonderen Ergebnissen?</w:t>
      </w:r>
    </w:p>
    <w:p>
      <w:pPr>
        <w:pStyle w:val="para40"/>
        <w:numPr>
          <w:ilvl w:val="0"/>
          <w:numId w:val="58"/>
        </w:numPr>
        <w:ind w:left="454" w:hanging="284"/>
        <w:spacing w:after="1180"/>
      </w:pPr>
      <w:r>
        <w:t>An welche Erfolgssituationen in meinem Arbeitsleben erinnere ich mich spontan? Welchen Stärken verdanke ich meine bisherigen Erfolge?</w:t>
      </w:r>
    </w:p>
    <w:p>
      <w:pPr>
        <w:pStyle w:val="para40"/>
        <w:numPr>
          <w:ilvl w:val="0"/>
          <w:numId w:val="58"/>
        </w:numPr>
        <w:ind w:left="454" w:hanging="284"/>
        <w:spacing w:after="1180"/>
      </w:pPr>
      <w:r>
        <w:t>Wie unterscheidet sich meine Vorgehensweise bei Problemlösungen oder Aufgabenstellungen von der meiner Kollegen?</w:t>
      </w:r>
    </w:p>
    <w:p>
      <w:pPr>
        <w:pStyle w:val="para40"/>
        <w:numPr>
          <w:ilvl w:val="0"/>
          <w:numId w:val="58"/>
        </w:numPr>
        <w:ind w:left="454" w:hanging="284"/>
        <w:spacing w:after="1180"/>
      </w:pPr>
      <w:r>
        <w:t>Welche Herausforderungen habe ich bewältigt? Welche Aktionen habe ich dabei selbst ergriffen oder veranlasst?</w:t>
      </w:r>
    </w:p>
    <w:p>
      <w:pPr>
        <w:pStyle w:val="para40"/>
        <w:numPr>
          <w:ilvl w:val="0"/>
          <w:numId w:val="58"/>
        </w:numPr>
        <w:ind w:left="454" w:hanging="284"/>
        <w:spacing w:after="1180"/>
      </w:pPr>
      <w:r>
        <w:t>Auf welche messbaren Erfolge bin ich stolz (Kennzahlen wie Umsatz, Deckungsbeitrag, Kundenzufriedenheit)?</w:t>
      </w:r>
    </w:p>
    <w:p>
      <w:pPr>
        <w:pStyle w:val="para40"/>
        <w:numPr>
          <w:ilvl w:val="0"/>
          <w:numId w:val="58"/>
        </w:numPr>
        <w:ind w:left="454" w:hanging="284"/>
        <w:spacing w:after="1180"/>
      </w:pPr>
      <w:r>
        <w:t>Für welche Arbeitsergebnisse habe ich gutes Feedback bekommen? Welche Kompetenzen habe ich dabei gezeigt?</w:t>
      </w:r>
    </w:p>
    <w:p>
      <w:pPr>
        <w:pStyle w:val="para40"/>
        <w:numPr>
          <w:ilvl w:val="0"/>
          <w:numId w:val="58"/>
        </w:numPr>
        <w:ind w:left="454" w:hanging="284"/>
        <w:spacing w:after="1180"/>
      </w:pPr>
      <w:r>
        <w:t>Für welche Art von Aufgaben würden meine Kollegen mich empfehlen?</w:t>
      </w:r>
    </w:p>
    <w:p>
      <w:r>
        <w:t>Die Fragen zielen darauf, eine möglichst ehrliche Selbsteinschätzung durch Praxisbeispiele und Bewertungen Dritter zu ergänzen.</w:t>
      </w:r>
    </w:p>
    <w:p>
      <w:pPr>
        <w:pStyle w:val="para3"/>
        <w:numPr>
          <w:ilvl w:val="2"/>
          <w:numId w:val="42"/>
        </w:numPr>
        <w:ind w:left="737" w:hanging="737"/>
      </w:pPr>
      <w:r>
        <w:br w:type="page"/>
      </w:r>
      <w:bookmarkStart w:id="121" w:name="_TOC001058"/>
      <w:r>
        <w:t>Zielanalyse: Was will ich?</w:t>
      </w:r>
      <w:bookmarkEnd w:id="121"/>
      <w:r/>
    </w:p>
    <w:p>
      <w:pPr>
        <w:pStyle w:val="para40"/>
        <w:numPr>
          <w:ilvl w:val="0"/>
          <w:numId w:val="58"/>
        </w:numPr>
        <w:ind w:left="454" w:hanging="284"/>
        <w:spacing w:after="1380"/>
      </w:pPr>
      <w:r>
        <w:t>Was will ich wirklich (z.B. mehr Selbstbewusstsein, eine sinnvollere Arbeit, mehr Entscheidungsspielraum etc.)?</w:t>
      </w:r>
    </w:p>
    <w:p>
      <w:pPr>
        <w:pStyle w:val="para40"/>
        <w:numPr>
          <w:ilvl w:val="0"/>
          <w:numId w:val="58"/>
        </w:numPr>
        <w:ind w:left="454" w:hanging="284"/>
        <w:spacing w:after="1380"/>
      </w:pPr>
      <w:r>
        <w:t>Warum will ich das (weil ich z.B. ein klares Ziel brauche, weil ich mehr Geld verdienen will, weil das von mir erwartet wird etc.)?</w:t>
      </w:r>
    </w:p>
    <w:p>
      <w:pPr>
        <w:pStyle w:val="para40"/>
        <w:numPr>
          <w:ilvl w:val="0"/>
          <w:numId w:val="58"/>
        </w:numPr>
        <w:ind w:left="454" w:hanging="284"/>
        <w:spacing w:after="1380"/>
      </w:pPr>
      <w:r>
        <w:t>Wann stellt sich bei der Arbeit Zufriedenheit oder ein „Flow“-Gefühl ein?</w:t>
      </w:r>
    </w:p>
    <w:p>
      <w:pPr>
        <w:pStyle w:val="para40"/>
        <w:numPr>
          <w:ilvl w:val="0"/>
          <w:numId w:val="58"/>
        </w:numPr>
        <w:ind w:left="454" w:hanging="284"/>
        <w:spacing w:after="1380"/>
      </w:pPr>
      <w:r>
        <w:t>Welche Werte sind mir am wichtigsten, und wie passen sie zu den in meinem Arbeitsumfeld gelebten Werten?</w:t>
      </w:r>
    </w:p>
    <w:p>
      <w:pPr>
        <w:pStyle w:val="para40"/>
        <w:numPr>
          <w:ilvl w:val="0"/>
          <w:numId w:val="58"/>
        </w:numPr>
        <w:ind w:left="454" w:hanging="284"/>
        <w:spacing w:after="1380"/>
      </w:pPr>
      <w:r>
        <w:t>Welche Träume will ich mir beruflich noch erfüllen? Und was bin ich bereit, dafür zu tun?</w:t>
      </w:r>
    </w:p>
    <w:p>
      <w:pPr>
        <w:pStyle w:val="para40"/>
        <w:numPr>
          <w:ilvl w:val="0"/>
          <w:numId w:val="58"/>
        </w:numPr>
        <w:ind w:left="454" w:hanging="284"/>
        <w:spacing w:after="1380"/>
      </w:pPr>
      <w:r>
        <w:t>Wie sieht ein Arbeitsumfeld aus, in dem ich mich wohlfühle und optimale Ergebnisse liefere?</w:t>
      </w:r>
    </w:p>
    <w:p>
      <w:pPr>
        <w:pStyle w:val="para40"/>
        <w:numPr>
          <w:ilvl w:val="0"/>
          <w:numId w:val="58"/>
        </w:numPr>
        <w:ind w:left="454" w:hanging="284"/>
        <w:spacing w:after="1380"/>
      </w:pPr>
      <w:r>
        <w:t>Welchen Führungsstil erwarte oder wünsche ich mir idealer- weise?</w:t>
      </w:r>
    </w:p>
    <w:p>
      <w:r>
        <w:t>Die Fragen zielen darauf, der Karriere- und Weiterbildungsplanung die richtige Richtung zu geben und gleichzeitig zu prüfen, ob man die nötige Motivation mitbringt, die Employability entsprechend nachzuschärfen.</w:t>
      </w:r>
    </w:p>
    <w:p>
      <w:r/>
    </w:p>
    <w:p>
      <w:pPr>
        <w:pStyle w:val="para3"/>
        <w:numPr>
          <w:ilvl w:val="2"/>
          <w:numId w:val="42"/>
        </w:numPr>
        <w:ind w:left="737" w:hanging="737"/>
      </w:pPr>
      <w:r>
        <w:br w:type="page"/>
      </w:r>
      <w:bookmarkStart w:id="122" w:name="_TOC001059"/>
      <w:r>
        <w:t>Trendanalyse: Was wird gebraucht?</w:t>
      </w:r>
      <w:bookmarkEnd w:id="122"/>
      <w:r/>
    </w:p>
    <w:p>
      <w:pPr>
        <w:pStyle w:val="para40"/>
        <w:numPr>
          <w:ilvl w:val="0"/>
          <w:numId w:val="58"/>
        </w:numPr>
        <w:ind w:left="454" w:hanging="284"/>
        <w:spacing w:after="1500"/>
      </w:pPr>
      <w:r>
        <w:t>Welche Qualifikationen und Kompetenzen werden in meinem Arbeitsfeld immer mehr gebraucht? Welche werden unwichtiger? Welche Entwicklungen gibt es in meinem Fachgebiet? Womit beschäftigten sich andere Experten?</w:t>
      </w:r>
    </w:p>
    <w:p>
      <w:pPr>
        <w:pStyle w:val="para40"/>
        <w:numPr>
          <w:ilvl w:val="0"/>
          <w:numId w:val="58"/>
        </w:numPr>
        <w:ind w:left="454" w:hanging="284"/>
        <w:spacing w:after="1500"/>
      </w:pPr>
      <w:r>
        <w:t>Welche unerwarteten Anforderungen finden sich in Stellenausschreibungen, die meiner (Ziel-)Rolle entsprechen?</w:t>
      </w:r>
    </w:p>
    <w:p>
      <w:pPr>
        <w:pStyle w:val="para40"/>
        <w:numPr>
          <w:ilvl w:val="0"/>
          <w:numId w:val="58"/>
        </w:numPr>
        <w:ind w:left="454" w:hanging="284"/>
        <w:spacing w:after="1500"/>
      </w:pPr>
      <w:r>
        <w:t>Wie gut kenne ich die Strategie meines Unternehmens bzw. meines Bereiches?</w:t>
      </w:r>
    </w:p>
    <w:p>
      <w:pPr>
        <w:pStyle w:val="para40"/>
        <w:numPr>
          <w:ilvl w:val="0"/>
          <w:numId w:val="58"/>
        </w:numPr>
        <w:ind w:left="454" w:hanging="284"/>
        <w:spacing w:after="1500"/>
      </w:pPr>
      <w:r>
        <w:t>Welche großen Entwicklungen gibt es in anderen Bereichen, die auf mein Fachgebiet ausstrahlen könnten?</w:t>
      </w:r>
    </w:p>
    <w:p>
      <w:pPr>
        <w:pStyle w:val="para40"/>
        <w:numPr>
          <w:ilvl w:val="0"/>
          <w:numId w:val="58"/>
        </w:numPr>
        <w:ind w:left="454" w:hanging="284"/>
        <w:spacing w:after="1500"/>
      </w:pPr>
      <w:r>
        <w:t>Wie pflege ich meine beruflichen Netzwerke? Wie häufig tausche ich mich mit Fachleuten aus meinem Berufsbild aus?</w:t>
      </w:r>
    </w:p>
    <w:p>
      <w:pPr>
        <w:pStyle w:val="para40"/>
        <w:numPr>
          <w:ilvl w:val="0"/>
          <w:numId w:val="58"/>
        </w:numPr>
        <w:ind w:left="454" w:hanging="284"/>
        <w:spacing w:after="1500"/>
      </w:pPr>
      <w:r>
        <w:t>Wie halte ich mich über Trends in meinem Arbeitsgebiet auf dem Laufenden?</w:t>
      </w:r>
    </w:p>
    <w:p>
      <w:r>
        <w:t>Wenn es um einen strategischen Ausbau der Employability geht, braucht es neben dem Blick auf aktuelle Anforderungen auch die Auseinandersetzung mit Trends, um künftige Bedarfe antizipieren zu können. Für die Erfassung von Markttendenzen sind Fach- und Wissenschaftspublikationen, Fachmessen, Jobbörsen und Netzwerkpartner gute Indikatoren.</w:t>
      </w:r>
    </w:p>
    <w:p>
      <w:r/>
    </w:p>
    <w:p>
      <w:pPr>
        <w:pStyle w:val="para2"/>
        <w:numPr>
          <w:ilvl w:val="1"/>
          <w:numId w:val="42"/>
        </w:numPr>
        <w:ind w:left="578" w:hanging="578"/>
      </w:pPr>
      <w:r>
        <w:br w:type="page"/>
      </w:r>
      <w:bookmarkStart w:id="123" w:name="_Toc362531520"/>
      <w:r/>
      <w:bookmarkEnd w:id="123"/>
      <w:r>
        <w:t>Eine Selbsteinschätzung in Bezug auf die berufliche Zukunft</w:t>
      </w:r>
    </w:p>
    <w:p>
      <w:pPr>
        <w:pStyle w:val="para40"/>
        <w:numPr>
          <w:ilvl w:val="0"/>
          <w:numId w:val="58"/>
        </w:numPr>
        <w:ind w:left="454" w:hanging="284"/>
        <w:spacing w:after="2000"/>
      </w:pPr>
      <w:r>
        <w:t>Was macht mich als Persönlichkeit aus (wie ausgeprägt sind z.B. meine Motivation, meine Veränderungsfähigkeit, meine Werteorientierung)?</w:t>
      </w:r>
    </w:p>
    <w:p>
      <w:pPr>
        <w:pStyle w:val="para40"/>
        <w:numPr>
          <w:ilvl w:val="0"/>
          <w:numId w:val="58"/>
        </w:numPr>
        <w:ind w:left="454" w:hanging="284"/>
        <w:spacing w:after="2000"/>
      </w:pPr>
      <w:r>
        <w:t>Welche Anforderungen habe ich an meine berufliche Zukunft (wie wichtig ist mir z.B. eine Führungsposition oder fachlicher Tiefgang meiner Aufgaben)?</w:t>
      </w:r>
    </w:p>
    <w:p>
      <w:pPr>
        <w:pStyle w:val="para40"/>
        <w:numPr>
          <w:ilvl w:val="0"/>
          <w:numId w:val="58"/>
        </w:numPr>
        <w:ind w:left="454" w:hanging="284"/>
        <w:spacing w:after="2000"/>
      </w:pPr>
      <w:r>
        <w:t>Welche Themen in meinem Fachgebiet interessieren mich besonders, unabhängig von Job- oder Verdienstmöglichkeiten?</w:t>
      </w:r>
    </w:p>
    <w:p>
      <w:pPr>
        <w:pStyle w:val="para40"/>
        <w:numPr>
          <w:ilvl w:val="0"/>
          <w:numId w:val="58"/>
        </w:numPr>
        <w:ind w:left="454" w:hanging="284"/>
        <w:spacing w:after="2000"/>
      </w:pPr>
      <w:r>
        <w:t>Wie lernfähig und -willig bin ich? Welche Weiterbildungsumfänge kann ich realistischerweise bewältigen?</w:t>
      </w:r>
    </w:p>
    <w:p>
      <w:pPr>
        <w:pStyle w:val="para40"/>
        <w:numPr>
          <w:ilvl w:val="0"/>
          <w:numId w:val="58"/>
        </w:numPr>
        <w:ind w:left="454" w:hanging="284"/>
        <w:spacing w:after="2000"/>
      </w:pPr>
      <w:r>
        <w:t>Wie passt meine Karriere- und Weiterbildungsplanung zu meinem Privatleben? Worauf bin ich bereit zu verzichten?</w:t>
      </w:r>
    </w:p>
    <w:p>
      <w:r/>
    </w:p>
    <w:p>
      <w:pPr>
        <w:pStyle w:val="para2"/>
        <w:numPr>
          <w:ilvl w:val="1"/>
          <w:numId w:val="42"/>
        </w:numPr>
        <w:ind w:left="578" w:hanging="578"/>
      </w:pPr>
      <w:r>
        <w:br w:type="page"/>
      </w:r>
      <w:bookmarkStart w:id="124" w:name="_TOC001060"/>
      <w:r>
        <w:t>Meine Stärken in der Führungsarbeit, worin bin ich richtig gut?</w:t>
      </w:r>
      <w:bookmarkEnd w:id="124"/>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Welche Stärken haben Sie, die Sie bei der Führungsarbeit unterstützen? In der folgenden Tabelle finden Sie Beispiele für Stärken, die Sie ankreuzen können, wenn diese auf Sie zutreffen. In den freien Kästchen können Sie weitere Stärken, die Sie in der Führungsarbeit unterstützen, eintragen.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Das Ergebnis ist nur für Sie als Selbstreflexion Ihrer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Finden Sie mindestens 5 Stärken als Grundlage für Ihre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tbl>
      <w:tblPr>
        <w:tblStyle w:val="TableNormal"/>
        <w:name w:val="Tabelle83"/>
        <w:tabOrder w:val="0"/>
        <w:jc w:val="left"/>
        <w:tblInd w:w="0" w:type="dxa"/>
        <w:tblW w:w="9065" w:type="dxa"/>
        <w:pPr>
          <w:spacing/>
          <w:jc w:val="left"/>
        </w:pPr>
        <w:tblLook w:val="0600" w:firstRow="0" w:lastRow="0" w:firstColumn="0" w:lastColumn="0" w:noHBand="1" w:noVBand="1"/>
      </w:tblPr>
      <w:tblGrid>
        <w:gridCol w:w="3021"/>
        <w:gridCol w:w="3022"/>
        <w:gridCol w:w="3022"/>
      </w:tblGrid>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Allgemeinwissen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Texte verfassen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Improvisieren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Computer bedienen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Organisieren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Kreativ sein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Sprachen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Zeichnen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Initiative ergreifen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Konflikte lösen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Sich selbstständig Wissen aneignen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Andere in eine Gruppe integrieren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Handwerkliche Fähigkeiten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Genauigkeit / präzise Arbeiten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Mehrere Dinge auf einmal tun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Protokolle schreiben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Kontakte knüpfen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Mit Stress umgehen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Entscheidungen treffen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Eigenständig arbeiten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Dinge anschaulich erklären</w:t>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exac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bl>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Weitere Stärken können in den leeren Zellen ersetzt werden.</w:t>
      </w:r>
    </w:p>
    <w:p>
      <w:pPr>
        <w:pStyle w:val="para2"/>
        <w:numPr>
          <w:ilvl w:val="1"/>
          <w:numId w:val="42"/>
        </w:numPr>
        <w:ind w:left="578" w:hanging="578"/>
      </w:pPr>
      <w:r>
        <w:br w:type="page"/>
      </w:r>
      <w:bookmarkStart w:id="125" w:name="_Toc349302543"/>
      <w:r/>
      <w:bookmarkEnd w:id="125"/>
      <w:r/>
      <w:bookmarkStart w:id="126" w:name="_Toc362531521"/>
      <w:r/>
      <w:bookmarkEnd w:id="126"/>
      <w:r>
        <w:t>Persönliche Überzeugungen in Bezug auf Ihre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Welche Überzeugungen haben Sie, die Sie in Ihrer Führungsaufgabe unterstützen?</w:t>
      </w:r>
    </w:p>
    <w:p>
      <w:pPr>
        <w:ind w:firstLine="0"/>
        <w:spacing w:after="0" w:line="240" w:lineRule="auto"/>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Times New Roman" w:cs="Times New Roman"/>
          <w:sz w:val="22"/>
        </w:rPr>
      </w:pPr>
      <w:r/>
      <w:bookmarkStart w:id="127" w:name="_Toc319914621"/>
      <w:r/>
      <w:bookmarkEnd w:id="127"/>
      <w:r/>
      <w:r>
        <w:rPr>
          <w:rFonts w:eastAsia="Times New Roman" w:cs="Times New Roman"/>
          <w:sz w:val="22"/>
        </w:rPr>
      </w:r>
    </w:p>
    <w:p>
      <w:pPr>
        <w:pStyle w:val="para2"/>
        <w:numPr>
          <w:ilvl w:val="1"/>
          <w:numId w:val="42"/>
        </w:numPr>
        <w:ind w:left="578" w:hanging="578"/>
      </w:pPr>
      <w:r>
        <w:br w:type="page"/>
      </w:r>
      <w:bookmarkStart w:id="128" w:name="_Toc349302544"/>
      <w:r/>
      <w:bookmarkEnd w:id="128"/>
      <w:r/>
      <w:bookmarkStart w:id="129" w:name="_Toc362531522"/>
      <w:r/>
      <w:bookmarkEnd w:id="129"/>
      <w:r>
        <w:t>Meine Werte als Grundlage für meine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In der folgenden Tabelle finden Sie Werte, welche eine Führungspersönlichkeit haben könnte. Sie können hier sowohl auswählen und ankreuzen als auch Ergänzungen in den freien Kästchen vornehmen.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Welche Ihrer inneren Werte müssen für Sie als Führungskraft erfüllt sein, wenn Sie erfolgreich führen? Das Ergebnis ist nur für Sie als Selbstreflexion Ihrer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Finden Sie mindestens 5 Werte als Grundlage für Ihre Führungsarbeit.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tbl>
      <w:tblPr>
        <w:tblStyle w:val="TableNormal"/>
        <w:name w:val="Tabelle2"/>
        <w:tabOrder w:val="0"/>
        <w:jc w:val="left"/>
        <w:tblInd w:w="0" w:type="dxa"/>
        <w:tblW w:w="9065" w:type="dxa"/>
        <w:pPr>
          <w:spacing/>
          <w:jc w:val="left"/>
        </w:pPr>
        <w:tblLook w:val="0600" w:firstRow="0" w:lastRow="0" w:firstColumn="0" w:lastColumn="0" w:noHBand="1" w:noVBand="1"/>
      </w:tblPr>
      <w:tblGrid>
        <w:gridCol w:w="3021"/>
        <w:gridCol w:w="3022"/>
        <w:gridCol w:w="3022"/>
      </w:tblGrid>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Von anderen mit Respekt behandelt zu werden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Positive Lebenshaltung</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Umwelt schützen</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Zuverlässigkeit</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Gleichberechtigung</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Sicherheit</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Ehrlichkeit</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Integration Andersdenkender</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Unabhängigkeit / Freiheit</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Entspannung / Ruhe</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Loyalität</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Mit anderen geduldig sein</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Höflichen Umgang pflegen</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Kollegialität</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Wissen teilen</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Wertschätzung</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Friede</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Diszipliniert sein</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Glaube</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Arbeit für alle</w:t>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t>Offenheit</w:t>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r>
        <w:trPr>
          <w:tblHeader w:val="0"/>
          <w:cantSplit w:val="0"/>
          <w:trHeight w:val="851" w:hRule="atLeast"/>
        </w:trPr>
        <w:tc>
          <w:tcPr>
            <w:tcW w:w="3021"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c>
          <w:tcPr>
            <w:tcW w:w="3022" w:type="dxa"/>
            <w:vAlign w:val="center"/>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pPr>
            <w:r/>
          </w:p>
        </w:tc>
      </w:tr>
    </w:tbl>
    <w:p>
      <w:pPr>
        <w:ind w:firstLine="0"/>
        <w:spacing w:after="120"/>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Weitere Werte können in den leeren Zellen eingesetzt erden.</w:t>
      </w:r>
    </w:p>
    <w:p>
      <w:pPr>
        <w:pStyle w:val="para3"/>
        <w:numPr>
          <w:ilvl w:val="2"/>
          <w:numId w:val="42"/>
        </w:numPr>
        <w:ind w:left="737" w:hanging="737"/>
      </w:pPr>
      <w:r>
        <w:br w:type="page"/>
      </w:r>
      <w:bookmarkStart w:id="130" w:name="_Toc334988864"/>
      <w:r/>
      <w:bookmarkEnd w:id="130"/>
      <w:r/>
      <w:bookmarkStart w:id="131" w:name="_Toc349302545"/>
      <w:r/>
      <w:bookmarkEnd w:id="131"/>
      <w:r/>
      <w:bookmarkStart w:id="132" w:name="_Toc362531523"/>
      <w:r/>
      <w:bookmarkEnd w:id="132"/>
      <w:r>
        <w:t>Eigene Werte ermitteln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Finden Sie zunächst Ihre eigenen Werte heraus. Dann wissen Sie, was Sie bisher unbewusst angetrieben hat. Wenn Sie diese kennen, gelingt es Ihnen leichter, herauszufinden, was anderen Personen wichtig ist. Sie können diese dann leichter führen.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Beginnen wir mit den Werten in der Kategorie 'Arbeit'.</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ist Ihnen an Ihrer Arbeit wichtig?</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erwarten Sie von Ihrer Arbeit?</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hält Sie an Ihrem Arbeitsplatz?</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Welche fünf Dinge tragen dazu bei, dass Sie Ihre Arbeit gut machen?</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Warum sind Ihnen diese Dinge wichtig?</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Welche fünf Dinge mögen Sie an Ihrer Arbeit?</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Warum sind sie Ihnen wichtig?</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könnte Sie veranlassen, Ihre jetzige Arbeit aufzugeben?</w:t>
      </w:r>
    </w:p>
    <w:p>
      <w:pPr>
        <w:numPr>
          <w:ilvl w:val="0"/>
          <w:numId w:val="79"/>
        </w:numPr>
        <w:ind w:left="567" w:hanging="360"/>
        <w:spacing w:after="9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würde Sie gerne an Ihrer Arbeit verändern, damit sie befriedigender für Sie wird?</w:t>
      </w:r>
    </w:p>
    <w:p>
      <w:pPr>
        <w:numPr>
          <w:ilvl w:val="0"/>
          <w:numId w:val="79"/>
        </w:numPr>
        <w:ind w:left="567" w:hanging="360"/>
        <w:spacing w:after="960"/>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ist für Sie unverzichtbar?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page"/>
      </w:r>
      <w:r>
        <w:rPr>
          <w:rFonts w:eastAsia="Cambria" w:cs="Basic Roman"/>
          <w:szCs w:val="24"/>
        </w:rPr>
        <w:t>Sie haben sicher mit Ihrer Arbeit gelegentlich etwas erreicht, was sich richtig gelohnt hat. Sie haben dann wahrscheinliche diese Tätigkeit mit hoher innerer Zufriedenheit abgeschlossen. Wählen Sie Beispiele aus und zeigen Sie auf, was an diesen Erfahrungen für Sie wichtig war.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 xml:space="preserve">Diese Fragen zielen darauf ab, sich über Ihre Werte klar zu werden, welche Sie durch Ihre Arbeit erfüllen.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Suchen Sie drei bis fünf Werte und ergründen, was Ihnen an Ihrer Arbeit wichtig ist.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numPr>
          <w:ilvl w:val="0"/>
          <w:numId w:val="79"/>
        </w:numPr>
        <w:ind w:left="567" w:hanging="360"/>
        <w:spacing w:after="3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Wenn Sie mit Ihrer Arbeit etwas erreicht haben, was sich richtig gelohnt hat, was war das Besondere an diesem Vorgang?</w:t>
      </w:r>
    </w:p>
    <w:p>
      <w:pPr>
        <w:numPr>
          <w:ilvl w:val="0"/>
          <w:numId w:val="79"/>
        </w:numPr>
        <w:ind w:left="567" w:hanging="360"/>
        <w:spacing w:after="3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schätzen Sie an Ihrer Arbeit, das Sie mit Geld nicht kaufen können?</w:t>
      </w:r>
    </w:p>
    <w:p>
      <w:pPr>
        <w:numPr>
          <w:ilvl w:val="0"/>
          <w:numId w:val="79"/>
        </w:numPr>
        <w:ind w:left="567" w:hanging="360"/>
        <w:spacing w:after="3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Was schätzen Sie an den Menschen, mit denen Sie zusammenarbeiten?</w:t>
      </w:r>
    </w:p>
    <w:p>
      <w:pPr>
        <w:pStyle w:val="para3"/>
        <w:numPr>
          <w:ilvl w:val="2"/>
          <w:numId w:val="42"/>
        </w:numPr>
        <w:ind w:left="737" w:hanging="737"/>
      </w:pPr>
      <w:r>
        <w:br w:type="page"/>
      </w:r>
      <w:bookmarkStart w:id="133" w:name="_Toc334988865"/>
      <w:r/>
      <w:bookmarkEnd w:id="133"/>
      <w:r/>
      <w:bookmarkStart w:id="134" w:name="_Toc349302546"/>
      <w:r/>
      <w:bookmarkEnd w:id="134"/>
      <w:r/>
      <w:bookmarkStart w:id="135" w:name="_Toc362531524"/>
      <w:r/>
      <w:bookmarkEnd w:id="135"/>
      <w:r>
        <w:t>Kriterien für das Erfüllen Ihrer Werte</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Sie haben auf der Seite 33 Ihre Werte ermittelt, welche die Grundlage für Ihre Führungsarbeit sind. Was muss bei Ihrer Arbeit geschehen, damit Ihre Werte erfüllt werden, und woran werden Sie es erkennen? </w:t>
      </w:r>
    </w:p>
    <w:p>
      <w:pPr>
        <w:numPr>
          <w:ilvl w:val="0"/>
          <w:numId w:val="79"/>
        </w:numPr>
        <w:ind w:left="567" w:hanging="360"/>
        <w:spacing w:after="32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Stellen Sie sich die Frage: "Was muss geschehen, damit ein Wert erfüllt wird und woran erkenne ich das?"</w:t>
      </w:r>
    </w:p>
    <w:p>
      <w:pPr>
        <w:numPr>
          <w:ilvl w:val="0"/>
          <w:numId w:val="79"/>
        </w:numPr>
        <w:ind w:left="567" w:hanging="360"/>
        <w:spacing w:after="32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Sie haben sicher schon einmal eine Situation erlebt, in der ein Wert erfüllt wurde. Das ist eine Referenzerfahrung für diesen Wert. Was ist da geschehen und woran haben Sie es erkannt?</w:t>
      </w:r>
    </w:p>
    <w:p>
      <w:pPr>
        <w:numPr>
          <w:ilvl w:val="0"/>
          <w:numId w:val="79"/>
        </w:numPr>
        <w:ind w:left="567" w:hanging="360"/>
        <w:spacing w:after="32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Das Gegenteil kann geschehen, Ihr Wert wird missachtet. Was muss geschehen, damit Sie erkennen, dass ein Wert missachtet wurde? Gibt es dazu auch Referenzerfahrungen?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br w:type="page"/>
      </w:r>
      <w:r>
        <w:rPr>
          <w:rFonts w:eastAsia="Cambria"/>
          <w:szCs w:val="24"/>
        </w:rPr>
        <w:t>Hieraus können Sie Regeln entwickeln, was passieren muss, damit ein Wert erfüllt oder missachtet wird. Dazu gibt es genauere Fragen:</w:t>
      </w:r>
    </w:p>
    <w:p>
      <w:pPr>
        <w:numPr>
          <w:ilvl w:val="0"/>
          <w:numId w:val="79"/>
        </w:numPr>
        <w:ind w:left="737"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 xml:space="preserve">Wie leicht oder schwer sind die Regeln für Ihre Werte zu erfüllen? </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Wir unterscheiden hier zwei Möglichkeiten:</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Sie könnten viele verschiedene Regeln für die Fälle haben, in denen Ihre Werte missachtet werden, aber nur wenige Regeln für den Fall, dass die Werte erfüllt werden.</w:t>
      </w:r>
    </w:p>
    <w:p>
      <w:pPr>
        <w:ind w:left="720" w:firstLine="0"/>
        <w:spacing w:after="16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Oder Sie haben nur wenige Regeln, reagieren ab sensibel darauf, wenn Werte missachtet werden.</w:t>
      </w:r>
    </w:p>
    <w:p>
      <w:pPr>
        <w:numPr>
          <w:ilvl w:val="0"/>
          <w:numId w:val="79"/>
        </w:numPr>
        <w:ind w:left="737" w:hanging="360"/>
        <w:spacing w:after="16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Können Sie die Regeln verändern? Haben Sie die Kontrolle darüber?</w:t>
      </w:r>
    </w:p>
    <w:p>
      <w:pPr>
        <w:numPr>
          <w:ilvl w:val="0"/>
          <w:numId w:val="79"/>
        </w:numPr>
        <w:ind w:left="737" w:hanging="360"/>
        <w:spacing w:after="160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Wer liefert die Beweise, nach denen Sie urteilen, ob Werte erfüllt oder missachtet werden? Kommen diese von Ihnen oder sind es die Reaktionen der anderen?</w:t>
      </w:r>
    </w:p>
    <w:p>
      <w:pPr>
        <w:numPr>
          <w:ilvl w:val="0"/>
          <w:numId w:val="79"/>
        </w:numPr>
        <w:ind w:left="737"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Gibt es viele Möglichkeiten, Ihre Regeln zu verletzen, und vergleichsweise wenige Möglichkeiten, sie zu erfüllen?</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Wenn Ihre Werte nur schwer zu erfüllen sind, dann sind Sie wahrscheinlich schwer zufriedenzustellen. Sie haben dann nämlich sehr viel mehr Gelegenheit, sich schlecht zu fühlen, und nur wenig Gelegenheit, sich gut zu fühlen.</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Oder gibt es mehr Möglichkeiten, Ihre Werte zu erreichen, und weniger Gelegenheiten, sie zu missachten?</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In diesem Falle wäre es leicht, Ihre Werte zu erfüllen, und Sie hätten sehr oft Gelegenheit, sich gut zu fühlen.</w:t>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left="720"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szCs w:val="24"/>
        </w:rPr>
      </w:pPr>
      <w:r>
        <w:rPr>
          <w:rFonts w:eastAsia="Cambria"/>
          <w:szCs w:val="24"/>
        </w:rPr>
        <w:t>Sie haben nun Ihre Werte und die Regeln zu deren Erfüllung erforscht. Als nächstes sollten Sie über Ihre Ziele nachdenken. Was wollen Sie?</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numPr>
          <w:ilvl w:val="1"/>
          <w:numId w:val="42"/>
        </w:numPr>
        <w:ind w:left="578" w:hanging="578"/>
      </w:pPr>
      <w:r>
        <w:br w:type="page"/>
      </w:r>
      <w:bookmarkStart w:id="136" w:name="_TOC000010"/>
      <w:r/>
      <w:bookmarkStart w:id="137" w:name="_TOC001535"/>
      <w:r/>
      <w:bookmarkStart w:id="138" w:name="_TOC001406"/>
      <w:r/>
      <w:bookmarkStart w:id="139" w:name="_Toc362531526"/>
      <w:r/>
      <w:bookmarkEnd w:id="139"/>
      <w:r/>
      <w:bookmarkEnd w:id="137"/>
      <w:r/>
      <w:bookmarkStart w:id="140" w:name="_TOC001772"/>
      <w:r/>
      <w:bookmarkEnd w:id="140"/>
      <w:r/>
      <w:bookmarkEnd w:id="138"/>
      <w:r/>
      <w:bookmarkStart w:id="141" w:name="_TOC001471"/>
      <w:r/>
      <w:bookmarkEnd w:id="141"/>
      <w:r>
        <w:t>Gewinner und Verlierer als Ergebnis von Denkgewohnheiten</w:t>
      </w:r>
      <w:bookmarkEnd w:id="136"/>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Führungspersönlichkeiten sind Optimisten und betrachten sich gerne als Gewinner. Sie sind überzeugt davon, dass sie Dinge beeinflussen können. Sie planen voraus und suchen nach möglichen Fallen und Hindernissen, um diese rechtzeitig beseitigen zu können. Sie sind entschlossen und rechnen fest mit ihrem Erfolg. Gewinnen ist eine Überzeugung und eine innere Haltung. Ihr Fokus ist auf das positive Ergebnis gerichtet. Verlierer dagegen beginnen eine Sache meist mit der Überzeugung, dass etwas schief gehen wird. Der Fokus ist auf das Scheitern gerichtet.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Der Fokus der Aufmerksamkeit bestimmt das Ergebnis.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Eine positive oder negative Erwartungshaltung ist eine Fertigkeit, die wir seit unserer Kindheit kontinuierlich entwickelt haben. Sie wurde durch Erfolge oder durch Scheitern geformt und bestätigt. Wir haben Verhaltensweisen, Überzeugungen, Werte und Erwartungshaltungen von unseren Eltern oder anderen Personen, die wir als Vorbild gewählt hatten, übernommen. Heute steuern uns diese gelernten Muster und machen uns zu dem, der wir sind. Wenn wir uns bewusst sind, dass dies das Ergebnis eines kontinuierlichen Lernprozesses ist, können wir dieses zunächst als Erkenntnis akzeptieren. Im nächsten Schritt suchen wir uns die Vorbilder mit den Eigenschaften, die wir ergänzend lernen möchten.</w:t>
      </w:r>
    </w:p>
    <w:p>
      <w:pPr>
        <w:pStyle w:val="para3"/>
        <w:numPr>
          <w:ilvl w:val="2"/>
          <w:numId w:val="42"/>
        </w:numPr>
        <w:ind w:left="737" w:hanging="737"/>
      </w:pPr>
      <w:bookmarkStart w:id="142" w:name="_Toc362531535"/>
      <w:r/>
      <w:bookmarkEnd w:id="142"/>
      <w:r>
        <w:t>Wie sich Erwartungshaltungen entwickeln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Über unsere Sinne nehmen wir mehr Information auf, als wir verarbeiten können. Deshalb hat die Natur hier Selektionsmechanismen installiert, die unbewusst ablaufen.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Wir nehmen zunächst alles wahr, was wir kennen, worauf wir und konzentrieren und was gefährlich sein könnte. Letzteres hat unseren Vorfahren in der Zeit des Säbelzahntigers das Überleben gerettet. Da diese Fähigkeit damals gut ausgeprägt war ist sie heute immer noch vorhanden.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Das Wahrgenommene wird mit unserem Wissen über die Welt in Beziehung gesetzt und bewertet. Die Ergebnisspanne reicht von gut über neutral bis hin zu risikoreich entsprechend dem, was wir von der Welt erwarten oder über sie wissen.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Ist etwas nicht stimmig oder unseres Erachtens unvollständig, beginnen wir zu Interpretieren. Das heißt, wir ergänzen bzw. verändern die Information so, dass sie in unser Weltbild passt. Diese Informationsanpassung, auch Verzerrung genannt, reicht von Kreativität eines Designers bis hin zu Wahnvorstellungen und Paranoia.</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Schließlich generalisieren bzw. verallgemeinern wir. Aufgrund von früheren Erfahrungen haben wir Regeln über oder Erwartungshaltungen an die Welt entwickelt, die uns Sicherheit bieten. Werden sie durch neue Ereignisse bestätigt, verstärken sie sich. Die Welt 'ist' halt so. Mit diesem Wissen wird die Welt sicherer und vorhersehbarer. Ein Beispiel ist das Autofahren. Haben wir es erst einmal verinnerlicht, können wir praktisch alle Modelle aller Jahrgänge fahren.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Diese Generalisierungen können uns aber auch einschränken. Negative Erfahrungen aus der Vergangenheit können uns zu negativen Erwartungen an die Zukunft führen.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Auch sprachlich drücken sich negative Erfahrungen in Worten wie 'alle', 'jeder', 'niemand' oder 'immer' aus. Im Betriebsalltag finden wir solche Aussagen wie: "Das hat hier noch nie funktioniert!"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Überzeugungen sind Generalisierungen über Erfahrungen aus der Vergangenheit. Mit ihrer Hilfe formen wir unsere Gegenwart und unsere Erwartungshaltung an sie. Das etwas 'so ist' lässt sich auf unbelebte Objekte anwenden, die sich kaum verändern. Menschen dagegen verändern sich und keiner ist wie der Andere. Sie machen ständig Erfahrungen und lernen somit hinzu. Überzeugungen über Menschen sollten ständig überprüft werden, denn der Mensch kann sich verändern.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Mit unserem Wissen über die Welt und den daraus entwickelten Überzeugungen entwickeln wir eine Erwartungshaltung an die Welt, welche den Fokus unserer Aufmerksamkeit ausrichtet. Dies wiederum filtert die Wahrnehmung, sodass hier eine Selbstbestätigung unserer Überzeugungen und Erwartungshaltung stattfindet. Dies sind die selbsterfüllenden Prophezeiungen.</w:t>
      </w:r>
    </w:p>
    <w:p>
      <w:pPr>
        <w:pStyle w:val="para3"/>
        <w:numPr>
          <w:ilvl w:val="2"/>
          <w:numId w:val="42"/>
        </w:numPr>
        <w:ind w:left="737" w:hanging="737"/>
      </w:pPr>
      <w:bookmarkStart w:id="143" w:name="_Toc362531536"/>
      <w:r/>
      <w:bookmarkEnd w:id="143"/>
      <w:r>
        <w:t>Die Strategie der Gewinner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Gewinner bzw. Optimisten haben eine eigene Strategie zu generalisieren. Schlechte Erfahrungen bestehen für sie aus einer Kombination des eigenen Handelns mit äußeren ungünstigen Umständen, die außerhalb ihrer Kontrolle lagen. Sie übernehmen die Verantwortung für die Ergebnisse und nutzen diese als Feedback. Durch eine Analyse finden sie heraus, was sie beim nächsten Mal anders machen werden. Sie lernen also aus ihren Fehlern. Die schlechte Erfahrung wird als Einzelfall betrachtet, der nur wenig Auswirkung auf ihr übriges Handeln hat.</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Läuft es gut, denken Optimisten genau entgegengesetzt. Sie generalisieren ihren eigenen Anteil am Erfolg, nehmen den Verdienst an der eigenen Leistung an und fühlen sich gut. Sie verbinden diese Erfahrung mit früheren Erfolgen und projizieren dies in die Zukunft. Optimisten wissen, dass sie kompetent und erfolgreich sind, weil sie ihre Sache gut gemacht haben. </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Optimismus ist also eine Denkstrategie, die Art, wie sie über sich und ihre Erfahrung denken.</w:t>
      </w:r>
    </w:p>
    <w:p>
      <w:pPr>
        <w:rPr>
          <w:b/>
          <w:bCs/>
        </w:rPr>
      </w:pPr>
      <w:r/>
      <w:bookmarkStart w:id="144" w:name="_Toc362531537"/>
      <w:r/>
      <w:bookmarkEnd w:id="144"/>
      <w:r/>
      <w:r>
        <w:rPr>
          <w:b/>
          <w:bCs/>
        </w:rPr>
        <w:t>Gewinnerstrategie: Aus Fehlern wird Wissen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Eine schlechte Erfahrung ist:</w:t>
      </w:r>
    </w:p>
    <w:p>
      <w:pPr>
        <w:pStyle w:val="para40"/>
        <w:numPr>
          <w:ilvl w:val="0"/>
          <w:numId w:val="58"/>
        </w:numPr>
        <w:ind w:left="454" w:hanging="284"/>
      </w:pPr>
      <w:r>
        <w:t>ein Ergebnis Ihres Handelns und äußerer Umstände</w:t>
      </w:r>
    </w:p>
    <w:p>
      <w:pPr>
        <w:pStyle w:val="para40"/>
        <w:numPr>
          <w:ilvl w:val="0"/>
          <w:numId w:val="58"/>
        </w:numPr>
        <w:ind w:left="454" w:hanging="284"/>
      </w:pPr>
      <w:r>
        <w:t>Feedback, um daraus zu lernen und eine Wiederholung zu vermeiden</w:t>
      </w:r>
    </w:p>
    <w:p>
      <w:pPr>
        <w:pStyle w:val="para40"/>
        <w:numPr>
          <w:ilvl w:val="0"/>
          <w:numId w:val="58"/>
        </w:numPr>
        <w:ind w:left="454" w:hanging="284"/>
      </w:pPr>
      <w:r>
        <w:t>das Ergebnis eines Fehlers; der Betreffende wird dadurch keine inkompetente Person</w:t>
      </w:r>
    </w:p>
    <w:p>
      <w:pPr>
        <w:pStyle w:val="para40"/>
        <w:numPr>
          <w:ilvl w:val="0"/>
          <w:numId w:val="58"/>
        </w:numPr>
        <w:ind w:left="454" w:hanging="284"/>
      </w:pPr>
      <w:r>
        <w:t>ein spezifisches und einmaliges Ereignis.</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Eine gute Erfahrung ist:</w:t>
      </w:r>
    </w:p>
    <w:p>
      <w:pPr>
        <w:pStyle w:val="para40"/>
        <w:numPr>
          <w:ilvl w:val="0"/>
          <w:numId w:val="58"/>
        </w:numPr>
        <w:ind w:left="454" w:hanging="284"/>
      </w:pPr>
      <w:r>
        <w:t>Beweis für eine gute Einschätzung und gutes Timing</w:t>
      </w:r>
    </w:p>
    <w:p>
      <w:pPr>
        <w:pStyle w:val="para40"/>
        <w:numPr>
          <w:ilvl w:val="0"/>
          <w:numId w:val="58"/>
        </w:numPr>
        <w:ind w:left="454" w:hanging="284"/>
      </w:pPr>
      <w:r>
        <w:t>etwas, für das man den Verdienst annimmt und sich gut fühlt</w:t>
      </w:r>
    </w:p>
    <w:p>
      <w:pPr>
        <w:pStyle w:val="para40"/>
        <w:numPr>
          <w:ilvl w:val="0"/>
          <w:numId w:val="58"/>
        </w:numPr>
        <w:ind w:left="454" w:hanging="284"/>
      </w:pPr>
      <w:r>
        <w:t>etwas, von dem man lernen und das man wiederholen kann</w:t>
      </w:r>
    </w:p>
    <w:p>
      <w:pPr>
        <w:pStyle w:val="para40"/>
        <w:numPr>
          <w:ilvl w:val="0"/>
          <w:numId w:val="58"/>
        </w:numPr>
        <w:ind w:left="454" w:hanging="284"/>
      </w:pPr>
      <w:r>
        <w:t>Beweis dafür, dass man eine kompetente Person ist</w:t>
      </w:r>
    </w:p>
    <w:p>
      <w:pPr>
        <w:pStyle w:val="para40"/>
        <w:numPr>
          <w:ilvl w:val="0"/>
          <w:numId w:val="58"/>
        </w:numPr>
        <w:ind w:left="454" w:hanging="284"/>
      </w:pPr>
      <w:r>
        <w:t>ein weiteres Teil in einem Erfolgsmuster.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pStyle w:val="para3"/>
        <w:numPr>
          <w:ilvl w:val="2"/>
          <w:numId w:val="42"/>
        </w:numPr>
        <w:ind w:left="737" w:hanging="737"/>
      </w:pPr>
      <w:bookmarkStart w:id="145" w:name="_Toc362531538"/>
      <w:r/>
      <w:bookmarkEnd w:id="145"/>
      <w:r>
        <w:t>Die Strategie der Verlierer</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Die Verliererstrategie dagegen ist eher destruktiv. Sie fokussieren sich auf Fehlschläge und verallgemeinern diese. Langfristig gesehen ist dies sogar ungesund.</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 xml:space="preserve">Die Medizin kennt für sie den Begriff ISG (Internal, Stabil, Global): </w:t>
      </w:r>
    </w:p>
    <w:p>
      <w:pPr>
        <w:pStyle w:val="para40"/>
        <w:numPr>
          <w:ilvl w:val="0"/>
          <w:numId w:val="58"/>
        </w:numPr>
        <w:ind w:left="454" w:hanging="284"/>
      </w:pPr>
      <w:r>
        <w:t xml:space="preserve">Internal, weil der Fokus auf das gerichtet ist, was man getan hat, und das führt zu Selbstanklagen. </w:t>
      </w:r>
    </w:p>
    <w:p>
      <w:pPr>
        <w:pStyle w:val="para40"/>
        <w:numPr>
          <w:ilvl w:val="0"/>
          <w:numId w:val="58"/>
        </w:numPr>
        <w:ind w:left="454" w:hanging="284"/>
      </w:pPr>
      <w:r>
        <w:t xml:space="preserve">Stabil, weil das Muster von Versagen als nicht veränderbar angesehen wird, und </w:t>
      </w:r>
    </w:p>
    <w:p>
      <w:pPr>
        <w:pStyle w:val="para40"/>
        <w:numPr>
          <w:ilvl w:val="0"/>
          <w:numId w:val="58"/>
        </w:numPr>
        <w:ind w:left="454" w:hanging="284"/>
      </w:pPr>
      <w:r>
        <w:t>Global, weil das Versagen alle Lebensbereiche überschattet.</w:t>
      </w:r>
    </w:p>
    <w:p>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column"/>
      </w:r>
      <w:r>
        <w:rPr>
          <w:rFonts w:eastAsia="Cambria" w:cs="Basic Roman"/>
          <w:szCs w:val="24"/>
        </w:rPr>
        <w:t>Dieses Verlierermuster wurde in einer Langzeitstudie an gesunden und erfolgreichen Studenten der Jahrgänge 1942 bis 1944 an der Universität Harvard untersucht. Diese Studenten wurden getestet, um festzustellen, ob sie vorwiegend die Pessimismusstrategie (ISG) anwendeten oder eher optimistisch waren. Alle fünf Jahre wurden bei den Gruppen gründliche medizinische Untersuchungen vorgenommen. Als sie älter wurden, verschlechterte sich der Gesundheitszustand allgemein, aber die Differenz zwischen den Gesündesten und den am wenigsten Gesunden vergrößerte sich mit der Zeit. Insgesamt gesehen waren die, die mit 25 Jahren die Optimismusstrategie angewandt hatten, auch später gesünder. Die Gesundheit der Gruppe der Pessimisten verschlechterte sich zusehends, besonders zwischen 40 und 45 Jahren, und dies ließ sich nicht durch andere Ursachen erklären.</w:t>
      </w:r>
    </w:p>
    <w:p>
      <w:pPr>
        <w:rPr>
          <w:b/>
          <w:bCs/>
        </w:rPr>
      </w:pPr>
      <w:r/>
      <w:bookmarkStart w:id="146" w:name="_Toc362531539"/>
      <w:r/>
      <w:bookmarkEnd w:id="146"/>
      <w:r/>
      <w:r>
        <w:rPr>
          <w:b/>
          <w:bCs/>
        </w:rPr>
        <w:t>Verliererstrategie: Aus Fehlern werden Katastrophen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Eine schlechte Erfahrung ist:</w:t>
      </w:r>
    </w:p>
    <w:p>
      <w:pPr>
        <w:pStyle w:val="para40"/>
        <w:numPr>
          <w:ilvl w:val="0"/>
          <w:numId w:val="58"/>
        </w:numPr>
        <w:ind w:left="454" w:hanging="284"/>
      </w:pPr>
      <w:r>
        <w:t>das Ergebnis des eigenen Handelns; man ist selbst schuld</w:t>
      </w:r>
    </w:p>
    <w:p>
      <w:pPr>
        <w:pStyle w:val="para40"/>
        <w:numPr>
          <w:ilvl w:val="0"/>
          <w:numId w:val="58"/>
        </w:numPr>
        <w:ind w:left="454" w:hanging="284"/>
      </w:pPr>
      <w:r>
        <w:t>etwas, das zeigt, dass man inkompetent ist</w:t>
      </w:r>
    </w:p>
    <w:p>
      <w:pPr>
        <w:pStyle w:val="para40"/>
        <w:numPr>
          <w:ilvl w:val="0"/>
          <w:numId w:val="58"/>
        </w:numPr>
        <w:ind w:left="454" w:hanging="284"/>
      </w:pPr>
      <w:r>
        <w:t>etwas, das sich auf viele Lebensbereiche auswirkt</w:t>
      </w:r>
    </w:p>
    <w:p>
      <w:pPr>
        <w:pStyle w:val="para40"/>
        <w:numPr>
          <w:ilvl w:val="0"/>
          <w:numId w:val="58"/>
        </w:numPr>
        <w:ind w:left="454" w:hanging="284"/>
      </w:pPr>
      <w:r>
        <w:t>eine weitere Katastrophe auf der Liste.</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Eine gute Erfahrung ist:</w:t>
      </w:r>
    </w:p>
    <w:p>
      <w:pPr>
        <w:pStyle w:val="para40"/>
        <w:numPr>
          <w:ilvl w:val="0"/>
          <w:numId w:val="58"/>
        </w:numPr>
        <w:ind w:left="454" w:hanging="284"/>
      </w:pPr>
      <w:r>
        <w:t>ein Beweis, dass man dieses Mal Glück hatte</w:t>
      </w:r>
    </w:p>
    <w:p>
      <w:pPr>
        <w:pStyle w:val="para40"/>
        <w:numPr>
          <w:ilvl w:val="0"/>
          <w:numId w:val="58"/>
        </w:numPr>
        <w:ind w:left="454" w:hanging="284"/>
      </w:pPr>
      <w:r>
        <w:t>das Ergebnis von etwas, das man getan hat, nicht davon, wer man ist</w:t>
      </w:r>
    </w:p>
    <w:p>
      <w:pPr>
        <w:pStyle w:val="para40"/>
        <w:numPr>
          <w:ilvl w:val="0"/>
          <w:numId w:val="58"/>
        </w:numPr>
        <w:ind w:left="454" w:hanging="284"/>
      </w:pPr>
      <w:r>
        <w:t>ein isolierter Einzelfall.</w:t>
      </w:r>
    </w:p>
    <w:p>
      <w:pPr>
        <w:pStyle w:val="para3"/>
        <w:numPr>
          <w:ilvl w:val="2"/>
          <w:numId w:val="42"/>
        </w:numPr>
        <w:ind w:left="737" w:hanging="737"/>
      </w:pPr>
      <w:r>
        <w:br w:type="page"/>
      </w:r>
      <w:bookmarkStart w:id="147" w:name="_TOC000368"/>
      <w:r>
        <w:t>Eine Untersuchung bei AT&amp;T</w:t>
      </w:r>
      <w:bookmarkEnd w:id="147"/>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Die gesundheitlichen Auswirkungen von Stress wurden Ende der 70er Jahre von Kobasa und Maddi (Kobasa, 1979; Kobasa, Maddi &amp; Kaan, 1982) an einer Gruppe von leitenden Angestellten des amerikanischen Telekommunikationskonzerns AT&amp;T untersucht. Aus einer Gruppe von 700 Personen suchten sie die 200 heraus, welche in den Befragungen besonders starke Belastungen angaben. Diese Gruppe wurde nun in zwei Gruppen geteilt. In der ersten Gruppe waren diejenigen, welche über häufige körperliche Beschwerden oder Krankheiten klagten. In der zweiten Gruppe befanden sich diejenigen, welche bei gleichem Belastungsempfinden wenig krank waren. Betrachtet man Einkommen, Status, Bildung, Alter und weitere soziodemografische Daten, so waren beide Gruppen sehr ähnlich. Deutliche Unterschiede dagegen fanden sich bei den Einstellungen und Meinungen über sich selbst, über ihre Arbeit und ihre Mitmenschen. Die Einstellungen der gesunden Manager bezeichneten die Autoren als 'Hardiness' (Stärke, Widerstandsfähigkeit). Sie besteht im Wesentlichen aus drei Komponenten:</w:t>
      </w:r>
    </w:p>
    <w:p>
      <w:pPr>
        <w:pStyle w:val="para40"/>
        <w:numPr>
          <w:ilvl w:val="0"/>
          <w:numId w:val="58"/>
        </w:numPr>
        <w:ind w:left="454" w:hanging="284"/>
      </w:pPr>
      <w:r>
        <w:t>Commitment</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Engagement und Selbstverpflichtung wird als das Gegenteil von Entfremdung verstanden. Es bedeutet, neugierig zu sein, sich innerlich für seine Aufgabe zu engagieren und sein Bestes zu geben.</w:t>
      </w:r>
    </w:p>
    <w:p>
      <w:pPr>
        <w:pStyle w:val="para40"/>
        <w:numPr>
          <w:ilvl w:val="0"/>
          <w:numId w:val="58"/>
        </w:numPr>
        <w:ind w:left="454" w:hanging="284"/>
      </w:pPr>
      <w:r>
        <w:t>Control</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Kontrolle ist hier das Gegenteil von Hilflosigkeit. Menschen mit starker Kontrolle erleben sich selbst als einflussreich und kontrollierend. Sie sind überzeugt davon, dass sie Kontrolle und Einfluss auf den Lauf der Dinge haben.</w:t>
      </w:r>
    </w:p>
    <w:p>
      <w:pPr>
        <w:pStyle w:val="para40"/>
        <w:numPr>
          <w:ilvl w:val="0"/>
          <w:numId w:val="58"/>
        </w:numPr>
        <w:ind w:left="454" w:hanging="284"/>
      </w:pPr>
      <w:r>
        <w:t>Challenge</w:t>
      </w:r>
    </w:p>
    <w:p>
      <w:pPr>
        <w:ind w:left="454"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Herausforderung bedeutet, dass Veränderungen nicht als Bedrohung angesehen werden. Die Menschen nehmen sie als positive Chance wahr und haben die Bereitschaft, Ungewissheiten auszuhalten und Neues aktiv anzugehen.</w:t>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Die belasteten, aber gesunden Manager unterschieden sich von den häufig erkrankten in diesen drei Merkmalen. Die krankheitsanfälligeren Personen zeigten statt Engagement oft Entfremdung und Gleichgültigkeit. Statt Kontrolle hatten sie ein Gefühlt des Ausgeliefertseins und der Machtlosigkeit. Statt der Suche nach Herausforderungen hielten sie an Routine und Gewohnheit fest bis hin zu ängstlichem Fatalismus.</w:t>
      </w:r>
    </w:p>
    <w:p>
      <w:bookmarkStart w:id="148" w:name="_TOC000369"/>
      <w:r/>
    </w:p>
    <w:p>
      <w:pPr>
        <w:pStyle w:val="para2"/>
        <w:numPr>
          <w:ilvl w:val="1"/>
          <w:numId w:val="42"/>
        </w:numPr>
        <w:ind w:left="578" w:hanging="578"/>
      </w:pPr>
      <w:bookmarkStart w:id="149" w:name="_TOC002442"/>
      <w:r/>
      <w:bookmarkEnd w:id="149"/>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numPr>
          <w:ilvl w:val="1"/>
          <w:numId w:val="42"/>
        </w:numPr>
        <w:ind w:left="578" w:hanging="578"/>
      </w:pPr>
      <w:r>
        <w:br w:type="page"/>
      </w:r>
      <w:bookmarkStart w:id="150" w:name="_TOC001768"/>
      <w:r>
        <w:t xml:space="preserve">Reflexionsbogen - </w:t>
      </w:r>
      <w:r>
        <w:rPr>
          <w:rFonts w:eastAsia="Cambria" w:cs="Basic Roman"/>
        </w:rPr>
        <w:t>Meine persönliche Klarheit</w:t>
      </w:r>
      <w:r/>
      <w:bookmarkEnd w:id="150"/>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a) Wer bin ich? - 1</w:t>
      </w:r>
    </w:p>
    <w:tbl>
      <w:tblPr>
        <w:tblStyle w:val="TableGrid"/>
        <w:name w:val="Tabelle201"/>
        <w:tabOrder w:val="0"/>
        <w:jc w:val="left"/>
        <w:tblInd w:w="0" w:type="dxa"/>
        <w:tblW w:w="9084" w:type="dxa"/>
        <w:pPr>
          <w:spacing/>
          <w:jc w:val="left"/>
        </w:pPr>
        <w:tblLook w:val="04A0" w:firstRow="1" w:lastRow="0" w:firstColumn="1" w:lastColumn="0" w:noHBand="0" w:noVBand="1"/>
      </w:tblPr>
      <w:tblGrid>
        <w:gridCol w:w="2693"/>
        <w:gridCol w:w="6391"/>
      </w:tblGrid>
      <w:tr>
        <w:trPr>
          <w:tblHeader w:val="0"/>
          <w:cantSplit w:val="0"/>
          <w:trHeight w:val="0" w:hRule="auto"/>
        </w:trPr>
        <w:tc>
          <w:tcPr>
            <w:tcW w:w="9084" w:type="dxa"/>
            <w:gridSpan w:val="2"/>
            <w:shd w:val="solid" w:color="92DBED" w:fill="auto" tmshd="256, 0, 15588242"/>
            <w:tcMar>
              <w:top w:w="57" w:type="dxa"/>
              <w:left w:w="113" w:type="dxa"/>
              <w:bottom w:w="113" w:type="dxa"/>
              <w:right w:w="113" w:type="dxa"/>
            </w:tcMar>
            <w:tmTcPr id="1785596603" protected="0"/>
          </w:tcPr>
          <w:p>
            <w:pPr>
              <w:spacing/>
              <w:jc w:val="center"/>
              <w:rPr>
                <w:sz w:val="28"/>
                <w:szCs w:val="28"/>
              </w:rPr>
            </w:pPr>
            <w:r>
              <w:rPr>
                <w:sz w:val="28"/>
                <w:szCs w:val="28"/>
              </w:rPr>
              <w:t>Meine Motivation als Führungskraft</w:t>
            </w:r>
          </w:p>
        </w:tc>
      </w:tr>
      <w:tr>
        <w:trPr>
          <w:tblHeader w:val="0"/>
          <w:cantSplit w:val="0"/>
          <w:trHeight w:val="1644" w:hRule="exact"/>
        </w:trPr>
        <w:tc>
          <w:tcPr>
            <w:tcW w:w="2693" w:type="dxa"/>
            <w:shd w:val="solid" w:color="EBF3E0" w:fill="auto" tmshd="256, 0, 14742507"/>
            <w:tcMar>
              <w:top w:w="113" w:type="dxa"/>
              <w:left w:w="113" w:type="dxa"/>
              <w:bottom w:w="113" w:type="dxa"/>
              <w:right w:w="113" w:type="dxa"/>
            </w:tcMar>
            <w:tmTcPr id="1785596603" protected="0"/>
          </w:tcPr>
          <w:p>
            <w:pPr>
              <w:spacing/>
              <w:jc w:val="left"/>
            </w:pPr>
            <w:r>
              <w:t>Meine stärkste Antriebskraft ist:</w:t>
            </w:r>
          </w:p>
        </w:tc>
        <w:tc>
          <w:tcPr>
            <w:tcW w:w="6391" w:type="dxa"/>
            <w:shd w:val="solid" w:color="EBF3E0" w:fill="auto" tmshd="256, 0, 14742507"/>
            <w:tcMar>
              <w:top w:w="113" w:type="dxa"/>
              <w:left w:w="113" w:type="dxa"/>
              <w:bottom w:w="113" w:type="dxa"/>
              <w:right w:w="113" w:type="dxa"/>
            </w:tcMar>
            <w:tmTcPr id="1785596603" protected="0"/>
          </w:tcPr>
          <w:p>
            <w:pPr>
              <w:spacing/>
              <w:jc w:val="left"/>
            </w:pPr>
            <w:r/>
          </w:p>
        </w:tc>
      </w:tr>
      <w:tr>
        <w:trPr>
          <w:tblHeader w:val="0"/>
          <w:cantSplit w:val="0"/>
          <w:trHeight w:val="1644" w:hRule="exact"/>
        </w:trPr>
        <w:tc>
          <w:tcPr>
            <w:tcW w:w="2693" w:type="dxa"/>
            <w:shd w:val="solid" w:color="E0EDCD" w:fill="auto" tmshd="256, 0, 13495776"/>
            <w:tcMar>
              <w:top w:w="113" w:type="dxa"/>
              <w:left w:w="113" w:type="dxa"/>
              <w:bottom w:w="113" w:type="dxa"/>
              <w:right w:w="113" w:type="dxa"/>
            </w:tcMar>
            <w:tmTcPr id="1785596603" protected="0"/>
          </w:tcPr>
          <w:p>
            <w:pPr>
              <w:spacing/>
              <w:jc w:val="left"/>
            </w:pPr>
            <w:r>
              <w:t>Menschen führen, heißt für mich ...</w:t>
            </w:r>
          </w:p>
        </w:tc>
        <w:tc>
          <w:tcPr>
            <w:tcW w:w="6391" w:type="dxa"/>
            <w:shd w:val="solid" w:color="E0EDCD" w:fill="auto" tmshd="256, 0, 13495776"/>
            <w:tcMar>
              <w:top w:w="113" w:type="dxa"/>
              <w:left w:w="113" w:type="dxa"/>
              <w:bottom w:w="113" w:type="dxa"/>
              <w:right w:w="113" w:type="dxa"/>
            </w:tcMar>
            <w:tmTcPr id="1785596603" protected="0"/>
          </w:tcPr>
          <w:p>
            <w:pPr>
              <w:spacing/>
              <w:jc w:val="left"/>
            </w:pPr>
            <w:r/>
          </w:p>
        </w:tc>
      </w:tr>
      <w:tr>
        <w:trPr>
          <w:tblHeader w:val="0"/>
          <w:cantSplit w:val="0"/>
          <w:trHeight w:val="1644" w:hRule="exact"/>
        </w:trPr>
        <w:tc>
          <w:tcPr>
            <w:tcW w:w="2693" w:type="dxa"/>
            <w:shd w:val="solid" w:color="EBF3E0" w:fill="auto" tmshd="256, 0, 14742507"/>
            <w:tcMar>
              <w:top w:w="113" w:type="dxa"/>
              <w:left w:w="113" w:type="dxa"/>
              <w:bottom w:w="113" w:type="dxa"/>
              <w:right w:w="113" w:type="dxa"/>
            </w:tcMar>
            <w:tcBorders>
              <w:top w:val="nil" w:sz="0" w:space="0" w:color="000000" tmln="2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Einfluss zu nehmen, bedeutet für mich ...</w:t>
            </w:r>
          </w:p>
        </w:tc>
        <w:tc>
          <w:tcPr>
            <w:tcW w:w="6391" w:type="dxa"/>
            <w:shd w:val="solid" w:color="EBF3E0" w:fill="auto" tmshd="256, 0, 14742507"/>
            <w:tcMar>
              <w:top w:w="113" w:type="dxa"/>
              <w:left w:w="113" w:type="dxa"/>
              <w:bottom w:w="113" w:type="dxa"/>
              <w:right w:w="113" w:type="dxa"/>
            </w:tcMar>
            <w:tcBorders>
              <w:top w:val="nil" w:sz="0" w:space="0" w:color="000000" tmln="2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1644" w:hRule="exact"/>
        </w:trPr>
        <w:tc>
          <w:tcPr>
            <w:tcW w:w="2693"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Immer besser zu werden, bedeutet für mich ...</w:t>
            </w:r>
          </w:p>
        </w:tc>
        <w:tc>
          <w:tcPr>
            <w:tcW w:w="639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1644" w:hRule="exact"/>
        </w:trPr>
        <w:tc>
          <w:tcPr>
            <w:tcW w:w="2693"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Sich für andere einsetzen, bedeutet für mich ...</w:t>
            </w:r>
          </w:p>
        </w:tc>
        <w:tc>
          <w:tcPr>
            <w:tcW w:w="639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1644" w:hRule="exact"/>
        </w:trPr>
        <w:tc>
          <w:tcPr>
            <w:tcW w:w="2693"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Beziehungen gestalten, heißt für mich ...</w:t>
            </w:r>
          </w:p>
        </w:tc>
        <w:tc>
          <w:tcPr>
            <w:tcW w:w="639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1644" w:hRule="exact"/>
        </w:trPr>
        <w:tc>
          <w:tcPr>
            <w:tcW w:w="2693"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Kontrolle auszuüben, bedeutet für mich ...</w:t>
            </w:r>
          </w:p>
        </w:tc>
        <w:tc>
          <w:tcPr>
            <w:tcW w:w="639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bl>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page"/>
      </w:r>
      <w:r>
        <w:rPr>
          <w:rFonts w:eastAsia="Cambria" w:cs="Basic Roman"/>
          <w:szCs w:val="24"/>
        </w:rPr>
        <w:t>a) Wer bin ich? - 2</w:t>
      </w:r>
    </w:p>
    <w:tbl>
      <w:tblPr>
        <w:tblStyle w:val="TableGrid"/>
        <w:name w:val="Tabelle202"/>
        <w:tabOrder w:val="0"/>
        <w:jc w:val="left"/>
        <w:tblInd w:w="0" w:type="dxa"/>
        <w:tblW w:w="9066" w:type="dxa"/>
        <w:pPr>
          <w:spacing/>
          <w:jc w:val="left"/>
        </w:pPr>
        <w:tblLook w:val="04A0" w:firstRow="1" w:lastRow="0" w:firstColumn="1" w:lastColumn="0" w:noHBand="0" w:noVBand="1"/>
      </w:tblPr>
      <w:tblGrid>
        <w:gridCol w:w="2910"/>
        <w:gridCol w:w="6156"/>
      </w:tblGrid>
      <w:tr>
        <w:trPr>
          <w:tblHeader w:val="0"/>
          <w:cantSplit w:val="0"/>
          <w:trHeight w:val="0" w:hRule="auto"/>
        </w:trPr>
        <w:tc>
          <w:tcPr>
            <w:tcW w:w="9066" w:type="dxa"/>
            <w:gridSpan w:val="2"/>
            <w:shd w:val="solid" w:color="25B6DA" w:fill="auto" tmshd="256, 0, 14333477"/>
            <w:tcMar>
              <w:top w:w="57"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rPr>
                <w:sz w:val="28"/>
                <w:szCs w:val="28"/>
              </w:rPr>
            </w:pPr>
            <w:r>
              <w:rPr>
                <w:sz w:val="28"/>
                <w:szCs w:val="28"/>
              </w:rPr>
              <w:t>Mein Führungsverständnis</w:t>
            </w:r>
          </w:p>
        </w:tc>
      </w:tr>
      <w:tr>
        <w:trPr>
          <w:tblHeader w:val="0"/>
          <w:cantSplit w:val="0"/>
          <w:trHeight w:val="2551" w:hRule="exact"/>
        </w:trPr>
        <w:tc>
          <w:tcPr>
            <w:tcW w:w="2910"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Welches Verständnis von Führung habe ich?</w:t>
            </w:r>
          </w:p>
        </w:tc>
        <w:tc>
          <w:tcPr>
            <w:tcW w:w="6156"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551" w:hRule="exact"/>
        </w:trPr>
        <w:tc>
          <w:tcPr>
            <w:tcW w:w="2910"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Der Leitsatz, der damit verknüpft ist, lautet:</w:t>
            </w:r>
          </w:p>
          <w:p>
            <w:pPr>
              <w:spacing/>
              <w:jc w:val="left"/>
            </w:pPr>
            <w:r/>
          </w:p>
          <w:p>
            <w:pPr>
              <w:spacing/>
              <w:jc w:val="left"/>
            </w:pPr>
            <w:r>
              <w:t>"Eine gute Führungskraft ..."</w:t>
            </w:r>
          </w:p>
        </w:tc>
        <w:tc>
          <w:tcPr>
            <w:tcW w:w="6156"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551" w:hRule="exact"/>
        </w:trPr>
        <w:tc>
          <w:tcPr>
            <w:tcW w:w="2910"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Möglicherweise ist der Leitsatz für eine souveräne Rolle als Führungskraft hinderlich.</w:t>
            </w:r>
          </w:p>
          <w:p>
            <w:pPr>
              <w:spacing/>
              <w:jc w:val="left"/>
            </w:pPr>
            <w:r/>
          </w:p>
          <w:p>
            <w:pPr>
              <w:spacing/>
              <w:jc w:val="left"/>
            </w:pPr>
            <w:r>
              <w:t>In welchen Situationen könnte dies passieren?</w:t>
            </w:r>
          </w:p>
        </w:tc>
        <w:tc>
          <w:tcPr>
            <w:tcW w:w="6156"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551" w:hRule="exact"/>
        </w:trPr>
        <w:tc>
          <w:tcPr>
            <w:tcW w:w="2910"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Wie könnte ein Satz lauten,</w:t>
            </w:r>
          </w:p>
          <w:p>
            <w:pPr>
              <w:spacing/>
              <w:jc w:val="left"/>
            </w:pPr>
            <w:r>
              <w:t>der mich in meiner Führung positiv unterstützt?</w:t>
            </w:r>
          </w:p>
        </w:tc>
        <w:tc>
          <w:tcPr>
            <w:tcW w:w="6156"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551" w:hRule="exact"/>
        </w:trPr>
        <w:tc>
          <w:tcPr>
            <w:tcW w:w="2910"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Wie könnte ich das Neue üben, das damit verbunden ist?</w:t>
            </w:r>
          </w:p>
        </w:tc>
        <w:tc>
          <w:tcPr>
            <w:tcW w:w="6156"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bl>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page"/>
      </w:r>
      <w:r>
        <w:rPr>
          <w:rFonts w:eastAsia="Cambria" w:cs="Basic Roman"/>
          <w:szCs w:val="24"/>
        </w:rPr>
        <w:t>b) Wohin möchte ich?</w:t>
      </w:r>
    </w:p>
    <w:tbl>
      <w:tblPr>
        <w:tblStyle w:val="TableGrid"/>
        <w:name w:val="Tabelle203"/>
        <w:tabOrder w:val="0"/>
        <w:jc w:val="left"/>
        <w:tblInd w:w="0" w:type="dxa"/>
        <w:tblW w:w="9066" w:type="dxa"/>
        <w:pPr>
          <w:spacing/>
          <w:jc w:val="left"/>
        </w:pPr>
        <w:tblLook w:val="04A0" w:firstRow="1" w:lastRow="0" w:firstColumn="1" w:lastColumn="0" w:noHBand="0" w:noVBand="1"/>
      </w:tblPr>
      <w:tblGrid>
        <w:gridCol w:w="3155"/>
        <w:gridCol w:w="5911"/>
      </w:tblGrid>
      <w:tr>
        <w:trPr>
          <w:tblHeader w:val="0"/>
          <w:cantSplit w:val="0"/>
          <w:trHeight w:val="0" w:hRule="auto"/>
        </w:trPr>
        <w:tc>
          <w:tcPr>
            <w:tcW w:w="9066" w:type="dxa"/>
            <w:gridSpan w:val="2"/>
            <w:shd w:val="solid" w:color="25B6DA" w:fill="auto" tmshd="256, 0, 14333477"/>
            <w:tcMar>
              <w:top w:w="57"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rPr>
                <w:sz w:val="28"/>
                <w:szCs w:val="28"/>
              </w:rPr>
            </w:pPr>
            <w:r>
              <w:rPr>
                <w:sz w:val="28"/>
                <w:szCs w:val="28"/>
              </w:rPr>
              <w:t>Meine Ziele</w:t>
            </w:r>
          </w:p>
        </w:tc>
      </w:tr>
      <w:tr>
        <w:trPr>
          <w:tblHeader w:val="0"/>
          <w:cantSplit w:val="0"/>
          <w:trHeight w:val="2494" w:hRule="exact"/>
        </w:trPr>
        <w:tc>
          <w:tcPr>
            <w:tcW w:w="3155"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Wie sieht mein berufliches Ziel aus?</w:t>
            </w:r>
          </w:p>
        </w:tc>
        <w:tc>
          <w:tcPr>
            <w:tcW w:w="591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494" w:hRule="exact"/>
        </w:trPr>
        <w:tc>
          <w:tcPr>
            <w:tcW w:w="3155"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Welches ist mein nächstes konkretes Etappenziel?</w:t>
            </w:r>
          </w:p>
        </w:tc>
        <w:tc>
          <w:tcPr>
            <w:tcW w:w="591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left"/>
            </w:pPr>
            <w:r/>
          </w:p>
        </w:tc>
      </w:tr>
      <w:tr>
        <w:trPr>
          <w:tblHeader w:val="0"/>
          <w:cantSplit w:val="0"/>
          <w:trHeight w:val="2494" w:hRule="exact"/>
        </w:trPr>
        <w:tc>
          <w:tcPr>
            <w:tcW w:w="3155"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Woran erkenne ich,</w:t>
            </w:r>
          </w:p>
          <w:p>
            <w:pPr/>
            <w:r>
              <w:t>ob ich das Ziel erreicht habe?</w:t>
            </w:r>
          </w:p>
          <w:p>
            <w:pPr/>
            <w:r/>
          </w:p>
          <w:p>
            <w:pPr/>
            <w:r>
              <w:t>An welchen Kriterien?</w:t>
            </w:r>
          </w:p>
        </w:tc>
        <w:tc>
          <w:tcPr>
            <w:tcW w:w="591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left"/>
            </w:pPr>
            <w:r/>
          </w:p>
        </w:tc>
      </w:tr>
      <w:tr>
        <w:trPr>
          <w:tblHeader w:val="0"/>
          <w:cantSplit w:val="0"/>
          <w:trHeight w:val="2665" w:hRule="exact"/>
        </w:trPr>
        <w:tc>
          <w:tcPr>
            <w:tcW w:w="3155"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t>In meiner neuen Führungsposition als</w:t>
            </w:r>
          </w:p>
          <w:p>
            <w:pPr>
              <w:spacing/>
              <w:jc w:val="left"/>
            </w:pPr>
            <w:r/>
          </w:p>
          <w:p>
            <w:pPr>
              <w:spacing w:after="0" w:line="240" w:lineRule="auto"/>
              <w:jc w:val="left"/>
              <w:tabs defTabSz="708">
                <w:tab w:val="left" w:pos="2721" w:leader="none"/>
              </w:tabs>
              <w:rPr>
                <w:u w:color="auto" w:val="single"/>
              </w:rPr>
            </w:pPr>
            <w:r>
              <w:rPr>
                <w:u w:color="auto" w:val="single"/>
              </w:rPr>
              <w:tab/>
            </w:r>
          </w:p>
          <w:p>
            <w:pPr>
              <w:spacing/>
              <w:jc w:val="left"/>
            </w:pPr>
            <w:r>
              <w:t>bei</w:t>
            </w:r>
          </w:p>
          <w:p>
            <w:pPr>
              <w:spacing/>
              <w:jc w:val="left"/>
            </w:pPr>
            <w:r/>
          </w:p>
          <w:p>
            <w:pPr>
              <w:spacing w:after="0" w:line="240" w:lineRule="auto"/>
              <w:jc w:val="left"/>
              <w:tabs defTabSz="708">
                <w:tab w:val="left" w:pos="2721" w:leader="none"/>
              </w:tabs>
              <w:rPr>
                <w:u w:color="auto" w:val="single"/>
              </w:rPr>
            </w:pPr>
            <w:r>
              <w:rPr>
                <w:u w:color="auto" w:val="single"/>
              </w:rPr>
              <w:tab/>
            </w:r>
          </w:p>
          <w:p>
            <w:pPr>
              <w:spacing/>
              <w:jc w:val="left"/>
            </w:pPr>
            <w:r>
              <w:t>möchte ich erreichen:</w:t>
            </w:r>
          </w:p>
          <w:p>
            <w:pPr>
              <w:spacing/>
              <w:jc w:val="left"/>
            </w:pPr>
            <w:r>
              <w:t>(zum Beispiel: Fähigkeiten, Leistungen, Auswirkungen Anerkennung etc)</w:t>
            </w:r>
          </w:p>
        </w:tc>
        <w:tc>
          <w:tcPr>
            <w:tcW w:w="591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2494" w:hRule="exact"/>
        </w:trPr>
        <w:tc>
          <w:tcPr>
            <w:tcW w:w="3155"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Was wird anders sein als früher?</w:t>
            </w:r>
          </w:p>
        </w:tc>
        <w:tc>
          <w:tcPr>
            <w:tcW w:w="591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left"/>
            </w:pPr>
            <w:r/>
          </w:p>
        </w:tc>
      </w:tr>
    </w:tbl>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br w:type="page"/>
      </w:r>
      <w:r>
        <w:rPr>
          <w:rFonts w:eastAsia="Cambria" w:cs="Basic Roman"/>
          <w:szCs w:val="24"/>
        </w:rPr>
        <w:t>c) Wie komme ich dort hin?</w:t>
      </w:r>
    </w:p>
    <w:tbl>
      <w:tblPr>
        <w:tblStyle w:val="TableGrid"/>
        <w:name w:val="Tabelle204"/>
        <w:tabOrder w:val="0"/>
        <w:jc w:val="left"/>
        <w:tblInd w:w="0" w:type="dxa"/>
        <w:tblW w:w="9066" w:type="dxa"/>
        <w:pPr>
          <w:spacing/>
          <w:jc w:val="left"/>
        </w:pPr>
        <w:tblLook w:val="04A0" w:firstRow="1" w:lastRow="0" w:firstColumn="1" w:lastColumn="0" w:noHBand="0" w:noVBand="1"/>
      </w:tblPr>
      <w:tblGrid>
        <w:gridCol w:w="3155"/>
        <w:gridCol w:w="5911"/>
      </w:tblGrid>
      <w:tr>
        <w:trPr>
          <w:tblHeader w:val="0"/>
          <w:cantSplit w:val="0"/>
          <w:trHeight w:val="0" w:hRule="auto"/>
        </w:trPr>
        <w:tc>
          <w:tcPr>
            <w:tcW w:w="9066" w:type="dxa"/>
            <w:gridSpan w:val="2"/>
            <w:shd w:val="solid" w:color="25B6DA" w:fill="auto" tmshd="256, 0, 14333477"/>
            <w:tcMar>
              <w:top w:w="57"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center"/>
              <w:rPr>
                <w:sz w:val="28"/>
                <w:szCs w:val="28"/>
              </w:rPr>
            </w:pPr>
            <w:r>
              <w:rPr>
                <w:sz w:val="28"/>
                <w:szCs w:val="28"/>
              </w:rPr>
              <w:t>Meine Umsetzung</w:t>
            </w:r>
          </w:p>
        </w:tc>
      </w:tr>
      <w:tr>
        <w:trPr>
          <w:tblHeader w:val="0"/>
          <w:cantSplit w:val="0"/>
          <w:trHeight w:val="3118" w:hRule="exact"/>
        </w:trPr>
        <w:tc>
          <w:tcPr>
            <w:tcW w:w="3155"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Welche Schritte sind bis zum nächsten Etappenziel notwendig?</w:t>
            </w:r>
          </w:p>
        </w:tc>
        <w:tc>
          <w:tcPr>
            <w:tcW w:w="591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jc w:val="left"/>
            </w:pPr>
            <w:r/>
          </w:p>
        </w:tc>
      </w:tr>
      <w:tr>
        <w:trPr>
          <w:tblHeader w:val="0"/>
          <w:cantSplit w:val="0"/>
          <w:trHeight w:val="3118" w:hRule="exact"/>
        </w:trPr>
        <w:tc>
          <w:tcPr>
            <w:tcW w:w="3155"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Wie hilft mir das Trainingsprogramm auf dem Weg zum Etappenziel?</w:t>
            </w:r>
          </w:p>
          <w:p>
            <w:pPr/>
            <w:r/>
          </w:p>
          <w:p>
            <w:pPr/>
            <w:r>
              <w:t>Wie will ich damit arbeiten?</w:t>
            </w:r>
          </w:p>
          <w:p>
            <w:pPr/>
            <w:r/>
          </w:p>
          <w:p>
            <w:pPr/>
            <w:r>
              <w:t>Wie werde ich mich organisieren?</w:t>
            </w:r>
          </w:p>
        </w:tc>
        <w:tc>
          <w:tcPr>
            <w:tcW w:w="591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left"/>
            </w:pPr>
            <w:r/>
          </w:p>
        </w:tc>
      </w:tr>
      <w:tr>
        <w:trPr>
          <w:tblHeader w:val="0"/>
          <w:cantSplit w:val="0"/>
          <w:trHeight w:val="3118" w:hRule="exact"/>
        </w:trPr>
        <w:tc>
          <w:tcPr>
            <w:tcW w:w="3155"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Meine Familie/meine Freunde/mein Unternehmen unterstützen mich dadurch, dass ...</w:t>
            </w:r>
          </w:p>
        </w:tc>
        <w:tc>
          <w:tcPr>
            <w:tcW w:w="5911" w:type="dxa"/>
            <w:shd w:val="solid" w:color="EBF3E0" w:fill="auto" tmshd="256, 0, 14742507"/>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left"/>
            </w:pPr>
            <w:r/>
          </w:p>
        </w:tc>
      </w:tr>
      <w:tr>
        <w:trPr>
          <w:tblHeader w:val="0"/>
          <w:cantSplit w:val="0"/>
          <w:trHeight w:val="3118" w:hRule="exact"/>
        </w:trPr>
        <w:tc>
          <w:tcPr>
            <w:tcW w:w="3155"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t>Welches Motto und welches Symbol wähle ich für meinen Weg?</w:t>
            </w:r>
          </w:p>
        </w:tc>
        <w:tc>
          <w:tcPr>
            <w:tcW w:w="5911" w:type="dxa"/>
            <w:shd w:val="solid" w:color="E0EDCD" w:fill="auto" tmshd="256, 0, 13495776"/>
            <w:tcMar>
              <w:top w:w="113" w:type="dxa"/>
              <w:left w:w="113" w:type="dxa"/>
              <w:bottom w:w="113" w:type="dxa"/>
              <w:right w:w="113"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r/>
          </w:p>
        </w:tc>
      </w:tr>
    </w:tbl>
    <w:p>
      <w:r/>
    </w:p>
    <w:p>
      <w:pPr>
        <w:pStyle w:val="para2"/>
        <w:numPr>
          <w:ilvl w:val="1"/>
          <w:numId w:val="42"/>
        </w:numPr>
        <w:ind w:left="578" w:hanging="578"/>
      </w:pPr>
      <w:bookmarkStart w:id="151" w:name="_TOC002123"/>
      <w:r>
        <w:t>Finden Sie Ihren eigenen Führungsstil</w:t>
      </w:r>
      <w:bookmarkEnd w:id="151"/>
      <w:r/>
    </w:p>
    <w:p>
      <w:r>
        <w:t>Beantworten Sie dazu folgende Fragen:</w:t>
      </w:r>
    </w:p>
    <w:p>
      <w:pPr>
        <w:spacing w:before="200" w:after="3000"/>
      </w:pPr>
      <w:r>
        <w:t>"Was bedeutet 'Führung' für Sie"</w:t>
      </w:r>
    </w:p>
    <w:p>
      <w:pPr>
        <w:spacing w:after="3000"/>
      </w:pPr>
      <w:r>
        <w:t>"Welche Rolle möchten Sie beim Führen übernehmen?"</w:t>
      </w:r>
    </w:p>
    <w:p>
      <w:pPr>
        <w:spacing w:after="3000"/>
      </w:pPr>
      <w:r>
        <w:t>"Wie möchten Sie gesehen werden?"</w:t>
      </w:r>
    </w:p>
    <w:p>
      <w:pPr>
        <w:spacing w:after="3000"/>
        <w:rPr>
          <w:color w:val="00998A"/>
          <w:sz w:val="24"/>
          <w:szCs w:val="24"/>
        </w:rPr>
      </w:pPr>
      <w:r>
        <w:t xml:space="preserve">"Was wünschen sich wohl Ihre Mitarbeiter, Kollegen und Vorgesetzten von Ihnen als Führungskraft?“ </w:t>
      </w:r>
      <w:bookmarkStart w:id="152" w:name="_TOC002351"/>
      <w:r/>
      <w:bookmarkEnd w:id="152"/>
      <w:r/>
      <w:r>
        <w:rPr>
          <w:color w:val="00998A"/>
          <w:sz w:val="24"/>
          <w:szCs w:val="24"/>
        </w:r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1"/>
        <w:numPr>
          <w:ilvl w:val="0"/>
          <w:numId w:val="42"/>
        </w:numPr>
        <w:ind w:left="432" w:hanging="432"/>
      </w:pPr>
      <w:r>
        <w:br w:type="page"/>
      </w:r>
      <w:bookmarkStart w:id="153" w:name="_TOC001769"/>
      <w:r/>
      <w:bookmarkEnd w:id="148"/>
      <w:r/>
      <w:bookmarkEnd w:id="153"/>
      <w:r/>
      <w:bookmarkStart w:id="154" w:name="_TOC001178"/>
      <w:r>
        <w:t>Führung und Gesundheit</w:t>
      </w:r>
      <w:bookmarkEnd w:id="154"/>
      <w:r/>
    </w:p>
    <w:p>
      <w:r>
        <w:t>Hier werden drei Aspekte vorgestellt, die Sie nutzen können, um Ihre und die Gesundheit Ihrer Beschäftigten zu fördern:</w:t>
      </w:r>
    </w:p>
    <w:p>
      <w:r>
        <w:t>Zum einen können Sie Einfluss nehmen durch Ihre Vorbildfunktion. Das heißt: Sie beginnen bei sich.</w:t>
      </w:r>
    </w:p>
    <w:p>
      <w:r>
        <w:t>Zum anderen hat Ihr Führungsverhalten großen Einfluss auf die Gesundheit Ihrer Beschäftigten.</w:t>
      </w:r>
    </w:p>
    <w:p>
      <w:r>
        <w:t>Abschließend erfahren Sie, welche organisationalen Rahmenbedingungen Ihre gesunde Führung unterstützen.</w:t>
      </w:r>
    </w:p>
    <w:p>
      <w:r>
        <w:t>Im Jahr 2012 waren in Deutschland psychische Störungen für mehr als 53 Millionen Krankheitstage verantwortlich, das sind 80 Prozent mehr als vor 15 Jahren. Im Vergleich mit anderen Erkrankungen verursachen psychische Erkrankungen die längsten Ausfallzeiten, mit durchschnittlich etwa 23 Arbeitsunfähigkeitstagen je Fall. In Deutschland sind psychische Gesundheitsprobleme seit 2001 die führende Ursache für Frühberentungen.</w:t>
      </w:r>
    </w:p>
    <w:p>
      <w:r>
        <w:t>Hinzu kommt, dass immer mehr Menschen im Dienstleistungsbereich arbeiten und weniger in der Produktion, wodurch sich die Belastungen verschieben. In vielen Jobs sind heute die psychischen Belastungen höher einzustufen als die körperlichen.</w:t>
      </w:r>
    </w:p>
    <w:p>
      <w:pPr>
        <w:pStyle w:val="para2"/>
        <w:numPr>
          <w:ilvl w:val="1"/>
          <w:numId w:val="42"/>
        </w:numPr>
        <w:ind w:left="578" w:hanging="578"/>
      </w:pPr>
      <w:bookmarkStart w:id="155" w:name="_TOC000530"/>
      <w:r>
        <w:t>Gesunde Selbstführung: Was Sie für sich selbst tun können</w:t>
      </w:r>
      <w:bookmarkEnd w:id="155"/>
      <w:r/>
    </w:p>
    <w:p>
      <w:r>
        <w:t>Stresssymptome wie Nervosität, Angst und das Gefühl der Überforderung hat jeder schon einmal erlebt.</w:t>
      </w:r>
    </w:p>
    <w:p>
      <w:r>
        <w:t>Wenn Stress jedoch</w:t>
      </w:r>
    </w:p>
    <w:p>
      <w:pPr>
        <w:pStyle w:val="para36"/>
        <w:numPr>
          <w:ilvl w:val="0"/>
          <w:numId w:val="58"/>
        </w:numPr>
        <w:ind w:left="454" w:hanging="284"/>
        <w:spacing w:line="240" w:lineRule="auto"/>
      </w:pPr>
      <w:r>
        <w:t>Ihr ständiger Begleiter ist und</w:t>
      </w:r>
    </w:p>
    <w:p>
      <w:pPr>
        <w:pStyle w:val="para36"/>
        <w:numPr>
          <w:ilvl w:val="0"/>
          <w:numId w:val="58"/>
        </w:numPr>
        <w:ind w:left="454" w:hanging="284"/>
        <w:spacing w:line="240" w:lineRule="auto"/>
      </w:pPr>
      <w:r>
        <w:t>Sie bereits körperliche oder psychische Krankheitssymptome an sich feststellen oder</w:t>
      </w:r>
    </w:p>
    <w:p>
      <w:pPr>
        <w:pStyle w:val="para36"/>
        <w:numPr>
          <w:ilvl w:val="0"/>
          <w:numId w:val="58"/>
        </w:numPr>
        <w:ind w:left="454" w:hanging="284"/>
        <w:spacing w:line="240" w:lineRule="auto"/>
      </w:pPr>
      <w:r>
        <w:t>eine stressassoziierte Erkrankung bei Ihnen diagnostiziert wurde, ist das Leid bereits groß.</w:t>
      </w:r>
    </w:p>
    <w:p>
      <w:r>
        <w:t>Der Weg, aus dem tiefen Tal wieder herauszukommen, ist sehr mühevoll. Eine schwerwiegende, immer häufiger auftretende Folge von chronischem Stress ist Burn-out.</w:t>
      </w:r>
    </w:p>
    <w:p>
      <w:r>
        <w:t>Eines steht fest: Stressassoziierte Erkrankungen brechen nicht von einem Tag auf den anderen aus. Oft werden Frühwarnsignale nicht beachtet. Dabei ist es wichtig, möglichst frühzeitig aktiv zu werden.</w:t>
      </w:r>
    </w:p>
    <w:p>
      <w:r>
        <w:t>Wir möchten Sie dabei unterstützen, Ihre gesunde Selbstführung zu verbessern, damit Sie rechtzeitig eingreifen können und gesund und leistungsfähig bleiben.</w:t>
      </w:r>
    </w:p>
    <w:p>
      <w:r>
        <w:t>Stellen Sie sich einmal folgende Fragen:</w:t>
      </w:r>
    </w:p>
    <w:p>
      <w:pPr>
        <w:pStyle w:val="para36"/>
        <w:numPr>
          <w:ilvl w:val="0"/>
          <w:numId w:val="58"/>
        </w:numPr>
        <w:ind w:left="454" w:hanging="284"/>
        <w:spacing w:line="240" w:lineRule="auto"/>
      </w:pPr>
      <w:r>
        <w:t>Wie aufmerksam bin ich gegen­ über Veränderungen meines Befindens?</w:t>
      </w:r>
    </w:p>
    <w:p>
      <w:pPr>
        <w:pStyle w:val="para36"/>
        <w:numPr>
          <w:ilvl w:val="0"/>
          <w:numId w:val="58"/>
        </w:numPr>
        <w:ind w:left="454" w:hanging="284"/>
        <w:spacing w:line="240" w:lineRule="auto"/>
      </w:pPr>
      <w:r>
        <w:t>Wie wichtig ist mir meine Gesundheit?</w:t>
      </w:r>
    </w:p>
    <w:p>
      <w:pPr>
        <w:pStyle w:val="para36"/>
        <w:numPr>
          <w:ilvl w:val="0"/>
          <w:numId w:val="58"/>
        </w:numPr>
        <w:ind w:left="454" w:hanging="284"/>
        <w:spacing w:line="240" w:lineRule="auto"/>
      </w:pPr>
      <w:r>
        <w:t>Weiß ich, welche Maßnahmen ich ergreifen kann, um meine Gesundheit zu fördern?</w:t>
      </w:r>
    </w:p>
    <w:p>
      <w:pPr>
        <w:pStyle w:val="para36"/>
        <w:numPr>
          <w:ilvl w:val="0"/>
          <w:numId w:val="58"/>
        </w:numPr>
        <w:ind w:left="454" w:hanging="284"/>
        <w:spacing w:line="240" w:lineRule="auto"/>
      </w:pPr>
      <w:r>
        <w:t>Welche dieser Maßnahmen wende ich bereits an?</w:t>
      </w:r>
    </w:p>
    <w:p>
      <w:pPr>
        <w:pStyle w:val="para36"/>
        <w:numPr>
          <w:ilvl w:val="0"/>
          <w:numId w:val="58"/>
        </w:numPr>
        <w:ind w:left="454" w:hanging="284"/>
        <w:spacing w:line="240" w:lineRule="auto"/>
      </w:pPr>
      <w:r>
        <w:t>Falls ich meine Gesundheit nicht fördere, woran liegt das?</w:t>
      </w:r>
    </w:p>
    <w:p>
      <w:pPr>
        <w:pStyle w:val="para3"/>
        <w:numPr>
          <w:ilvl w:val="2"/>
          <w:numId w:val="42"/>
        </w:numPr>
        <w:ind w:left="737" w:hanging="737"/>
      </w:pPr>
      <w:bookmarkStart w:id="156" w:name="_TOC000531"/>
      <w:r>
        <w:t xml:space="preserve">Vier Ansatzpunkte für gesunde Selbstführung </w:t>
      </w:r>
      <w:bookmarkEnd w:id="156"/>
      <w:r/>
    </w:p>
    <w:p>
      <w:r>
        <w:t>1: Achten Sie auf Ihre Gesundheit</w:t>
      </w:r>
    </w:p>
    <w:p>
      <w:r>
        <w:t>Nur wenn Sie wissen, dass Sie Ihre Gesundheit schädigen, können Sie damit aufhören. Seien Sie sich Ihres eigenen Gesundheitszustandes bewusst, kennen Sie Ihren persönlichen Beanspruchungsgrad und nehmen Sie gesundheitliche Warnsignale wahr.</w:t>
      </w:r>
    </w:p>
    <w:p>
      <w:r>
        <w:t>2: Nehmen Sie Ihre Gesundheit wichtig</w:t>
      </w:r>
    </w:p>
    <w:p>
      <w:r>
        <w:t>Welchen Stellenwert hat Ihre Gesundheit für Sie im Vergleich zu anderen Werten, zum Beispiel Berufserfolg? Nur wenn Sie Ihre Gesundheit wichtig nehmen, sind Sie motiviert, Ihr Verhalten in gesundheitsförderlicher Weise zu verändern.</w:t>
      </w:r>
    </w:p>
    <w:p>
      <w:r>
        <w:t>3: Lernen Sie Ihre Möglichkeiten kennen und handeln Sie</w:t>
      </w:r>
    </w:p>
    <w:p>
      <w:r>
        <w:t>Informieren Sie sich über gesundheitsförderliche Verhaltensweisen und Maßnahmen und trauen Sie sich zu, diese umzusetzen. Setzen Sie konkrete Maßnahmen um und verhalten Sie sich so, dass es Ihre Gesundheit fördert.</w:t>
      </w:r>
    </w:p>
    <w:p>
      <w:r>
        <w:t>4: Lernen Sie sich selbst besser kennen.</w:t>
      </w:r>
    </w:p>
    <w:p>
      <w:r>
        <w:t>Kennen Sie</w:t>
      </w:r>
    </w:p>
    <w:p>
      <w:pPr>
        <w:pStyle w:val="para36"/>
        <w:numPr>
          <w:ilvl w:val="0"/>
          <w:numId w:val="58"/>
        </w:numPr>
        <w:ind w:left="454" w:hanging="284"/>
        <w:spacing w:line="240" w:lineRule="auto"/>
      </w:pPr>
      <w:r>
        <w:t>Ihre Kernkompetenzen</w:t>
      </w:r>
    </w:p>
    <w:p>
      <w:pPr>
        <w:pStyle w:val="para36"/>
        <w:numPr>
          <w:ilvl w:val="0"/>
          <w:numId w:val="58"/>
        </w:numPr>
        <w:ind w:left="454" w:hanging="284"/>
        <w:spacing w:line="240" w:lineRule="auto"/>
      </w:pPr>
      <w:r>
        <w:t>Ihre Überzeugungen und Werte</w:t>
      </w:r>
    </w:p>
    <w:p>
      <w:pPr>
        <w:pStyle w:val="para36"/>
        <w:numPr>
          <w:ilvl w:val="0"/>
          <w:numId w:val="58"/>
        </w:numPr>
        <w:ind w:left="454" w:hanging="284"/>
        <w:spacing w:line="240" w:lineRule="auto"/>
      </w:pPr>
      <w:r>
        <w:t xml:space="preserve">Ihre inneren Antreiber: </w:t>
        <w:br w:type="textWrapping"/>
      </w:r>
      <w:r>
        <w:rPr>
          <w:color w:val="auto"/>
        </w:rPr>
        <w:t xml:space="preserve">sei perfekt, sei beliebt, sei stark, </w:t>
        <w:br w:type="textWrapping"/>
        <w:t>sei vorsichtig, hilf mir</w:t>
      </w:r>
      <w:r>
        <w:t>.</w:t>
      </w:r>
    </w:p>
    <w:p>
      <w:r>
        <w:t>Diese wirken unbewusst und steuern Ihr Verhalten.</w:t>
      </w:r>
    </w:p>
    <w:p>
      <w:r>
        <w:t xml:space="preserve">Wo können Sie ansetzen? </w:t>
      </w:r>
    </w:p>
    <w:p>
      <w:r>
        <w:t xml:space="preserve">Die folgenden Aussagen helfen Ihnen, sich selbst besser einschätzen zu können. Wenn Sie einzelnen Aussagen nur zögerlich oder eingeschränkt zustimmen, dann sollten Sie dort ansetzen, um Ihre gesunde Selbstführung zu verbessern. </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bookmarkStart w:id="157" w:name="_TOC000532"/>
      <w:r/>
    </w:p>
    <w:p>
      <w:pPr>
        <w:pStyle w:val="para3"/>
        <w:numPr>
          <w:ilvl w:val="2"/>
          <w:numId w:val="42"/>
        </w:numPr>
        <w:ind w:left="737" w:hanging="737"/>
      </w:pPr>
      <w:r>
        <w:br w:type="page"/>
      </w:r>
      <w:bookmarkStart w:id="158" w:name="_TOC002564"/>
      <w:r>
        <w:t xml:space="preserve">Quick-Check: Bitte kreuzen Sie an, was auf Sie zutrifft </w:t>
      </w:r>
      <w:bookmarkEnd w:id="157"/>
      <w:r/>
      <w:bookmarkEnd w:id="158"/>
      <w:r/>
    </w:p>
    <w:p>
      <w:r>
        <w:t>Markieren Sie, wie Sie sich einschätzen, zwischen 0 = falsch und 10 = richtig.</w:t>
      </w:r>
    </w:p>
    <w:tbl>
      <w:tblPr>
        <w:tblStyle w:val="TableGrid"/>
        <w:name w:val="Tabelle206"/>
        <w:tabOrder w:val="0"/>
        <w:jc w:val="left"/>
        <w:tblInd w:w="0" w:type="dxa"/>
        <w:tblW w:w="8788" w:type="dxa"/>
        <w:pPr>
          <w:ind w:firstLine="0"/>
          <w:spacing/>
          <w:jc w:val="left"/>
        </w:pPr>
        <w:tblLook w:val="04A0" w:firstRow="1" w:lastRow="0" w:firstColumn="1" w:lastColumn="0" w:noHBand="0" w:noVBand="1"/>
      </w:tblPr>
      <w:tblGrid>
        <w:gridCol w:w="4394"/>
        <w:gridCol w:w="4394"/>
      </w:tblGrid>
      <w:tr>
        <w:trPr>
          <w:tblHeader w:val="0"/>
          <w:cantSplit w:val="0"/>
          <w:trHeight w:val="0" w:hRule="auto"/>
        </w:trPr>
        <w:tc>
          <w:tcPr>
            <w:tcW w:w="4394" w:type="dxa"/>
            <w:tcMar>
              <w:top w:w="170" w:type="dxa"/>
              <w:left w:w="113" w:type="dxa"/>
              <w:bottom w:w="113" w:type="dxa"/>
              <w:right w:w="113" w:type="dxa"/>
            </w:tcMar>
            <w:tmTcPr id="1785596603" protected="0"/>
          </w:tcPr>
          <w:p>
            <w:pPr>
              <w:ind w:firstLine="0"/>
              <w:spacing w:before="0" w:after="0" w:line="240" w:lineRule="auto"/>
              <w:rPr>
                <w:i/>
                <w:iCs/>
                <w:sz w:val="24"/>
                <w:szCs w:val="24"/>
                <w:lang w:eastAsia="de-de" w:bidi="de-de"/>
              </w:rPr>
            </w:pPr>
            <w:r>
              <w:rPr>
                <w:i/>
                <w:iCs/>
                <w:sz w:val="24"/>
                <w:szCs w:val="24"/>
                <w:lang w:eastAsia="de-de" w:bidi="de-de"/>
              </w:rPr>
              <w:t>1. Auf die Gesundheit achten</w:t>
            </w:r>
          </w:p>
        </w:tc>
        <w:tc>
          <w:tcPr>
            <w:tcW w:w="4394" w:type="dxa"/>
            <w:tcMar>
              <w:top w:w="170" w:type="dxa"/>
              <w:left w:w="113" w:type="dxa"/>
              <w:bottom w:w="113" w:type="dxa"/>
              <w:right w:w="113" w:type="dxa"/>
            </w:tcMar>
            <w:tmTcPr id="1785596603" protected="0"/>
          </w:tcPr>
          <w:p>
            <w:pPr>
              <w:ind w:firstLine="0"/>
            </w:pPr>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merke sofort, wenn mit mir etwas nicht stimmt.</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achte bewusst auf gesundheitliche Warnsignale.</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firstLine="0"/>
              <w:spacing w:before="0" w:after="0" w:line="240" w:lineRule="auto"/>
              <w:rPr>
                <w:i/>
                <w:iCs/>
                <w:sz w:val="24"/>
                <w:szCs w:val="24"/>
                <w:lang w:eastAsia="de-de" w:bidi="de-de"/>
              </w:rPr>
            </w:pPr>
            <w:r>
              <w:rPr>
                <w:i/>
                <w:iCs/>
                <w:sz w:val="24"/>
                <w:szCs w:val="24"/>
                <w:lang w:eastAsia="de-de" w:bidi="de-de"/>
              </w:rPr>
              <w:t>2. Gesundheit wichtig nehmen</w:t>
            </w:r>
          </w:p>
        </w:tc>
        <w:tc>
          <w:tcPr>
            <w:tcW w:w="4394" w:type="dxa"/>
            <w:tcMar>
              <w:top w:w="170" w:type="dxa"/>
              <w:left w:w="113" w:type="dxa"/>
              <w:bottom w:w="113" w:type="dxa"/>
              <w:right w:w="113" w:type="dxa"/>
            </w:tcMar>
            <w:tmTcPr id="1785596603" protected="0"/>
          </w:tcPr>
          <w:p>
            <w:pPr/>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Es ist mir wichtig, die gesundheitlichen Belastungen an meinem Arbeitsplatz zu mindern und Risiken abzubauen.</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bin nicht bereit, wegen der Arbeit meine Gesundheit zu riskieren.</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firstLine="0"/>
              <w:spacing w:before="0" w:after="0" w:line="240" w:lineRule="auto"/>
              <w:rPr>
                <w:i/>
                <w:iCs/>
                <w:sz w:val="24"/>
                <w:szCs w:val="24"/>
                <w:lang w:eastAsia="de-de" w:bidi="de-de"/>
              </w:rPr>
            </w:pPr>
            <w:r>
              <w:rPr>
                <w:i/>
                <w:iCs/>
                <w:sz w:val="24"/>
                <w:szCs w:val="24"/>
                <w:lang w:eastAsia="de-de" w:bidi="de-de"/>
              </w:rPr>
              <w:t>3. Möglichkeiten kennen und handeln</w:t>
            </w:r>
          </w:p>
        </w:tc>
        <w:tc>
          <w:tcPr>
            <w:tcW w:w="4394" w:type="dxa"/>
            <w:tcMar>
              <w:top w:w="170" w:type="dxa"/>
              <w:left w:w="113" w:type="dxa"/>
              <w:bottom w:w="113" w:type="dxa"/>
              <w:right w:w="113" w:type="dxa"/>
            </w:tcMar>
            <w:tmTcPr id="1785596603" protected="0"/>
          </w:tcPr>
          <w:p>
            <w:pPr/>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weiß, wie ich übermäßiger Belastung vorbeugen kann.</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Wenn ich Stress bei der Arbeit habe, weiß ich, was ich dagegen tun kann.</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versuche, meine Belastungen zu reduzieren, indem ich die eigene Arbeitsweise optimiere – zum Beispiel Prioritäten setzen, für ungestörtes Arbeiten sorgen, Tagesplan erstellen – oder auch mal Aufträge/Projekte ablehne, wenn meine Grenzen erreicht sind.</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r>
        <w:trPr>
          <w:tblHeader w:val="0"/>
          <w:cantSplit w:val="0"/>
          <w:trHeight w:val="0" w:hRule="auto"/>
        </w:trPr>
        <w:tc>
          <w:tcPr>
            <w:tcW w:w="4394" w:type="dxa"/>
            <w:tcMar>
              <w:top w:w="170" w:type="dxa"/>
              <w:left w:w="113" w:type="dxa"/>
              <w:bottom w:w="113" w:type="dxa"/>
              <w:right w:w="113" w:type="dxa"/>
            </w:tcMar>
            <w:tmTcPr id="1785596603" protected="0"/>
          </w:tcPr>
          <w:p>
            <w:pPr>
              <w:ind w:left="283" w:firstLine="0"/>
              <w:spacing w:before="0" w:after="0" w:line="264" w:lineRule="auto"/>
              <w:jc w:val="left"/>
            </w:pPr>
            <w:r>
              <w:t>Ich informiere mich regelmäßig über Sicherheitsvorschriften und Maßnahmen zur Gesundheitsförderung und halte diese ein beziehungsweise nehme daran teil.</w:t>
            </w:r>
          </w:p>
        </w:tc>
        <w:tc>
          <w:tcPr>
            <w:tcW w:w="4394" w:type="dxa"/>
            <w:tcMar>
              <w:top w:w="170" w:type="dxa"/>
              <w:left w:w="113" w:type="dxa"/>
              <w:bottom w:w="113" w:type="dxa"/>
              <w:right w:w="113" w:type="dxa"/>
            </w:tcMar>
            <w:tmTcPr id="1785596603" protected="0"/>
          </w:tcPr>
          <w:p>
            <w:pPr>
              <w:ind w:left="340" w:firstLine="0"/>
              <w:spacing w:after="0" w:line="240" w:lineRule="auto"/>
              <w:tabs defTabSz="708">
                <w:tab w:val="right" w:pos="3912" w:leader="none"/>
                <w:tab w:val="left" w:pos="4535" w:leader="none"/>
                <w:tab w:val="left" w:pos="7654" w:leader="none"/>
              </w:tabs>
            </w:pPr>
            <w:r>
              <w:rPr>
                <w:u w:color="auto" w:val="single"/>
              </w:rPr>
              <w:t>0</w:t>
              <w:tab/>
              <w:t>10</w:t>
              <w:br w:type="textWrapping"/>
            </w:r>
            <w:r>
              <w:t>falsch</w:t>
              <w:tab/>
              <w:t>richtig</w:t>
            </w:r>
          </w:p>
        </w:tc>
      </w:tr>
    </w:tbl>
    <w:p>
      <w:r/>
    </w:p>
    <w:p>
      <w:r>
        <w:t>Folgendes leite ich daraus für mich ab:</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pStyle w:val="para3"/>
        <w:numPr>
          <w:ilvl w:val="2"/>
          <w:numId w:val="42"/>
        </w:numPr>
        <w:ind w:left="737" w:hanging="737"/>
      </w:pPr>
      <w:r>
        <w:br w:type="page"/>
      </w:r>
      <w:bookmarkStart w:id="159" w:name="_TOC000533"/>
      <w:r>
        <w:t>Innere Antreiber</w:t>
      </w:r>
      <w:bookmarkEnd w:id="159"/>
      <w:r/>
    </w:p>
    <w:p>
      <w:r>
        <w:t>Die inneren Antreiber sind Denk- und Glaubensmuster, welche die Überzeugungen über uns selbst und die Beziehung zu anderen beeinflussen. Gemeint sind damit verinnerlichte Lebensregeln, die uns dogmatisch sagen, wie etwas zu geschehen hat oder wie wir uns zu verhalten haben. Die wesentlichen Antreiber sind:</w:t>
      </w:r>
    </w:p>
    <w:p>
      <w:pPr>
        <w:pStyle w:val="para36"/>
        <w:numPr>
          <w:ilvl w:val="0"/>
          <w:numId w:val="58"/>
        </w:numPr>
        <w:ind w:left="454" w:hanging="284"/>
      </w:pPr>
      <w:r>
        <w:t>Sei perfekt!</w:t>
      </w:r>
    </w:p>
    <w:p>
      <w:pPr>
        <w:pStyle w:val="para36"/>
        <w:numPr>
          <w:ilvl w:val="0"/>
          <w:numId w:val="58"/>
        </w:numPr>
        <w:ind w:left="454" w:hanging="284"/>
      </w:pPr>
      <w:r>
        <w:t>Sei beliebt!</w:t>
      </w:r>
    </w:p>
    <w:p>
      <w:pPr>
        <w:pStyle w:val="para36"/>
        <w:numPr>
          <w:ilvl w:val="0"/>
          <w:numId w:val="58"/>
        </w:numPr>
        <w:ind w:left="454" w:hanging="284"/>
      </w:pPr>
      <w:r>
        <w:t>Sei stark!</w:t>
      </w:r>
    </w:p>
    <w:p>
      <w:pPr>
        <w:pStyle w:val="para36"/>
        <w:numPr>
          <w:ilvl w:val="0"/>
          <w:numId w:val="58"/>
        </w:numPr>
        <w:ind w:left="454" w:hanging="284"/>
      </w:pPr>
      <w:r>
        <w:t>Sei vorsichtig!</w:t>
      </w:r>
    </w:p>
    <w:p>
      <w:pPr>
        <w:pStyle w:val="para36"/>
        <w:numPr>
          <w:ilvl w:val="0"/>
          <w:numId w:val="58"/>
        </w:numPr>
        <w:ind w:left="454" w:hanging="284"/>
      </w:pPr>
      <w:r>
        <w:t>Ich kann nicht! oder Hilf mir!</w:t>
      </w:r>
    </w:p>
    <w:p>
      <w:r>
        <w:t>Sie resultieren meist aus Kindheits- und Jugenderfahrungen und haben im Laufe der Zeit einen Status erreicht, den wir nicht mehr hinterfragen. Wir haben sie eben verinnerlicht, sodass sie uns nicht auffallen. Die Transaktionsanalyse (TA) erklärt solche Antreiber als innere Steuerungsmuster mit der Wirkkraft echter 'Motivatoren'.</w:t>
      </w:r>
    </w:p>
    <w:p>
      <w:r>
        <w:t xml:space="preserve">Im Ursprung sind sie nichts anderes als Denk- und Glaubensmuster, die Kinder von den Eltern übernommen haben, weil sie damit den elterlichen Ansprüchen gerecht wurden. Kinder sind abhängig von Liebe und Zuneigung und wissen sehr schnell, welche (erwünschten) Verhaltensweisen sie zeigen müssen, um positive Zuwendung zu erhalten. </w:t>
      </w:r>
    </w:p>
    <w:p>
      <w:r>
        <w:t>Solche Antreiber sind nicht grundsätzlich schlecht, aber wenn sie sich verselbstständigen, steuern sie unser Denken, Fühlen und Verhalten auch in Situationen, in denen sie unangemessen sind. Dann wirken sich einige von ihnen auch als persönliche Stressverstärker aus.</w:t>
      </w:r>
    </w:p>
    <w:p>
      <w:pPr>
        <w:pStyle w:val="para4"/>
        <w:numPr>
          <w:ilvl w:val="3"/>
          <w:numId w:val="42"/>
        </w:numPr>
        <w:ind w:left="864" w:hanging="864"/>
      </w:pPr>
      <w:bookmarkStart w:id="160" w:name="_TOC000810"/>
      <w:r>
        <w:t>Sei perfekt!</w:t>
      </w:r>
      <w:bookmarkEnd w:id="160"/>
      <w:r/>
    </w:p>
    <w:p>
      <w:r>
        <w:t xml:space="preserve">Hinter diesem Antreiber steht als Leistungsmotiv der Wunsch nach Erfolg und Selbstbestätigung aufgrund guter Leistungen. </w:t>
      </w:r>
    </w:p>
    <w:p>
      <w:r>
        <w:t>Es kann durchaus angemessen sein, mit diesem Motivator zu arbeiten, z.B. wenn besonders gute Ergebnisse erzielt werden sollen wie bei Operationen, bei denen es auf höchste Präzision ankommt oder wenn jemand anstrebt, seine Fertigkeiten zu verbessern.</w:t>
      </w:r>
    </w:p>
    <w:p>
      <w:r>
        <w:t>Wird dieses Motiv unbewusst zur absoluten Forderung erhoben, resultiert daraus der Anspruch, jederzeit und in allen Situationen perfekt sein zu müssen. Das perfektionistische Streben wirkt sich dann völlig unangemessen in sämtlichen beruflichen und privaten Bereichen aus. Außerdem verlieren die Betroffenen das Maß dafür, was angemessen zu tun wäre. Was nicht den persönlichen Ansprüchen genügt, ist ein Misserfolg, Versagen oder persönlicher Fehler. Um solche Situationen unter allen Umständen vermeiden zu können, fordern solche Menschen von sich (und eventuell anderen) ein perfektionistisches Leistungsverhalten.</w:t>
      </w:r>
    </w:p>
    <w:p>
      <w:r>
        <w:t>Damit verbindet sich zwangsläufig eine erhöhte und ausgeprägte Stressanfälligkeit, die langfristig in Selbstüberforderung und völlige Erschöpfung (Burn-out) führen kann.</w:t>
      </w:r>
    </w:p>
    <w:p>
      <w:r>
        <w:t>Mögliche Erlaubersätze entschärfen die antreibende Überzeugung:</w:t>
      </w:r>
    </w:p>
    <w:p>
      <w:pPr>
        <w:pStyle w:val="para36"/>
        <w:numPr>
          <w:ilvl w:val="0"/>
          <w:numId w:val="58"/>
        </w:numPr>
        <w:ind w:left="454" w:hanging="284"/>
      </w:pPr>
      <w:r>
        <w:t>Ich bin wertvoll und gut genug, so wie ich bin!</w:t>
      </w:r>
    </w:p>
    <w:p>
      <w:pPr>
        <w:pStyle w:val="para36"/>
        <w:numPr>
          <w:ilvl w:val="0"/>
          <w:numId w:val="58"/>
        </w:numPr>
        <w:ind w:left="454" w:hanging="284"/>
      </w:pPr>
      <w:r>
        <w:t>Ich darf Fehler machen und aus ihnen lernen!</w:t>
      </w:r>
    </w:p>
    <w:p>
      <w:pPr>
        <w:pStyle w:val="para36"/>
        <w:numPr>
          <w:ilvl w:val="0"/>
          <w:numId w:val="58"/>
        </w:numPr>
        <w:ind w:left="454" w:hanging="284"/>
      </w:pPr>
      <w:r>
        <w:t>Ich leiste Gutes, und das ist gut genug!</w:t>
      </w:r>
    </w:p>
    <w:p>
      <w:pPr>
        <w:pStyle w:val="para36"/>
        <w:numPr>
          <w:ilvl w:val="0"/>
          <w:numId w:val="58"/>
        </w:numPr>
        <w:ind w:left="454" w:hanging="284"/>
      </w:pPr>
      <w:r>
        <w:t>80% statt 100% reichen oft, besonders dann, wenn die anderen es nicht bemerken!</w:t>
      </w:r>
    </w:p>
    <w:p>
      <w:pPr>
        <w:pStyle w:val="para36"/>
        <w:numPr>
          <w:ilvl w:val="0"/>
          <w:numId w:val="58"/>
        </w:numPr>
        <w:ind w:left="454" w:hanging="284"/>
      </w:pPr>
      <w:r>
        <w:t>Ich entscheide mich immer wieder neu, wie perfekt ich sein muss!</w:t>
      </w:r>
    </w:p>
    <w:p>
      <w:pPr>
        <w:pStyle w:val="para4"/>
        <w:numPr>
          <w:ilvl w:val="3"/>
          <w:numId w:val="42"/>
        </w:numPr>
        <w:ind w:left="864" w:hanging="864"/>
      </w:pPr>
      <w:bookmarkStart w:id="161" w:name="_TOC000811"/>
      <w:r>
        <w:t>Sei beliebt!</w:t>
      </w:r>
      <w:bookmarkEnd w:id="161"/>
      <w:r/>
    </w:p>
    <w:p>
      <w:r>
        <w:t>Hinter diesem Antreiber steht das Anerkennungsmotiv: der Wunsch nach Zugehörigkeit und nach Liebe.</w:t>
      </w:r>
    </w:p>
    <w:p>
      <w:r>
        <w:t xml:space="preserve">Der Wunsch, von anderen Menschen angenommen und geliebt zu werden, ist wichtig für das eigene Überleben. </w:t>
      </w:r>
    </w:p>
    <w:p>
      <w:r>
        <w:t xml:space="preserve">Problematisch ist wieder die Verselbstständigung dieses Motivs. Erfahren solche Menschen Ablehnung, Kritik oder Zurückweisung, können Sie nicht angemessen damit umgehen, sondern erleben dies als Bedrohung, Belastung oder massive Enttäuschung. Sie sind oft nicht in der Lage, "Nein!" zu sagen oder eigene Positionen auszufechten. Sie stellen eigene Interessen eher zurück und versuchen, es allen anderen recht zu machen, um deren Anerkennung zu erhalten. Kontroversen oder Konfliktsituationen, in denen das nicht gelingt, geraten so zu unbeherrschbaren Zerreißproben. </w:t>
      </w:r>
    </w:p>
    <w:p>
      <w:r>
        <w:t>Dies erzeugt Stress und verschärft ihn zugleich, weil solche Situationen eventuell nicht auflösbar sind. Das Lebensmotiv 'Sei beliebt!' wird in solchen Situationen für sie als unlebbar erfahren. Der Versuch, es allen recht zu machen, mündet auf längere Sicht in Selbstüberforderung und kann zum Burn-out führen.</w:t>
      </w:r>
    </w:p>
    <w:p>
      <w:r>
        <w:t>Mögliche Erlaubersätze entschärfen die antreibende Überzeugung:</w:t>
      </w:r>
    </w:p>
    <w:p>
      <w:pPr>
        <w:pStyle w:val="para36"/>
        <w:numPr>
          <w:ilvl w:val="0"/>
          <w:numId w:val="58"/>
        </w:numPr>
        <w:ind w:left="454" w:hanging="284"/>
      </w:pPr>
      <w:r>
        <w:t>Meine Bedürfnisse sind auch wichtig!</w:t>
      </w:r>
    </w:p>
    <w:p>
      <w:pPr>
        <w:pStyle w:val="para36"/>
        <w:numPr>
          <w:ilvl w:val="0"/>
          <w:numId w:val="58"/>
        </w:numPr>
        <w:ind w:left="454" w:hanging="284"/>
      </w:pPr>
      <w:r>
        <w:t>Ich muss nicht bei allen beliebt sein!</w:t>
      </w:r>
    </w:p>
    <w:p>
      <w:pPr>
        <w:pStyle w:val="para36"/>
        <w:numPr>
          <w:ilvl w:val="0"/>
          <w:numId w:val="58"/>
        </w:numPr>
        <w:ind w:left="454" w:hanging="284"/>
      </w:pPr>
      <w:r>
        <w:t>Ich darf NEIN sagen!</w:t>
      </w:r>
    </w:p>
    <w:p>
      <w:pPr>
        <w:pStyle w:val="para36"/>
        <w:numPr>
          <w:ilvl w:val="0"/>
          <w:numId w:val="58"/>
        </w:numPr>
        <w:ind w:left="454" w:hanging="284"/>
      </w:pPr>
      <w:r>
        <w:t>Es darf mit mir auch anstrengend sein!</w:t>
      </w:r>
    </w:p>
    <w:p>
      <w:pPr>
        <w:pStyle w:val="para36"/>
        <w:numPr>
          <w:ilvl w:val="0"/>
          <w:numId w:val="58"/>
        </w:numPr>
        <w:ind w:left="454" w:hanging="284"/>
      </w:pPr>
      <w:r>
        <w:t>Ich bin OK, auch wenn jemand mit mir unzufrieden ist!</w:t>
      </w:r>
    </w:p>
    <w:p>
      <w:pPr>
        <w:pStyle w:val="para36"/>
        <w:numPr>
          <w:ilvl w:val="0"/>
          <w:numId w:val="58"/>
        </w:numPr>
        <w:ind w:left="454" w:hanging="284"/>
      </w:pPr>
      <w:r>
        <w:t>Ich darf es mir auch selbst recht machen!</w:t>
      </w:r>
    </w:p>
    <w:p>
      <w:pPr>
        <w:pStyle w:val="para36"/>
        <w:numPr>
          <w:ilvl w:val="0"/>
          <w:numId w:val="58"/>
        </w:numPr>
        <w:ind w:left="454" w:hanging="284"/>
      </w:pPr>
      <w:r>
        <w:t>Ich nehme Rücksicht auf andere Menschen UND auf mich!</w:t>
      </w:r>
    </w:p>
    <w:p>
      <w:pPr>
        <w:pStyle w:val="para4"/>
        <w:numPr>
          <w:ilvl w:val="3"/>
          <w:numId w:val="42"/>
        </w:numPr>
        <w:ind w:left="864" w:hanging="864"/>
      </w:pPr>
      <w:bookmarkStart w:id="162" w:name="_TOC000812"/>
      <w:r>
        <w:t>Sei stark!</w:t>
      </w:r>
      <w:bookmarkEnd w:id="162"/>
      <w:r/>
    </w:p>
    <w:p>
      <w:r>
        <w:t>Hinter diesem Antreiber steht das Autonomiemotiv mit dem Wunsch nach Selbstbestimmung und nach Unabhängigkeit.</w:t>
      </w:r>
    </w:p>
    <w:p>
      <w:r>
        <w:t>Dieser Motivator ist wichtig für die persönliche Entfaltung, aber auch, damit wir anderen helfen können, die situationsbedingt nicht stark sind, z.B. bei Verlust eines geliebten Menschen.</w:t>
      </w:r>
    </w:p>
    <w:p>
      <w:r>
        <w:t>Zur absoluten Verhaltensforderung erhoben wird dieser Motivator zur Falle. Abhängigkeit von anderen Menschen oder von Sachzwängen wird als persönliche Schwäche und eigene Hilfsbedürftigkeit erlebt. Solche Menschen können andere nur schlecht um Unterstützung bitten, machen lieber alles selbst und ziehen Aufgaben bis zur kompletten Selbstüberforderung an sich. Solange das gelingt, bestätigt der Erfolg die vermeintliche Richtigkeit dieses dogmatischen Antreibers und motiviert den Betroffenen sogar noch, bis zum Zusammenbruch zu arbeiten oder Situationen alleine durchzustehen.</w:t>
      </w:r>
    </w:p>
    <w:p>
      <w:r>
        <w:t>Mögliche Erlaubersätze entschärfen die antreibende Überzeugung:</w:t>
      </w:r>
    </w:p>
    <w:p>
      <w:pPr>
        <w:pStyle w:val="para36"/>
        <w:numPr>
          <w:ilvl w:val="0"/>
          <w:numId w:val="58"/>
        </w:numPr>
        <w:ind w:left="454" w:hanging="284"/>
      </w:pPr>
      <w:r>
        <w:t>Ich darf Hilfe holen und sie annehmen!</w:t>
      </w:r>
    </w:p>
    <w:p>
      <w:pPr>
        <w:pStyle w:val="para36"/>
        <w:numPr>
          <w:ilvl w:val="0"/>
          <w:numId w:val="58"/>
        </w:numPr>
        <w:ind w:left="454" w:hanging="284"/>
      </w:pPr>
      <w:r>
        <w:t>Ich darf offen sein!</w:t>
      </w:r>
    </w:p>
    <w:p>
      <w:pPr>
        <w:pStyle w:val="para36"/>
        <w:numPr>
          <w:ilvl w:val="0"/>
          <w:numId w:val="58"/>
        </w:numPr>
        <w:ind w:left="454" w:hanging="284"/>
      </w:pPr>
      <w:r>
        <w:t>Ich darf mich anderen anvertrauen!</w:t>
      </w:r>
    </w:p>
    <w:p>
      <w:pPr>
        <w:pStyle w:val="para36"/>
        <w:numPr>
          <w:ilvl w:val="0"/>
          <w:numId w:val="58"/>
        </w:numPr>
        <w:ind w:left="454" w:hanging="284"/>
      </w:pPr>
      <w:r>
        <w:t>Ich darf anderen meine Wünsche mitteilen!</w:t>
      </w:r>
    </w:p>
    <w:p>
      <w:pPr>
        <w:pStyle w:val="para36"/>
        <w:numPr>
          <w:ilvl w:val="0"/>
          <w:numId w:val="58"/>
        </w:numPr>
        <w:ind w:left="454" w:hanging="284"/>
      </w:pPr>
      <w:r>
        <w:t>Gefühle zu zeigen, ist erlaubt und ein Zeichen von Stärke!</w:t>
      </w:r>
    </w:p>
    <w:p>
      <w:pPr>
        <w:pStyle w:val="para4"/>
        <w:numPr>
          <w:ilvl w:val="3"/>
          <w:numId w:val="42"/>
        </w:numPr>
        <w:ind w:left="864" w:hanging="864"/>
      </w:pPr>
      <w:bookmarkStart w:id="163" w:name="_TOC000813"/>
      <w:r>
        <w:t>Sei vorsichtig!</w:t>
      </w:r>
      <w:bookmarkEnd w:id="163"/>
      <w:r/>
    </w:p>
    <w:p>
      <w:r>
        <w:t>Dieser Antreiber gründet im Kontrollmotiv. Dahinter steht der Wunsch nach Sicherheit und Kontrolle über das eigene Leben.</w:t>
      </w:r>
    </w:p>
    <w:p>
      <w:r>
        <w:t>Der Motivator ist lebenswichtig. Risiken, die einzugehen sind, sollten kalkuliert werden und Entscheidungen sollten in ihrer Tragweite bedacht werden.</w:t>
      </w:r>
    </w:p>
    <w:p>
      <w:r>
        <w:t>Wird dieses Motiv übermächtig, entstehen Ängste in Situationen, die zu Fehlentscheidungen oder Kontrolleinbußen führen können. Zum Beispiel werden alltägliche Situationen wie Autofahren möglicherweise zu extremen Stresserfahrungen. Aus der ständigen Sorge um Kontroll- oder Sicherheitsverlust resultiert ein übertriebenes Kontrolldenken, das langfristig bis zur völligen Überforderung und zum Burn-out führen kann.</w:t>
      </w:r>
    </w:p>
    <w:p>
      <w:r>
        <w:t>Mögliche Erlaubersätze zu 'Sei vorsichtig!' sind:</w:t>
      </w:r>
    </w:p>
    <w:p>
      <w:pPr>
        <w:pStyle w:val="para36"/>
        <w:numPr>
          <w:ilvl w:val="0"/>
          <w:numId w:val="58"/>
        </w:numPr>
        <w:ind w:left="454" w:hanging="284"/>
      </w:pPr>
      <w:r>
        <w:t>Ich akzeptiere, was ich nicht ändern kann.</w:t>
      </w:r>
    </w:p>
    <w:p>
      <w:pPr>
        <w:pStyle w:val="para36"/>
        <w:numPr>
          <w:ilvl w:val="0"/>
          <w:numId w:val="58"/>
        </w:numPr>
        <w:ind w:left="454" w:hanging="284"/>
      </w:pPr>
      <w:r>
        <w:t>Ich kann/muss nicht alles kontrollieren/planen.</w:t>
      </w:r>
    </w:p>
    <w:p>
      <w:pPr>
        <w:pStyle w:val="para36"/>
        <w:numPr>
          <w:ilvl w:val="0"/>
          <w:numId w:val="58"/>
        </w:numPr>
        <w:ind w:left="454" w:hanging="284"/>
      </w:pPr>
      <w:r>
        <w:t>Risiko/Unsicherheit gehört dazu.</w:t>
      </w:r>
    </w:p>
    <w:p>
      <w:pPr>
        <w:pStyle w:val="para36"/>
        <w:numPr>
          <w:ilvl w:val="0"/>
          <w:numId w:val="58"/>
        </w:numPr>
        <w:ind w:left="454" w:hanging="284"/>
      </w:pPr>
      <w:r>
        <w:t>Ich kann/darf mich auf andere verlassen.</w:t>
      </w:r>
    </w:p>
    <w:p>
      <w:pPr>
        <w:pStyle w:val="para36"/>
        <w:numPr>
          <w:ilvl w:val="0"/>
          <w:numId w:val="58"/>
        </w:numPr>
        <w:ind w:left="454" w:hanging="284"/>
      </w:pPr>
      <w:r>
        <w:t>Ich habe Vertrauen.</w:t>
      </w:r>
    </w:p>
    <w:p>
      <w:pPr>
        <w:pStyle w:val="para36"/>
        <w:numPr>
          <w:ilvl w:val="0"/>
          <w:numId w:val="58"/>
        </w:numPr>
        <w:ind w:left="454" w:hanging="284"/>
      </w:pPr>
      <w:r>
        <w:t>Störungen sind Teil des Jobs/Plans.</w:t>
      </w:r>
    </w:p>
    <w:p>
      <w:pPr>
        <w:pStyle w:val="para36"/>
        <w:numPr>
          <w:ilvl w:val="0"/>
          <w:numId w:val="58"/>
        </w:numPr>
        <w:ind w:left="454" w:hanging="284"/>
      </w:pPr>
      <w:r>
        <w:t>Ich bleibe gelassen, auch wenn ich nicht weiß, was kommt.</w:t>
      </w:r>
    </w:p>
    <w:p>
      <w:r/>
    </w:p>
    <w:p>
      <w:pPr>
        <w:pStyle w:val="para4"/>
        <w:numPr>
          <w:ilvl w:val="3"/>
          <w:numId w:val="42"/>
        </w:numPr>
        <w:ind w:left="864" w:hanging="864"/>
      </w:pPr>
      <w:bookmarkStart w:id="164" w:name="_TOC000814"/>
      <w:r>
        <w:t>Ich kann nicht! oder Hilf mir!</w:t>
      </w:r>
      <w:bookmarkEnd w:id="164"/>
      <w:r/>
    </w:p>
    <w:p>
      <w:r>
        <w:t>Hinter diesen zwei Formulierungen des Antreibers steht der Wunsch nach persönlichem Wohlbefinden und einem bequemen Leben.</w:t>
      </w:r>
    </w:p>
    <w:p>
      <w:r>
        <w:t>Dieser Motivator hat zum Ziel, sich nicht in der täglichen Arbeit zu verausgaben und durch Unterstützung Entlastung und Annehmlichkeiten zu erfahren.</w:t>
      </w:r>
    </w:p>
    <w:p>
      <w:r>
        <w:t>Die dogmatische Lebenseinstellung "Ich kann nicht!" bzw. "Hilf mir!" birgt ein großes Risiko in Situationen, die mit Anstrengung oder eventuellen Frustrationen verbunden sind. Solche Herausforderungen werden gemieden und die Betroffenen machen selten die Erfahrung, sich selbstständig zu bewähren. Die entwickelte Schonhaltung kann dazu führen, dass der normale Alltag mit den Lebensanforderungen zum Dauerstress mit dem Gefühl der chronischen Überforderung wird.</w:t>
      </w:r>
    </w:p>
    <w:p>
      <w:r>
        <w:t>Mögliche Erlaubersätze zu diesem Antreiber lauten:</w:t>
      </w:r>
    </w:p>
    <w:p>
      <w:pPr>
        <w:pStyle w:val="para36"/>
        <w:numPr>
          <w:ilvl w:val="0"/>
          <w:numId w:val="58"/>
        </w:numPr>
        <w:ind w:left="454" w:hanging="284"/>
      </w:pPr>
      <w:r>
        <w:t>Ich schaffe es!</w:t>
      </w:r>
    </w:p>
    <w:p>
      <w:pPr>
        <w:pStyle w:val="para36"/>
        <w:numPr>
          <w:ilvl w:val="0"/>
          <w:numId w:val="58"/>
        </w:numPr>
        <w:ind w:left="454" w:hanging="284"/>
      </w:pPr>
      <w:r>
        <w:t>Ich habe schon ähnliche Situationen gemeistert.</w:t>
      </w:r>
    </w:p>
    <w:p>
      <w:pPr>
        <w:pStyle w:val="para36"/>
        <w:numPr>
          <w:ilvl w:val="0"/>
          <w:numId w:val="58"/>
        </w:numPr>
        <w:ind w:left="454" w:hanging="284"/>
      </w:pPr>
      <w:r>
        <w:t>Ich nehme es als Herausforderung an.</w:t>
      </w:r>
    </w:p>
    <w:p>
      <w:pPr>
        <w:pStyle w:val="para36"/>
        <w:numPr>
          <w:ilvl w:val="0"/>
          <w:numId w:val="58"/>
        </w:numPr>
        <w:ind w:left="454" w:hanging="284"/>
      </w:pPr>
      <w:r>
        <w:t>Ich vertraue auf mich.</w:t>
      </w:r>
    </w:p>
    <w:p>
      <w:pPr>
        <w:pStyle w:val="para36"/>
        <w:numPr>
          <w:ilvl w:val="0"/>
          <w:numId w:val="58"/>
        </w:numPr>
        <w:ind w:left="454" w:hanging="284"/>
      </w:pPr>
      <w:r>
        <w:t>Ich weiß, was ich kann.</w:t>
      </w:r>
    </w:p>
    <w:p>
      <w:pPr>
        <w:pStyle w:val="para36"/>
        <w:numPr>
          <w:ilvl w:val="0"/>
          <w:numId w:val="58"/>
        </w:numPr>
        <w:ind w:left="454" w:hanging="284"/>
      </w:pPr>
      <w:r>
        <w:t>Ich kann das aushalten.</w:t>
      </w:r>
    </w:p>
    <w:p>
      <w:pPr>
        <w:pStyle w:val="para36"/>
        <w:numPr>
          <w:ilvl w:val="0"/>
          <w:numId w:val="58"/>
        </w:numPr>
        <w:ind w:left="454" w:hanging="284"/>
      </w:pPr>
      <w:r>
        <w:t>Das geht auch wieder vorüber.</w:t>
      </w:r>
    </w:p>
    <w:p>
      <w:pPr>
        <w:pStyle w:val="para36"/>
        <w:numPr>
          <w:ilvl w:val="0"/>
          <w:numId w:val="58"/>
        </w:numPr>
        <w:ind w:left="454" w:hanging="284"/>
      </w:pPr>
      <w:r>
        <w:t>Das wirft mich nicht um.</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
        <w:numPr>
          <w:ilvl w:val="3"/>
          <w:numId w:val="42"/>
        </w:numPr>
        <w:ind w:left="864" w:hanging="864"/>
      </w:pPr>
      <w:r>
        <w:br w:type="page"/>
      </w:r>
      <w:bookmarkStart w:id="165" w:name="_TOC000815"/>
      <w:r>
        <w:t>Checkliste: Ermittlung der inneren Antreiber</w:t>
      </w:r>
      <w:bookmarkEnd w:id="165"/>
      <w:r/>
    </w:p>
    <w:p>
      <w:r>
        <w:t>Überprüfen Sie Ihre eigenen Antreiber und deren Ausprägung, indem Sie die folgenden Aussagen bewerten.</w:t>
      </w:r>
    </w:p>
    <w:p>
      <w:r>
        <w:t>Entscheiden Sie, in wieweit jede Aussage auf Sie zutrifft, und markieren Sie die entsprechende Punktzahl.</w:t>
      </w:r>
    </w:p>
    <w:p>
      <w:r/>
    </w:p>
    <w:tbl>
      <w:tblPr>
        <w:tblStyle w:val="TableNormal"/>
        <w:name w:val="Tabelle195"/>
        <w:tabOrder w:val="0"/>
        <w:jc w:val="left"/>
        <w:tblInd w:w="0" w:type="dxa"/>
        <w:tblW w:w="8431" w:type="dxa"/>
        <w:pPr>
          <w:spacing/>
          <w:jc w:val="left"/>
        </w:pPr>
        <w:tblLook w:val="0600" w:firstRow="0" w:lastRow="0" w:firstColumn="0" w:lastColumn="0" w:noHBand="1" w:noVBand="1"/>
      </w:tblPr>
      <w:tblGrid>
        <w:gridCol w:w="430"/>
        <w:gridCol w:w="5961"/>
        <w:gridCol w:w="678"/>
        <w:gridCol w:w="683"/>
        <w:gridCol w:w="679"/>
      </w:tblGrid>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rPr>
                <w:b/>
                <w:bCs/>
              </w:rPr>
            </w:pPr>
            <w:r>
              <w:rPr>
                <w:b/>
                <w:bCs/>
              </w:rPr>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rPr>
                <w:b/>
                <w:bCs/>
              </w:rPr>
            </w:pPr>
            <w:r>
              <w:rPr>
                <w:b/>
                <w:bCs/>
              </w:rPr>
              <w:t>Wie vertraut sind Ihnen die folgenden Gedanken?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rPr>
                <w:b/>
                <w:bCs/>
              </w:rPr>
            </w:pPr>
            <w:r>
              <w:rPr>
                <w:b/>
                <w:bCs/>
              </w:rPr>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rPr>
                <w:b/>
                <w:bCs/>
              </w:rPr>
            </w:pPr>
            <w:r>
              <w:rPr>
                <w:b/>
                <w:bCs/>
              </w:rPr>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rPr>
                <w:b/>
                <w:bCs/>
              </w:rPr>
            </w:pPr>
            <w:r>
              <w:rPr>
                <w:b/>
                <w:bCs/>
              </w:rPr>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sehr</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mittel</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nicht</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Am liebsten mache ich alles selbst.</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halte das nicht durch.</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3.</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entsetzlich, wenn etwas nicht so läuft, wie ich will oder geplant habe.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4.</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werde versagen.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5.</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Das schaffe ich nie.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6.</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nicht akzeptabel, wenn ich eine Arbeit nicht schaffe oder einen Termin nicht einhalte.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7.</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kann diesen Druck (Angst, Schmerzen etc.) einfach nicht aushalten.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8.</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muss immer für meinen Betrieb da sein.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9.</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Probleme und Schwierigkeiten sind einfach nur fürchterlich.</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10.</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wichtig, dass ich alles unter Kontrolle habe.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11.</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will die anderen nicht enttäuschen.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12.</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gibt nichts Schlimmeres, als Fehler zu machen.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13.</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Auf mich muss 100%iger Verlass sein.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14.</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schrecklich, wenn andere mir böse sind.</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15.</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Starke Menschen brauchen keine Hilfe.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16.</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will mit allen Leuten gut auskommen.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17.</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schlimm, wenn andere mich kritisieren.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18.</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Wenn ich mich auf andere verlasse, bin ich verlassen.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19.</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wichtig, dass mich alle mögen.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20.</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Bei Entscheidungen muss ich mir 100% sicher sein.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21.</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muss ständig daran denken, was alles passieren könnte.</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22.</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Ohne mich geht es nicht.</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23.</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Ich muss immer alles richtig machen.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24.</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schrecklich, auf andere angewiesen zu sein.</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r>
        <w:trPr>
          <w:tblHeader w:val="0"/>
          <w:cantSplit w:val="0"/>
          <w:trHeight w:val="397" w:hRule="atLeast"/>
        </w:trPr>
        <w:tc>
          <w:tcPr>
            <w:tcW w:w="430"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right"/>
              <w:widowControl w:val="0"/>
            </w:pPr>
            <w:r>
              <w:t>25.</w:t>
            </w:r>
          </w:p>
        </w:tc>
        <w:tc>
          <w:tcPr>
            <w:tcW w:w="5961"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widowControl w:val="0"/>
            </w:pPr>
            <w:r>
              <w:t>Es ist ganz fürchterlich, wenn ich nicht weiß, was auf mich zukommt.</w:t>
            </w:r>
          </w:p>
        </w:tc>
        <w:tc>
          <w:tcPr>
            <w:tcW w:w="678"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2</w:t>
            </w:r>
          </w:p>
        </w:tc>
        <w:tc>
          <w:tcPr>
            <w:tcW w:w="683"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1</w:t>
            </w:r>
          </w:p>
        </w:tc>
        <w:tc>
          <w:tcPr>
            <w:tcW w:w="679" w:type="dxa"/>
            <w:vAlign w:val="center"/>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line="240" w:lineRule="auto"/>
              <w:jc w:val="center"/>
              <w:widowControl w:val="0"/>
            </w:pPr>
            <w:r>
              <w:t>0</w:t>
            </w:r>
          </w:p>
        </w:tc>
      </w:tr>
    </w:tbl>
    <w:p>
      <w:r/>
    </w:p>
    <w:p>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Cs w:val="24"/>
        </w:rPr>
      </w:pPr>
      <w:r>
        <w:rPr>
          <w:rFonts w:eastAsia="Cambria" w:cs="Basic Roman"/>
          <w:szCs w:val="24"/>
        </w:rPr>
        <w:t>Gehen Sie nun zur Auswertung auf die nächste Seite.</w:t>
      </w:r>
    </w:p>
    <w:p>
      <w:pPr>
        <w:spacing w:after="120"/>
        <w:rPr>
          <w:rFonts w:eastAsia="Cambria" w:cs="Basic Roman"/>
          <w:sz w:val="22"/>
          <w:szCs w:val="22"/>
        </w:rPr>
      </w:pPr>
      <w:r>
        <w:br w:type="page"/>
      </w:r>
      <w:r>
        <w:rPr>
          <w:rFonts w:eastAsia="Cambria" w:cs="Basic Roman"/>
          <w:sz w:val="22"/>
          <w:szCs w:val="22"/>
        </w:rPr>
        <w:t>Auswertung der Checkliste 'Die inneren Antreiber'</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t>(1) Addieren Sie die Punkte zu den Gedanken</w:t>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6:</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8:</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12:</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13:</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23:</w:t>
        <w:tab/>
      </w:r>
      <w:r>
        <w:rPr>
          <w:rFonts w:eastAsia="Cambria" w:cs="Basic Roman"/>
          <w:szCs w:val="24"/>
          <w:u w:color="auto" w:val="single"/>
        </w:rPr>
        <w:tab/>
      </w:r>
      <w:r>
        <w:rPr>
          <w:rFonts w:eastAsia="Cambria" w:cs="Basic Roman"/>
          <w:szCs w:val="24"/>
        </w:rPr>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b/>
          <w:i/>
          <w:szCs w:val="24"/>
        </w:rPr>
      </w:pPr>
      <w:r>
        <w:rPr>
          <w:rFonts w:eastAsia="Cambria" w:cs="Basic Roman"/>
          <w:b/>
          <w:i/>
          <w:szCs w:val="24"/>
        </w:rPr>
        <w:tab/>
        <w:tab/>
        <w:t>Summe Wert 1:</w:t>
        <w:tab/>
      </w:r>
      <w:r>
        <w:rPr>
          <w:rFonts w:eastAsia="Cambria" w:cs="Basic Roman"/>
          <w:b/>
          <w:i/>
          <w:szCs w:val="24"/>
          <w:u w:color="auto" w:val="single"/>
        </w:rPr>
        <w:tab/>
      </w:r>
      <w:r>
        <w:rPr>
          <w:rFonts w:eastAsia="Cambria" w:cs="Basic Roman"/>
          <w:b/>
          <w:i/>
          <w:szCs w:val="24"/>
        </w:rPr>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t>(3) Addieren Sie die Punkte zu den Gedanken</w:t>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15:</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18:</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22:</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24:</w:t>
        <w:tab/>
      </w:r>
      <w:r>
        <w:rPr>
          <w:rFonts w:eastAsia="Cambria" w:cs="Basic Roman"/>
          <w:szCs w:val="24"/>
          <w:u w:color="auto" w:val="single"/>
        </w:rPr>
        <w:tab/>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szCs w:val="24"/>
          <w:u w:color="auto" w:val="single"/>
        </w:rPr>
      </w:pPr>
      <w:r>
        <w:rPr>
          <w:rFonts w:eastAsia="Cambria" w:cs="Basic Roman"/>
          <w:b/>
          <w:i/>
          <w:szCs w:val="24"/>
        </w:rPr>
        <w:tab/>
        <w:tab/>
        <w:t>Summe Wert 3:</w:t>
        <w:tab/>
      </w:r>
      <w:r>
        <w:rPr>
          <w:rFonts w:eastAsia="Cambria" w:cs="Basic Roman"/>
          <w:szCs w:val="24"/>
          <w:u w:color="auto" w:val="single"/>
        </w:rPr>
        <w:tab/>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t>(5) Addieren Sie die Punkte zu den Gedanken</w:t>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2:</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4:</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5:</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7:</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9:</w:t>
        <w:tab/>
      </w:r>
      <w:r>
        <w:rPr>
          <w:rFonts w:eastAsia="Cambria" w:cs="Basic Roman"/>
          <w:szCs w:val="24"/>
          <w:u w:color="auto" w:val="single"/>
        </w:rPr>
        <w:tab/>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szCs w:val="24"/>
          <w:u w:color="auto" w:val="single"/>
        </w:rPr>
      </w:pPr>
      <w:r>
        <w:rPr>
          <w:rFonts w:eastAsia="Cambria" w:cs="Basic Roman"/>
          <w:b/>
          <w:i/>
          <w:szCs w:val="24"/>
        </w:rPr>
        <w:tab/>
        <w:tab/>
        <w:t>Summe Wert 5:</w:t>
        <w:tab/>
      </w:r>
      <w:r>
        <w:rPr>
          <w:rFonts w:eastAsia="Cambria" w:cs="Basic Roman"/>
          <w:szCs w:val="24"/>
          <w:u w:color="auto" w:val="single"/>
        </w:rPr>
        <w:tab/>
      </w:r>
    </w:p>
    <w:p>
      <w:r/>
    </w:p>
    <w:p>
      <w:pPr>
        <w:spacing w:after="80"/>
        <w:tabs defTabSz="720">
          <w:tab w:val="right" w:pos="4139" w:leader="none"/>
          <w:tab w:val="right" w:pos="4365" w:leader="none"/>
          <w:tab w:val="right" w:pos="4876" w:leader="none"/>
        </w:tabs>
        <w:rPr>
          <w:rFonts w:eastAsia="Cambria" w:cs="Basic Roman"/>
          <w:szCs w:val="24"/>
        </w:rPr>
      </w:pPr>
      <w:r>
        <w:br w:type="column"/>
      </w:r>
      <w:r>
        <w:rPr>
          <w:rFonts w:eastAsia="Cambria" w:cs="Basic Roman"/>
          <w:szCs w:val="24"/>
        </w:rPr>
        <w:t>(2) Addieren Sie die Punkte zu den Gedanken</w:t>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11:</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14:</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16:</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17:</w:t>
        <w:tab/>
      </w:r>
      <w:r>
        <w:rPr>
          <w:rFonts w:eastAsia="Cambria" w:cs="Basic Roman"/>
          <w:szCs w:val="24"/>
          <w:u w:color="auto" w:val="single"/>
        </w:rPr>
        <w:tab/>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u w:color="auto" w:val="single"/>
        </w:rPr>
      </w:pPr>
      <w:r>
        <w:rPr>
          <w:rFonts w:eastAsia="Cambria" w:cs="Basic Roman"/>
          <w:szCs w:val="24"/>
        </w:rPr>
        <w:tab/>
        <w:tab/>
        <w:t>19:</w:t>
        <w:tab/>
      </w:r>
      <w:r>
        <w:rPr>
          <w:rFonts w:eastAsia="Cambria" w:cs="Basic Roman"/>
          <w:szCs w:val="24"/>
          <w:u w:color="auto" w:val="single"/>
        </w:rPr>
        <w:tab/>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szCs w:val="24"/>
          <w:u w:color="auto" w:val="single"/>
        </w:rPr>
      </w:pPr>
      <w:r>
        <w:rPr>
          <w:rFonts w:eastAsia="Cambria" w:cs="Basic Roman"/>
          <w:b/>
          <w:i/>
          <w:szCs w:val="24"/>
        </w:rPr>
        <w:tab/>
        <w:tab/>
        <w:t>Summe Wert 2:</w:t>
        <w:tab/>
      </w:r>
      <w:r>
        <w:rPr>
          <w:rFonts w:eastAsia="Cambria" w:cs="Basic Roman"/>
          <w:szCs w:val="24"/>
          <w:u w:color="auto" w:val="single"/>
        </w:rPr>
        <w:tab/>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r>
    </w:p>
    <w:p>
      <w:pPr>
        <w:spacing w:after="80"/>
        <w:tabs defTabSz="720">
          <w:tab w:val="right" w:pos="4139" w:leader="none"/>
          <w:tab w:val="right" w:pos="4365" w:leader="none"/>
          <w:tab w:val="right" w:pos="4876" w:leader="none"/>
        </w:tabs>
        <w:rPr>
          <w:rFonts w:eastAsia="Cambria" w:cs="Basic Roman"/>
          <w:szCs w:val="24"/>
        </w:rPr>
      </w:pPr>
      <w:r>
        <w:rPr>
          <w:rFonts w:eastAsia="Cambria" w:cs="Basic Roman"/>
          <w:szCs w:val="24"/>
        </w:rPr>
        <w:t>(4) Addieren Sie die Punkte zu den Gedanken</w:t>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3:</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10:</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20:</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21:</w:t>
        <w:tab/>
      </w:r>
      <w:r>
        <w:rPr>
          <w:rFonts w:eastAsia="Cambria" w:cs="Basic Roman"/>
          <w:szCs w:val="24"/>
          <w:u w:color="auto" w:val="single"/>
        </w:rPr>
        <w:tab/>
      </w:r>
      <w:r>
        <w:rPr>
          <w:rFonts w:eastAsia="Cambria" w:cs="Basic Roman"/>
          <w:szCs w:val="24"/>
        </w:rPr>
      </w:r>
    </w:p>
    <w:p>
      <w:pPr>
        <w:ind w:firstLine="0"/>
        <w:spacing w:after="80" w:line="240" w:lineRule="exact"/>
        <w:jc w:val="left"/>
        <w:tabs defTabSz="720">
          <w:tab w:val="right" w:pos="1531" w:leader="none"/>
          <w:tab w:val="right" w:pos="1814" w:leader="none"/>
          <w:tab w:val="right" w:pos="2041" w:leader="none"/>
          <w:tab w:val="right" w:pos="2835" w:leader="none"/>
        </w:tabs>
        <w:rPr>
          <w:rFonts w:eastAsia="Cambria" w:cs="Basic Roman"/>
          <w:szCs w:val="24"/>
        </w:rPr>
      </w:pPr>
      <w:r>
        <w:rPr>
          <w:rFonts w:eastAsia="Cambria" w:cs="Basic Roman"/>
          <w:szCs w:val="24"/>
        </w:rPr>
        <w:tab/>
        <w:tab/>
        <w:t>25:</w:t>
        <w:tab/>
      </w:r>
      <w:r>
        <w:rPr>
          <w:rFonts w:eastAsia="Cambria" w:cs="Basic Roman"/>
          <w:szCs w:val="24"/>
          <w:u w:color="auto" w:val="single"/>
        </w:rPr>
        <w:tab/>
      </w:r>
      <w:r>
        <w:rPr>
          <w:rFonts w:eastAsia="Cambria" w:cs="Basic Roman"/>
          <w:szCs w:val="24"/>
        </w:rPr>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b/>
          <w:i/>
          <w:szCs w:val="24"/>
        </w:rPr>
      </w:pPr>
      <w:r>
        <w:rPr>
          <w:rFonts w:eastAsia="Cambria" w:cs="Basic Roman"/>
          <w:b/>
          <w:i/>
          <w:szCs w:val="24"/>
        </w:rPr>
        <w:tab/>
        <w:tab/>
        <w:t>Summe Wert 4:</w:t>
        <w:tab/>
      </w:r>
      <w:r>
        <w:rPr>
          <w:rFonts w:eastAsia="Cambria" w:cs="Basic Roman"/>
          <w:b/>
          <w:i/>
          <w:szCs w:val="24"/>
          <w:u w:color="auto" w:val="single"/>
        </w:rPr>
        <w:tab/>
      </w:r>
      <w:r>
        <w:rPr>
          <w:rFonts w:eastAsia="Cambria" w:cs="Basic Roman"/>
          <w:b/>
          <w:i/>
          <w:szCs w:val="24"/>
        </w:rPr>
      </w:r>
    </w:p>
    <w:p>
      <w:pPr>
        <w:spacing w:after="320"/>
        <w:tabs defTabSz="720">
          <w:tab w:val="right" w:pos="1814" w:leader="none"/>
          <w:tab w:val="right" w:pos="2041" w:leader="none"/>
          <w:tab w:val="right" w:pos="2835" w:leader="none"/>
          <w:tab w:val="right" w:pos="4139" w:leader="none"/>
          <w:tab w:val="right" w:pos="4365" w:leader="none"/>
          <w:tab w:val="right" w:pos="4876" w:leader="none"/>
        </w:tabs>
        <w:rPr>
          <w:rFonts w:eastAsia="Cambria" w:cs="Basic Roman"/>
          <w:szCs w:val="24"/>
          <w:u w:color="auto" w:val="single"/>
        </w:rPr>
      </w:pPr>
      <w:r>
        <w:rPr>
          <w:rFonts w:eastAsia="Cambria" w:cs="Basic Roman"/>
          <w:szCs w:val="24"/>
          <w:u w:color="auto" w:val="single"/>
        </w:rPr>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ind w:firstLine="0"/>
        <w:spacing w:after="120"/>
        <w:widowControl w:val="0"/>
        <w:tabs defTabSz="708">
          <w:tab w:val="left" w:pos="5580"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Zeichnen Sie einen Balken von der Länge der Summe für den jeweiligen Wert</w:t>
      </w:r>
    </w:p>
    <w:tbl>
      <w:tblPr>
        <w:tblStyle w:val="TableNormal"/>
        <w:name w:val="Tabelle14"/>
        <w:tabOrder w:val="0"/>
        <w:jc w:val="left"/>
        <w:tblInd w:w="354" w:type="dxa"/>
        <w:tblW w:w="8647" w:type="dxa"/>
        <w:pPr>
          <w:ind w:left="354"/>
          <w:spacing/>
          <w:jc w:val="left"/>
        </w:pPr>
        <w:tblLook w:val="0600" w:firstRow="0" w:lastRow="0" w:firstColumn="0" w:lastColumn="0" w:noHBand="1" w:noVBand="1"/>
      </w:tblPr>
      <w:tblGrid>
        <w:gridCol w:w="1200"/>
        <w:gridCol w:w="598"/>
        <w:gridCol w:w="598"/>
        <w:gridCol w:w="598"/>
        <w:gridCol w:w="598"/>
        <w:gridCol w:w="597"/>
        <w:gridCol w:w="597"/>
        <w:gridCol w:w="597"/>
        <w:gridCol w:w="597"/>
        <w:gridCol w:w="597"/>
        <w:gridCol w:w="597"/>
        <w:gridCol w:w="1473"/>
      </w:tblGrid>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p>
        </w:tc>
        <w:tc>
          <w:tcPr>
            <w:tcW w:w="598"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1</w:t>
            </w:r>
          </w:p>
        </w:tc>
        <w:tc>
          <w:tcPr>
            <w:tcW w:w="598"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2</w:t>
            </w:r>
          </w:p>
        </w:tc>
        <w:tc>
          <w:tcPr>
            <w:tcW w:w="598"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3</w:t>
            </w:r>
          </w:p>
        </w:tc>
        <w:tc>
          <w:tcPr>
            <w:tcW w:w="598"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4</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5</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6</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7</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8</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9</w:t>
            </w:r>
          </w:p>
        </w:tc>
        <w:tc>
          <w:tcPr>
            <w:tcW w:w="597" w:type="dxa"/>
            <w:shd w:val="none"/>
            <w:tcMar>
              <w:top w:w="0" w:type="dxa"/>
              <w:left w:w="70" w:type="dxa"/>
              <w:bottom w:w="0" w:type="dxa"/>
              <w:right w:w="70"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10</w:t>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t>Wert 1</w:t>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t>Sei perfekt!</w:t>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t>Wert 2</w:t>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t>Sei beliebt!</w:t>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t>Wert 3</w:t>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t>Sei stark!</w:t>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t>Wert 4</w:t>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t>Sei vorsichtig!</w:t>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t>Wert 5</w:t>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8"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597" w:type="dxa"/>
            <w:shd w:val="none"/>
            <w:tcMar>
              <w:top w:w="0" w:type="dxa"/>
              <w:left w:w="70" w:type="dxa"/>
              <w:bottom w:w="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spacing w:after="0"/>
              <w:widowControl w:val="0"/>
            </w:pPr>
            <w:r/>
          </w:p>
        </w:tc>
        <w:tc>
          <w:tcPr>
            <w:tcW w:w="1473" w:type="dxa"/>
            <w:shd w:val="none"/>
            <w:tcMar>
              <w:top w:w="0" w:type="dxa"/>
              <w:left w:w="70" w:type="dxa"/>
              <w:bottom w:w="0" w:type="dxa"/>
              <w:right w:w="70" w:type="dxa"/>
            </w:tcMar>
            <w:tcBorders>
              <w:top w:val="nil" w:sz="0" w:space="0" w:color="000000" tmln="20, 20, 20, 0, 0"/>
              <w:left w:val="single" w:sz="4" w:space="0" w:color="000000" tmln="1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widowControl w:val="0"/>
            </w:pPr>
            <w:r>
              <w:t>Ich kann nicht!</w:t>
            </w:r>
          </w:p>
        </w:tc>
      </w:tr>
      <w:tr>
        <w:trPr>
          <w:tblHeader w:val="0"/>
          <w:cantSplit w:val="0"/>
          <w:trHeight w:val="0" w:hRule="auto"/>
        </w:trPr>
        <w:tc>
          <w:tcPr>
            <w:tcW w:w="1200"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1</w:t>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2</w:t>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3</w:t>
            </w:r>
          </w:p>
        </w:tc>
        <w:tc>
          <w:tcPr>
            <w:tcW w:w="598"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4</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5</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6</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7</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8</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9</w:t>
            </w:r>
          </w:p>
        </w:tc>
        <w:tc>
          <w:tcPr>
            <w:tcW w:w="597" w:type="dxa"/>
            <w:shd w:val="none"/>
            <w:tcMar>
              <w:top w:w="0" w:type="dxa"/>
              <w:left w:w="70" w:type="dxa"/>
              <w:bottom w:w="0" w:type="dxa"/>
              <w:right w:w="70" w:type="dxa"/>
            </w:tcMar>
            <w:tcBorders>
              <w:top w:val="single" w:sz="4" w:space="0" w:color="000000" tmln="1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t>10</w:t>
            </w:r>
          </w:p>
        </w:tc>
        <w:tc>
          <w:tcPr>
            <w:tcW w:w="1473" w:type="dxa"/>
            <w:shd w:val="none"/>
            <w:tcMar>
              <w:top w:w="0" w:type="dxa"/>
              <w:left w:w="70" w:type="dxa"/>
              <w:bottom w:w="0" w:type="dxa"/>
              <w:right w:w="7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spacing w:after="0"/>
              <w:jc w:val="center"/>
              <w:widowControl w:val="0"/>
            </w:pPr>
            <w:r/>
          </w:p>
        </w:tc>
      </w:tr>
    </w:tbl>
    <w:p>
      <w:pPr>
        <w:ind w:firstLine="0"/>
        <w:spacing w:after="12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ind w:firstLine="0"/>
        <w:spacing w:after="120"/>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Jetzt sehen Sie Ihre stärksten Antreiber.</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3"/>
        <w:numPr>
          <w:ilvl w:val="2"/>
          <w:numId w:val="42"/>
        </w:numPr>
        <w:ind w:left="737" w:hanging="737"/>
      </w:pPr>
      <w:r>
        <w:br w:type="page"/>
      </w:r>
      <w:bookmarkStart w:id="166" w:name="_TOC000816"/>
      <w:r>
        <w:t>Was ist Stress?</w:t>
      </w:r>
      <w:bookmarkEnd w:id="166"/>
      <w:r/>
    </w:p>
    <w:p>
      <w:r>
        <w:t>Stress wird definiert als Ungleichgewichtszustand zwischen den Anforderungen der Umwelt und den allgemeinen Leistungsvoraussetzungen oder Handlungsmöglichkeiten der Person.</w:t>
      </w:r>
    </w:p>
    <w:p>
      <w:r>
        <w:t xml:space="preserve">Eine Bedingung dafür, dass Stress entsteht, ist, dass dieses Ungleichgewicht als persönlich bedeutsam wahrgenommen und als unangenehm erlebt wird. </w:t>
      </w:r>
    </w:p>
    <w:p>
      <w:r>
        <w:t>Woran erkennen Sie, dass Ihre Gesundheit gefährdet ist?</w:t>
      </w:r>
    </w:p>
    <w:p>
      <w:r>
        <w:t>Die Folgen von Stress können sich in drei unterschiedlichen Bereichen bemerkbar machen:</w:t>
      </w:r>
    </w:p>
    <w:p>
      <w:r/>
    </w:p>
    <w:p>
      <w:pPr>
        <w:pStyle w:val="para36"/>
        <w:numPr>
          <w:ilvl w:val="0"/>
          <w:numId w:val="58"/>
        </w:numPr>
        <w:ind w:left="454" w:hanging="284"/>
      </w:pPr>
      <w:r>
        <w:br w:type="column"/>
      </w:r>
      <w:r>
        <w:t xml:space="preserve">Verhaltensveränderungen </w:t>
      </w:r>
    </w:p>
    <w:p>
      <w:pPr>
        <w:pStyle w:val="para36"/>
        <w:numPr>
          <w:ilvl w:val="0"/>
          <w:numId w:val="58"/>
        </w:numPr>
        <w:ind w:left="454" w:hanging="284"/>
      </w:pPr>
      <w:r>
        <w:t>Gedanken und Gefühle</w:t>
      </w:r>
    </w:p>
    <w:p>
      <w:pPr>
        <w:pStyle w:val="para36"/>
        <w:numPr>
          <w:ilvl w:val="0"/>
          <w:numId w:val="58"/>
        </w:numPr>
        <w:ind w:left="454" w:hanging="284"/>
      </w:pPr>
      <w:r>
        <w:t>Körperliche Symptome</w:t>
      </w:r>
    </w:p>
    <w:p>
      <w:r>
        <w:t>Außerdem lassen sie sich in kurzfristige und mittel- bis langfristige Folgen unterteilen.</w:t>
      </w:r>
    </w:p>
    <w:p>
      <w:r>
        <w:t>In der Tabelle unten sind Beispiele typischer Stresssignale aufgelistet. Welche Stressfolgen nehmen Sie bei sich selbst wahr oder wurden Ihnen von Ihrem sozialen Umfeld (Familie, Freunde, Kollegen) als Beobachtung zurückgemeldet? Kreuzen Sie die entsprechenden Folgen auf den drei Ebenen an.</w:t>
      </w:r>
    </w:p>
    <w:p>
      <w:r>
        <w:t>Als ersten Schritt zu einer gesünderen Selbstführung schärfen Sie Ihre Aufmerksamkeit für Stresssymptome bei sich.</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tbl>
      <w:tblPr>
        <w:tblStyle w:val="TableNormal"/>
        <w:name w:val="Tabelle119"/>
        <w:tabOrder w:val="0"/>
        <w:jc w:val="left"/>
        <w:tblInd w:w="0" w:type="dxa"/>
        <w:tblW w:w="8787" w:type="dxa"/>
        <w:pPr>
          <w:spacing/>
          <w:jc w:val="left"/>
        </w:pPr>
        <w:tblLook w:val="0600" w:firstRow="0" w:lastRow="0" w:firstColumn="0" w:lastColumn="0" w:noHBand="1" w:noVBand="1"/>
      </w:tblPr>
      <w:tblGrid>
        <w:gridCol w:w="1791"/>
        <w:gridCol w:w="3221"/>
        <w:gridCol w:w="3775"/>
      </w:tblGrid>
      <w:tr>
        <w:trPr>
          <w:tblHeader w:val="0"/>
          <w:cantSplit w:val="0"/>
          <w:trHeight w:val="454" w:hRule="exact"/>
        </w:trPr>
        <w:tc>
          <w:tcPr>
            <w:tcW w:w="8787" w:type="dxa"/>
            <w:gridSpan w:val="3"/>
            <w:vAlign w:val="center"/>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0" w:line="240" w:lineRule="auto"/>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2"/>
                <w:szCs w:val="22"/>
              </w:rPr>
            </w:pPr>
            <w:r>
              <w:rPr>
                <w:sz w:val="22"/>
                <w:szCs w:val="22"/>
              </w:rPr>
              <w:t>Alarmzeichen erkennen</w:t>
            </w:r>
          </w:p>
        </w:tc>
      </w:tr>
      <w:tr>
        <w:trPr>
          <w:tblHeader w:val="0"/>
          <w:cantSplit w:val="0"/>
          <w:trHeight w:val="340" w:hRule="exact"/>
        </w:trPr>
        <w:tc>
          <w:tcPr>
            <w:tcW w:w="1791" w:type="dxa"/>
            <w:vAlign w:val="center"/>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0" w:line="240" w:lineRule="auto"/>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tc>
        <w:tc>
          <w:tcPr>
            <w:tcW w:w="3221" w:type="dxa"/>
            <w:vAlign w:val="center"/>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0" w:line="240" w:lineRule="auto"/>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Kurzfristige Folgen</w:t>
            </w:r>
          </w:p>
        </w:tc>
        <w:tc>
          <w:tcPr>
            <w:tcW w:w="3775" w:type="dxa"/>
            <w:vAlign w:val="center"/>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0" w:line="240" w:lineRule="auto"/>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Mittel- und langfristige Folgen</w:t>
            </w:r>
          </w:p>
        </w:tc>
      </w:tr>
      <w:tr>
        <w:trPr>
          <w:tblHeader w:val="0"/>
          <w:cantSplit w:val="0"/>
          <w:trHeight w:val="0" w:hRule="auto"/>
        </w:trPr>
        <w:tc>
          <w:tcPr>
            <w:tcW w:w="17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Verhaltensveränderungen</w:t>
            </w:r>
          </w:p>
        </w:tc>
        <w:tc>
          <w:tcPr>
            <w:tcW w:w="322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line="264" w:lineRule="auto"/>
              <w:contextualSpacing/>
            </w:pPr>
            <w:r>
              <w:t>Leistungsschwankungen</w:t>
            </w:r>
          </w:p>
          <w:p>
            <w:pPr>
              <w:pStyle w:val="para40"/>
              <w:numPr>
                <w:ilvl w:val="0"/>
                <w:numId w:val="58"/>
              </w:numPr>
              <w:ind w:left="227" w:hanging="227"/>
              <w:spacing w:line="264" w:lineRule="auto"/>
              <w:contextualSpacing/>
            </w:pPr>
            <w:r>
              <w:t>Konzentrationsprobleme</w:t>
            </w:r>
          </w:p>
          <w:p>
            <w:pPr>
              <w:pStyle w:val="para40"/>
              <w:numPr>
                <w:ilvl w:val="0"/>
                <w:numId w:val="58"/>
              </w:numPr>
              <w:ind w:left="227" w:hanging="227"/>
              <w:spacing w:line="264" w:lineRule="auto"/>
              <w:contextualSpacing/>
            </w:pPr>
            <w:r>
              <w:t>Gedächtnisprobleme</w:t>
            </w:r>
          </w:p>
          <w:p>
            <w:pPr>
              <w:pStyle w:val="para40"/>
              <w:numPr>
                <w:ilvl w:val="0"/>
                <w:numId w:val="58"/>
              </w:numPr>
              <w:ind w:left="227" w:hanging="227"/>
              <w:spacing w:line="264" w:lineRule="auto"/>
              <w:contextualSpacing/>
            </w:pPr>
            <w:r>
              <w:t>Fehler</w:t>
            </w:r>
          </w:p>
          <w:p>
            <w:pPr>
              <w:pStyle w:val="para40"/>
              <w:numPr>
                <w:ilvl w:val="0"/>
                <w:numId w:val="58"/>
              </w:numPr>
              <w:ind w:left="227" w:hanging="227"/>
              <w:spacing w:line="264" w:lineRule="auto"/>
              <w:contextualSpacing/>
            </w:pPr>
            <w:r>
              <w:t>Konflikte (mit Kollegen, Vorgesetzten, Kunden)</w:t>
            </w:r>
          </w:p>
        </w:tc>
        <w:tc>
          <w:tcPr>
            <w:tcW w:w="3775"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after="0" w:line="264" w:lineRule="auto"/>
              <w:contextualSpacing/>
            </w:pPr>
            <w:r>
              <w:t>Beeinträchtigtes Arbeitsverhalten:</w:t>
            </w:r>
          </w:p>
          <w:p>
            <w:pPr>
              <w:pStyle w:val="para37"/>
              <w:numPr>
                <w:ilvl w:val="1"/>
                <w:numId w:val="58"/>
              </w:numPr>
              <w:ind w:left="510" w:hanging="226"/>
              <w:spacing w:after="0" w:line="264" w:lineRule="auto"/>
              <w:jc w:val="left"/>
            </w:pPr>
            <w:r>
              <w:t xml:space="preserve">zum Beispiel geringeres Engagement, weniger Kundenorientierung </w:t>
            </w:r>
          </w:p>
          <w:p>
            <w:pPr>
              <w:pStyle w:val="para40"/>
              <w:numPr>
                <w:ilvl w:val="0"/>
                <w:numId w:val="58"/>
              </w:numPr>
              <w:ind w:left="227" w:hanging="227"/>
              <w:spacing w:after="0" w:line="264" w:lineRule="auto"/>
              <w:contextualSpacing/>
            </w:pPr>
            <w:r>
              <w:t>Beeinträchtigtes Gesundheitsverhalten:</w:t>
            </w:r>
          </w:p>
          <w:p>
            <w:pPr>
              <w:pStyle w:val="para37"/>
              <w:numPr>
                <w:ilvl w:val="1"/>
                <w:numId w:val="58"/>
              </w:numPr>
              <w:ind w:left="510" w:hanging="226"/>
              <w:spacing w:after="0" w:line="264" w:lineRule="auto"/>
              <w:jc w:val="left"/>
            </w:pPr>
            <w:r>
              <w:t xml:space="preserve">zum Beispiel ungesunde Ernährung, wenig Bewegung, vermehrter Suchtmittelkonsum </w:t>
            </w:r>
          </w:p>
          <w:p>
            <w:pPr>
              <w:pStyle w:val="para40"/>
              <w:numPr>
                <w:ilvl w:val="0"/>
                <w:numId w:val="58"/>
              </w:numPr>
              <w:ind w:left="227" w:hanging="227"/>
              <w:spacing w:after="0" w:line="264" w:lineRule="auto"/>
              <w:contextualSpacing/>
            </w:pPr>
            <w:r>
              <w:t>Beeinträchtigtes Sozialverhalten:</w:t>
            </w:r>
          </w:p>
          <w:p>
            <w:pPr>
              <w:pStyle w:val="para37"/>
              <w:numPr>
                <w:ilvl w:val="1"/>
                <w:numId w:val="58"/>
              </w:numPr>
              <w:ind w:left="510" w:hanging="226"/>
              <w:spacing w:after="0" w:line="264" w:lineRule="auto"/>
              <w:jc w:val="left"/>
            </w:pPr>
            <w:r>
              <w:t xml:space="preserve">zum Beispiel sozialer Rückzug, Aggression, keine Ausübung von Hobbys </w:t>
            </w:r>
          </w:p>
          <w:p>
            <w:pPr>
              <w:pStyle w:val="para40"/>
              <w:numPr>
                <w:ilvl w:val="0"/>
                <w:numId w:val="58"/>
              </w:numPr>
              <w:ind w:left="227" w:hanging="227"/>
              <w:spacing w:after="0" w:line="264" w:lineRule="auto"/>
              <w:contextualSpacing/>
            </w:pPr>
            <w:r>
              <w:t xml:space="preserve">Vermehrte Fehlzeiten </w:t>
            </w:r>
          </w:p>
        </w:tc>
      </w:tr>
      <w:tr>
        <w:trPr>
          <w:tblHeader w:val="0"/>
          <w:cantSplit w:val="0"/>
          <w:trHeight w:val="0" w:hRule="auto"/>
        </w:trPr>
        <w:tc>
          <w:tcPr>
            <w:tcW w:w="17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Gedanken und Gefühle</w:t>
            </w:r>
          </w:p>
        </w:tc>
        <w:tc>
          <w:tcPr>
            <w:tcW w:w="322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line="264" w:lineRule="auto"/>
              <w:contextualSpacing/>
            </w:pPr>
            <w:r>
              <w:t xml:space="preserve">Anspannung, innere Unruhe, Nervosität (auch nach Feierabend) </w:t>
            </w:r>
          </w:p>
          <w:p>
            <w:pPr>
              <w:pStyle w:val="para40"/>
              <w:numPr>
                <w:ilvl w:val="0"/>
                <w:numId w:val="58"/>
              </w:numPr>
              <w:ind w:left="227" w:hanging="227"/>
              <w:spacing w:line="264" w:lineRule="auto"/>
              <w:contextualSpacing/>
            </w:pPr>
            <w:r>
              <w:t>In der Freizeit oder im Urlaub grübeln über Probleme bei der Arbeit</w:t>
            </w:r>
          </w:p>
          <w:p>
            <w:pPr>
              <w:pStyle w:val="para40"/>
              <w:numPr>
                <w:ilvl w:val="0"/>
                <w:numId w:val="58"/>
              </w:numPr>
              <w:ind w:left="227" w:hanging="227"/>
              <w:spacing w:line="264" w:lineRule="auto"/>
              <w:contextualSpacing/>
            </w:pPr>
            <w:r>
              <w:t>Frustration, Ärger, Gereiztheit</w:t>
            </w:r>
          </w:p>
          <w:p>
            <w:pPr>
              <w:pStyle w:val="para40"/>
              <w:numPr>
                <w:ilvl w:val="0"/>
                <w:numId w:val="58"/>
              </w:numPr>
              <w:ind w:left="227" w:hanging="227"/>
              <w:spacing w:line="264" w:lineRule="auto"/>
              <w:contextualSpacing/>
            </w:pPr>
            <w:r>
              <w:t>Ermüdungs-, Monotonie- und Sättigungsgefühle</w:t>
            </w:r>
          </w:p>
        </w:tc>
        <w:tc>
          <w:tcPr>
            <w:tcW w:w="3775"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line="264" w:lineRule="auto"/>
              <w:contextualSpacing/>
            </w:pPr>
            <w:r>
              <w:t>Ängste</w:t>
            </w:r>
          </w:p>
          <w:p>
            <w:pPr>
              <w:pStyle w:val="para40"/>
              <w:numPr>
                <w:ilvl w:val="0"/>
                <w:numId w:val="58"/>
              </w:numPr>
              <w:ind w:left="227" w:hanging="227"/>
              <w:spacing w:line="264" w:lineRule="auto"/>
              <w:contextualSpacing/>
            </w:pPr>
            <w:r>
              <w:t>Niedergeschlagenheit</w:t>
            </w:r>
          </w:p>
          <w:p>
            <w:pPr>
              <w:pStyle w:val="para40"/>
              <w:numPr>
                <w:ilvl w:val="0"/>
                <w:numId w:val="58"/>
              </w:numPr>
              <w:ind w:left="227" w:hanging="227"/>
              <w:spacing w:line="264" w:lineRule="auto"/>
              <w:contextualSpacing/>
            </w:pPr>
            <w:r>
              <w:t>Gefühl der Sinnlosigkeit, Hoffnungslosigkeit</w:t>
            </w:r>
          </w:p>
          <w:p>
            <w:pPr>
              <w:pStyle w:val="para40"/>
              <w:numPr>
                <w:ilvl w:val="0"/>
                <w:numId w:val="58"/>
              </w:numPr>
              <w:ind w:left="227" w:hanging="227"/>
              <w:spacing w:line="264" w:lineRule="auto"/>
              <w:contextualSpacing/>
            </w:pPr>
            <w:r>
              <w:t>Antriebslosigkeit</w:t>
            </w:r>
          </w:p>
          <w:p>
            <w:pPr>
              <w:pStyle w:val="para40"/>
              <w:numPr>
                <w:ilvl w:val="0"/>
                <w:numId w:val="58"/>
              </w:numPr>
              <w:ind w:left="227" w:hanging="227"/>
              <w:spacing w:line="264" w:lineRule="auto"/>
              <w:contextualSpacing/>
            </w:pPr>
            <w:r>
              <w:t>Geringes Selbstwertgefühl, Minderwertigkeitsgefühle</w:t>
            </w:r>
          </w:p>
          <w:p>
            <w:pPr>
              <w:pStyle w:val="para40"/>
              <w:numPr>
                <w:ilvl w:val="0"/>
                <w:numId w:val="58"/>
              </w:numPr>
              <w:ind w:left="227" w:hanging="227"/>
              <w:spacing w:line="264" w:lineRule="auto"/>
              <w:contextualSpacing/>
            </w:pPr>
            <w:r>
              <w:t>Verringerte Motivation, innere Kündigung</w:t>
            </w:r>
          </w:p>
          <w:p>
            <w:pPr>
              <w:pStyle w:val="para40"/>
              <w:numPr>
                <w:ilvl w:val="0"/>
                <w:numId w:val="58"/>
              </w:numPr>
              <w:ind w:left="227" w:hanging="227"/>
              <w:spacing w:line="264" w:lineRule="auto"/>
              <w:contextualSpacing/>
            </w:pPr>
            <w:r>
              <w:t>Dauerhafte Erschöpfung und Energielosigkeit</w:t>
            </w:r>
          </w:p>
          <w:p>
            <w:pPr>
              <w:pStyle w:val="para40"/>
              <w:numPr>
                <w:ilvl w:val="0"/>
                <w:numId w:val="58"/>
              </w:numPr>
              <w:ind w:left="227" w:hanging="227"/>
              <w:spacing w:after="0" w:line="264" w:lineRule="auto"/>
              <w:contextualSpacing/>
            </w:pPr>
            <w:r>
              <w:t>Zynismus</w:t>
            </w:r>
          </w:p>
        </w:tc>
      </w:tr>
      <w:tr>
        <w:trPr>
          <w:tblHeader w:val="0"/>
          <w:cantSplit w:val="0"/>
          <w:trHeight w:val="0" w:hRule="auto"/>
        </w:trPr>
        <w:tc>
          <w:tcPr>
            <w:tcW w:w="179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Körperliche Symptome</w:t>
            </w:r>
          </w:p>
        </w:tc>
        <w:tc>
          <w:tcPr>
            <w:tcW w:w="3221"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line="264" w:lineRule="auto"/>
              <w:contextualSpacing/>
            </w:pPr>
            <w:r>
              <w:t>Herzklopfen</w:t>
            </w:r>
          </w:p>
          <w:p>
            <w:pPr>
              <w:pStyle w:val="para40"/>
              <w:numPr>
                <w:ilvl w:val="0"/>
                <w:numId w:val="58"/>
              </w:numPr>
              <w:ind w:left="227" w:hanging="227"/>
              <w:spacing w:line="264" w:lineRule="auto"/>
              <w:contextualSpacing/>
            </w:pPr>
            <w:r>
              <w:t>Schwitzen</w:t>
            </w:r>
          </w:p>
          <w:p>
            <w:pPr>
              <w:pStyle w:val="para40"/>
              <w:numPr>
                <w:ilvl w:val="0"/>
                <w:numId w:val="58"/>
              </w:numPr>
              <w:ind w:left="227" w:hanging="227"/>
              <w:spacing w:line="264" w:lineRule="auto"/>
              <w:contextualSpacing/>
            </w:pPr>
            <w:r>
              <w:t>Muskelverspannung</w:t>
            </w:r>
          </w:p>
          <w:p>
            <w:pPr>
              <w:pStyle w:val="para40"/>
              <w:numPr>
                <w:ilvl w:val="0"/>
                <w:numId w:val="58"/>
              </w:numPr>
              <w:ind w:left="227" w:hanging="227"/>
              <w:spacing w:line="264" w:lineRule="auto"/>
              <w:contextualSpacing/>
            </w:pPr>
            <w:r>
              <w:t>Schlafstörungen</w:t>
            </w:r>
          </w:p>
          <w:p>
            <w:pPr>
              <w:pStyle w:val="para40"/>
              <w:numPr>
                <w:ilvl w:val="0"/>
                <w:numId w:val="58"/>
              </w:numPr>
              <w:ind w:left="227" w:hanging="227"/>
              <w:spacing w:line="264" w:lineRule="auto"/>
              <w:contextualSpacing/>
            </w:pPr>
            <w:r>
              <w:t>Erhöhtes Erregungsniveau</w:t>
            </w:r>
          </w:p>
          <w:p>
            <w:pPr>
              <w:pStyle w:val="para40"/>
              <w:numPr>
                <w:ilvl w:val="0"/>
                <w:numId w:val="58"/>
              </w:numPr>
              <w:ind w:left="227" w:hanging="227"/>
              <w:spacing w:line="264" w:lineRule="auto"/>
              <w:contextualSpacing/>
            </w:pPr>
            <w:r>
              <w:t xml:space="preserve">Nicht zur Ruhe kommen </w:t>
            </w:r>
          </w:p>
        </w:tc>
        <w:tc>
          <w:tcPr>
            <w:tcW w:w="3775" w:type="dxa"/>
            <w:shd w:val="none"/>
            <w:tcMar>
              <w:top w:w="57" w:type="dxa"/>
              <w:left w:w="57" w:type="dxa"/>
              <w:bottom w:w="57" w:type="dxa"/>
              <w:right w:w="57"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pStyle w:val="para40"/>
              <w:numPr>
                <w:ilvl w:val="0"/>
                <w:numId w:val="58"/>
              </w:numPr>
              <w:ind w:left="227" w:hanging="227"/>
              <w:spacing w:line="264" w:lineRule="auto"/>
              <w:contextualSpacing/>
            </w:pPr>
            <w:r>
              <w:t>Häufige Kopfschmerzen</w:t>
            </w:r>
          </w:p>
          <w:p>
            <w:pPr>
              <w:pStyle w:val="para40"/>
              <w:numPr>
                <w:ilvl w:val="0"/>
                <w:numId w:val="58"/>
              </w:numPr>
              <w:ind w:left="227" w:hanging="227"/>
              <w:spacing w:line="264" w:lineRule="auto"/>
              <w:contextualSpacing/>
            </w:pPr>
            <w:r>
              <w:t>Herz-Kreislauf-Beschwerden</w:t>
            </w:r>
          </w:p>
          <w:p>
            <w:pPr>
              <w:pStyle w:val="para40"/>
              <w:numPr>
                <w:ilvl w:val="0"/>
                <w:numId w:val="58"/>
              </w:numPr>
              <w:ind w:left="227" w:hanging="227"/>
              <w:spacing w:line="264" w:lineRule="auto"/>
              <w:contextualSpacing/>
            </w:pPr>
            <w:r>
              <w:t>Schwindelgefühle</w:t>
            </w:r>
          </w:p>
          <w:p>
            <w:pPr>
              <w:pStyle w:val="para40"/>
              <w:numPr>
                <w:ilvl w:val="0"/>
                <w:numId w:val="58"/>
              </w:numPr>
              <w:ind w:left="227" w:hanging="227"/>
              <w:spacing w:line="264" w:lineRule="auto"/>
              <w:contextualSpacing/>
            </w:pPr>
            <w:r>
              <w:t>Tinnitus, Hörsturz</w:t>
            </w:r>
          </w:p>
          <w:p>
            <w:pPr>
              <w:pStyle w:val="para40"/>
              <w:numPr>
                <w:ilvl w:val="0"/>
                <w:numId w:val="58"/>
              </w:numPr>
              <w:ind w:left="227" w:hanging="227"/>
              <w:spacing w:line="264" w:lineRule="auto"/>
              <w:contextualSpacing/>
            </w:pPr>
            <w:r>
              <w:t>Magen-Darm-Beschwerden</w:t>
            </w:r>
          </w:p>
          <w:p>
            <w:pPr>
              <w:pStyle w:val="para40"/>
              <w:numPr>
                <w:ilvl w:val="0"/>
                <w:numId w:val="58"/>
              </w:numPr>
              <w:ind w:left="227" w:hanging="227"/>
              <w:spacing w:line="264" w:lineRule="auto"/>
              <w:contextualSpacing/>
            </w:pPr>
            <w:r>
              <w:t>Häufige Infekte, geschwächtes Immunsystem</w:t>
            </w:r>
          </w:p>
          <w:p>
            <w:pPr>
              <w:pStyle w:val="para40"/>
              <w:numPr>
                <w:ilvl w:val="0"/>
                <w:numId w:val="58"/>
              </w:numPr>
              <w:ind w:left="227" w:hanging="227"/>
              <w:spacing w:line="264" w:lineRule="auto"/>
              <w:contextualSpacing/>
            </w:pPr>
            <w:r>
              <w:t>Rückenschmerzen</w:t>
            </w:r>
          </w:p>
          <w:p>
            <w:pPr>
              <w:pStyle w:val="para40"/>
              <w:numPr>
                <w:ilvl w:val="0"/>
                <w:numId w:val="58"/>
              </w:numPr>
              <w:ind w:left="227" w:hanging="227"/>
              <w:spacing w:line="264" w:lineRule="auto"/>
              <w:contextualSpacing/>
            </w:pPr>
            <w:r>
              <w:t>Hautprobleme, Allergien</w:t>
            </w:r>
          </w:p>
          <w:p>
            <w:pPr>
              <w:pStyle w:val="para40"/>
              <w:numPr>
                <w:ilvl w:val="0"/>
                <w:numId w:val="58"/>
              </w:numPr>
              <w:ind w:left="227" w:hanging="227"/>
              <w:spacing w:line="264" w:lineRule="auto"/>
              <w:contextualSpacing/>
            </w:pPr>
            <w:r>
              <w:t>Libidoverlust</w:t>
            </w:r>
          </w:p>
          <w:p>
            <w:pPr>
              <w:pStyle w:val="para40"/>
              <w:numPr>
                <w:ilvl w:val="0"/>
                <w:numId w:val="58"/>
              </w:numPr>
              <w:ind w:left="227" w:hanging="227"/>
              <w:spacing w:after="0" w:line="264" w:lineRule="auto"/>
              <w:contextualSpacing/>
            </w:pPr>
            <w:r>
              <w:t xml:space="preserve">Bluthochdruck </w:t>
            </w:r>
          </w:p>
        </w:tc>
      </w:tr>
    </w:tbl>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pStyle w:val="para3"/>
        <w:numPr>
          <w:ilvl w:val="2"/>
          <w:numId w:val="42"/>
        </w:numPr>
        <w:ind w:left="737" w:hanging="737"/>
      </w:pPr>
      <w:r>
        <w:br w:type="page"/>
      </w:r>
      <w:bookmarkStart w:id="167" w:name="_TOC000874"/>
      <w:r>
        <w:t>Woran erkennen Sie, dass Sie gesund sind?</w:t>
      </w:r>
      <w:bookmarkEnd w:id="167"/>
      <w:r/>
    </w:p>
    <w:p>
      <w:r>
        <w:t>Gesundheit ist mehr als die Abwesenheit von Krankheit. Es ist deshalb wichtig, dass Sie nicht nur merken, wann es Ihnen nicht gut geht, sondern auch, wann es Ihnen gut geht. Denn der Zustand der Gesundheit und des Wohlbefindens sollte Ihr Ziel sein.</w:t>
      </w:r>
    </w:p>
    <w:p>
      <w:pPr>
        <w:pStyle w:val="para4"/>
        <w:numPr>
          <w:ilvl w:val="3"/>
          <w:numId w:val="42"/>
        </w:numPr>
        <w:ind w:left="864" w:hanging="864"/>
      </w:pPr>
      <w:bookmarkStart w:id="168" w:name="_TOC000535"/>
      <w:r>
        <w:t>Definition Gesundheit</w:t>
      </w:r>
      <w:bookmarkEnd w:id="168"/>
      <w:r/>
    </w:p>
    <w:p>
      <w:r>
        <w:t>Gesundheit wird durch die Weltgesundheitsorganisation (WHO) definiert als „Zustand des vollständigen körperlichen, geistigen und sozialen Wohlergehens und nicht nur als die Abwesenheit von Krankheit oder Gebrechen.“</w:t>
      </w:r>
    </w:p>
    <w:p>
      <w:r>
        <w:t>Die Bedeutung des Wohlbefindens wird in dieser Definition hervorgehoben.</w:t>
      </w:r>
    </w:p>
    <w:p>
      <w:r>
        <w:t>Denken Sie einmal darüber nach: Wann fühlen Sie sich besonders wohl bei der Arbeit?</w:t>
      </w:r>
    </w:p>
    <w:p>
      <w:r>
        <w:t>Die folgende Liste kann Ihnen helfen, arbeitsbezogenes Wohlbefinden zu erkennen. Überlegen Sie, welche der folgenden Aussagen auf Sie zutreffen.</w:t>
      </w:r>
    </w:p>
    <w:p>
      <w:pPr>
        <w:pStyle w:val="para4"/>
        <w:numPr>
          <w:ilvl w:val="3"/>
          <w:numId w:val="42"/>
        </w:numPr>
        <w:ind w:left="864" w:hanging="864"/>
      </w:pPr>
      <w:bookmarkStart w:id="169" w:name="_TOC000536"/>
      <w:r>
        <w:t>Arbeitsbezogenes Wohlbefinden</w:t>
      </w:r>
      <w:bookmarkEnd w:id="169"/>
      <w:r/>
    </w:p>
    <w:p>
      <w:pPr>
        <w:pStyle w:val="para40"/>
        <w:numPr>
          <w:ilvl w:val="0"/>
          <w:numId w:val="58"/>
        </w:numPr>
        <w:ind w:left="454" w:hanging="284"/>
      </w:pPr>
      <w:r>
        <w:t>Beim Arbeiten fühle ich mich fit und tatkräftig.</w:t>
      </w:r>
    </w:p>
    <w:p>
      <w:pPr>
        <w:pStyle w:val="para40"/>
        <w:numPr>
          <w:ilvl w:val="0"/>
          <w:numId w:val="58"/>
        </w:numPr>
        <w:ind w:left="454" w:hanging="284"/>
      </w:pPr>
      <w:r>
        <w:t>Ich gehe völlig in meiner Arbeit auf.</w:t>
      </w:r>
    </w:p>
    <w:p>
      <w:pPr>
        <w:pStyle w:val="para40"/>
        <w:numPr>
          <w:ilvl w:val="0"/>
          <w:numId w:val="58"/>
        </w:numPr>
        <w:ind w:left="454" w:hanging="284"/>
      </w:pPr>
      <w:r>
        <w:t>Ich erledige meine täglichen Aufgaben mit Freude.</w:t>
      </w:r>
    </w:p>
    <w:p>
      <w:pPr>
        <w:pStyle w:val="para40"/>
        <w:numPr>
          <w:ilvl w:val="0"/>
          <w:numId w:val="58"/>
        </w:numPr>
        <w:ind w:left="454" w:hanging="284"/>
      </w:pPr>
      <w:r>
        <w:t>Ich fühle mich den meisten beruflichen Anforderungen gewachsen.</w:t>
      </w:r>
    </w:p>
    <w:p>
      <w:pPr>
        <w:pStyle w:val="para40"/>
        <w:numPr>
          <w:ilvl w:val="0"/>
          <w:numId w:val="58"/>
        </w:numPr>
        <w:ind w:left="454" w:hanging="284"/>
      </w:pPr>
      <w:r>
        <w:t>Ich erreiche die beruflichen Ziele, die ich mir setze.</w:t>
      </w:r>
    </w:p>
    <w:p>
      <w:pPr>
        <w:pStyle w:val="para40"/>
        <w:numPr>
          <w:ilvl w:val="0"/>
          <w:numId w:val="58"/>
        </w:numPr>
        <w:ind w:left="454" w:hanging="284"/>
      </w:pPr>
      <w:r>
        <w:t>Wenn ich bei der Arbeit mit einem Problem konfrontiert werde, habe ich meist mehrere Ideen, wie ich damit fertig werde.</w:t>
      </w:r>
    </w:p>
    <w:p>
      <w:r>
        <w:t>Gibt es Situationen bei der Arbeit, in denen Sie sich so richtig gut fühlen oder auf die Sie besonders stolz sind? Welche sind das? Überlegen Sie, wie Sie diese Situationen häufiger herbeiführen können. Helfen kann Ihnen dabei folgende Reflexionsübung. Nehmen Sie sich ein paar Minuten Zeit und machen Sie sich gedanklich oder schriftlich Notizen zu den drei Fragen:</w:t>
      </w:r>
    </w:p>
    <w:p>
      <w:pPr>
        <w:pStyle w:val="para40"/>
        <w:numPr>
          <w:ilvl w:val="0"/>
          <w:numId w:val="58"/>
        </w:numPr>
        <w:ind w:left="454" w:hanging="284"/>
      </w:pPr>
      <w:r>
        <w:t>Wann hat Ihre Arbeit Ihnen das letzte Mal so richtig Spaß gemacht?</w:t>
      </w:r>
    </w:p>
    <w:p>
      <w:pPr>
        <w:pStyle w:val="para40"/>
        <w:numPr>
          <w:ilvl w:val="0"/>
          <w:numId w:val="58"/>
        </w:numPr>
        <w:ind w:left="454" w:hanging="284"/>
      </w:pPr>
      <w:r>
        <w:t xml:space="preserve">Was war ausschlaggebend dafür? </w:t>
      </w:r>
    </w:p>
    <w:p>
      <w:pPr>
        <w:pStyle w:val="para40"/>
        <w:numPr>
          <w:ilvl w:val="0"/>
          <w:numId w:val="58"/>
        </w:numPr>
        <w:ind w:left="454" w:hanging="284"/>
      </w:pPr>
      <w:r>
        <w:t>Wie waren die Bedingungen?</w:t>
      </w:r>
    </w:p>
    <w:p>
      <w:r/>
    </w:p>
    <w:p>
      <w:pPr>
        <w:pStyle w:val="para3"/>
        <w:numPr>
          <w:ilvl w:val="2"/>
          <w:numId w:val="42"/>
        </w:numPr>
        <w:ind w:left="737" w:hanging="737"/>
        <w:spacing w:before="0"/>
      </w:pPr>
      <w:r>
        <w:br w:type="column"/>
      </w:r>
      <w:bookmarkStart w:id="170" w:name="_TOC000544"/>
      <w:r>
        <w:t>Dem Stress die Stirn bieten</w:t>
      </w:r>
      <w:bookmarkEnd w:id="170"/>
      <w:r/>
    </w:p>
    <w:p>
      <w:r>
        <w:t>Viele Menschen fühlen sich der stressigen Situation ausgeliefert und sind der Meinung „Ich kann ja eh nichts ändern“. Um diesem Gefühl des „Ausgeliefertseins“ und damit der Opferhaltung zu entkommen, stellen wir Ihnen hier einige Möglichkeiten vor, wie man Stress besser bewältigen kann.</w:t>
      </w:r>
    </w:p>
    <w:p>
      <w:pPr>
        <w:pStyle w:val="para4"/>
        <w:numPr>
          <w:ilvl w:val="3"/>
          <w:numId w:val="42"/>
        </w:numPr>
        <w:ind w:left="864" w:hanging="864"/>
      </w:pPr>
      <w:bookmarkStart w:id="171" w:name="_TOC000538"/>
      <w:r>
        <w:t>Anti-Stress-Strategien</w:t>
      </w:r>
      <w:bookmarkEnd w:id="171"/>
      <w:r/>
    </w:p>
    <w:p>
      <w:r>
        <w:t>Sie haben die Möglichkeit, an zwei Faktoren anzusetzen: an den Stressoren und den Ressourcen.</w:t>
      </w:r>
    </w:p>
    <w:p>
      <w:r>
        <w:t>Sie können Stress vermeiden, indem Sie das Übel an der Wurzel packen und Stressoren (zum Beispiel Zeitdruck, Konflikte) ausschalten. Da Stressoren in der Regel nicht gänzlich zu vermeiden sind, können Sie die Ressourcen (zum Beispiel soziale Unterstützung durch Kollegen und/oder Vorgesetzte) und damit Ihre Belastbarkeit erhöhen und so den Stress besser bewältigen. In den beiden Abschnitten 'An den Arbeitsbedingungen ansetzen' und 'An der Perso ansetzen' lernen Sie zwei Arten der Bewältigung kennen. Diese sollen Ihnen helfen, mit dem Stress besser umzugehen.</w:t>
      </w:r>
    </w:p>
    <w:p>
      <w:r>
        <w:t>Wo Sie nun mit dem problemorientierten Bewältigungsverhalten ansetzen, hängt von dem „Ort“ des Problems ab. Liegt das Problem hauptsächlich in den Arbeitsbedingungen (zum Beispiel Zeitdruck) oder in Ihrer Person (zum Beispiel schlechtes Zeitmanagement)? Überlegen Sie, welche Möglichkeiten Sie haben oder entwickeln können, um dem Stress in Zukunft vorzubeugen. Einige Beispiele für problembezogenes Bewältigungsverhalten:</w:t>
      </w:r>
    </w:p>
    <w:p>
      <w:pPr>
        <w:pStyle w:val="para4"/>
        <w:numPr>
          <w:ilvl w:val="3"/>
          <w:numId w:val="42"/>
        </w:numPr>
        <w:ind w:left="864" w:hanging="864"/>
      </w:pPr>
      <w:bookmarkStart w:id="172" w:name="_TOC000539"/>
      <w:r>
        <w:t>An den Arbeitsbedingungen ansetzen</w:t>
      </w:r>
      <w:bookmarkEnd w:id="172"/>
      <w:r/>
    </w:p>
    <w:p>
      <w:r>
        <w:t>Sie könnten beispielsweise strukturelle Veränderungen innerhalb Ihres Arbeitsbereiches einführen, um arbeitsbezogene Stressoren zu verringern – zum Beispiel durch:</w:t>
      </w:r>
    </w:p>
    <w:p>
      <w:pPr>
        <w:pStyle w:val="para40"/>
        <w:numPr>
          <w:ilvl w:val="0"/>
          <w:numId w:val="58"/>
        </w:numPr>
        <w:ind w:left="454" w:hanging="284"/>
      </w:pPr>
      <w:r>
        <w:t>Realistische Begrenzung des Aufgabenpensums</w:t>
      </w:r>
    </w:p>
    <w:p>
      <w:pPr>
        <w:pStyle w:val="para40"/>
        <w:numPr>
          <w:ilvl w:val="0"/>
          <w:numId w:val="58"/>
        </w:numPr>
        <w:ind w:left="454" w:hanging="284"/>
      </w:pPr>
      <w:r>
        <w:t>„Auffangen“ von hohen Stressphasen durch anschließende kurze ruhigere Arbeitsphasen</w:t>
      </w:r>
    </w:p>
    <w:p>
      <w:pPr>
        <w:pStyle w:val="para40"/>
        <w:numPr>
          <w:ilvl w:val="0"/>
          <w:numId w:val="58"/>
        </w:numPr>
        <w:ind w:left="454" w:hanging="284"/>
      </w:pPr>
      <w:r>
        <w:t>Verbesserung der Arbeitsgestaltung und Aufgabenverteilung (angemessene Delegation von Aufgaben, Partizipation, Handlungsspielraum)</w:t>
      </w:r>
    </w:p>
    <w:p>
      <w:pPr>
        <w:pStyle w:val="para40"/>
        <w:numPr>
          <w:ilvl w:val="0"/>
          <w:numId w:val="58"/>
        </w:numPr>
        <w:ind w:left="454" w:hanging="284"/>
      </w:pPr>
      <w:r>
        <w:t>Verbesserung organisationaler Prozesse und Stärkung der Ressourcen – zum Beispiel Arbeitsunterbrechungen durch Störungen reduzieren, Meetings effektiver gestalten, das heißt eine klare Agenda, Zeitbegrenzung und ein Ergebnisprotokoll (wer macht was bis wann?), transparenter Informationsfluss, Zielklarheit, klare Zuständigkeiten und Rollen, eine bessere soziale Unterstützung im Team.</w:t>
      </w:r>
    </w:p>
    <w:p>
      <w:pPr>
        <w:pStyle w:val="para4"/>
        <w:numPr>
          <w:ilvl w:val="3"/>
          <w:numId w:val="42"/>
        </w:numPr>
        <w:ind w:left="864" w:hanging="864"/>
      </w:pPr>
      <w:bookmarkStart w:id="173" w:name="_TOC000540"/>
      <w:r>
        <w:t>An der Person ansetzen</w:t>
      </w:r>
      <w:bookmarkEnd w:id="173"/>
      <w:r/>
    </w:p>
    <w:p>
      <w:r>
        <w:t>Des Weiteren könnten Sie an sich selbst ansetzen – zum Beispiel durch:</w:t>
      </w:r>
    </w:p>
    <w:p>
      <w:pPr>
        <w:pStyle w:val="para40"/>
        <w:numPr>
          <w:ilvl w:val="0"/>
          <w:numId w:val="58"/>
        </w:numPr>
        <w:ind w:left="454" w:hanging="284"/>
      </w:pPr>
      <w:r>
        <w:t>Zeitmanagementkompetenzen:</w:t>
      </w:r>
    </w:p>
    <w:p>
      <w:pPr>
        <w:ind w:left="454"/>
      </w:pPr>
      <w:r>
        <w:t>Bewusstsein für die verstreichende Zeit entwickeln, „Zeitfresser“ identifizieren, Prioritäten setzen, realistische Zeitpläne erstellen, zielgerichtet arbeiten, am Ende des Arbeitstages einen Arbeitsplan für den nächsten Tag schreiben, Zeitfenster für die Beantwortung von E­Mails festlegen</w:t>
      </w:r>
    </w:p>
    <w:p>
      <w:pPr>
        <w:pStyle w:val="para40"/>
        <w:numPr>
          <w:ilvl w:val="0"/>
          <w:numId w:val="58"/>
        </w:numPr>
        <w:ind w:left="454" w:hanging="284"/>
      </w:pPr>
      <w:r>
        <w:t>Training fachlicher und sozialer Kompetenzen (zum Beispiel Fortbildungen, Nein sagen lernen).</w:t>
      </w:r>
    </w:p>
    <w:p>
      <w:pPr>
        <w:ind w:left="454"/>
      </w:pPr>
      <w:r>
        <w:t>Aus wissenschaftlichen Studien geht hervor, dass der gesundheitsförderliche Effekt am höchsten ist, wenn man gleichzeitig sowohl an den Bedingungen als auch an der Person ansetzt.</w:t>
      </w:r>
    </w:p>
    <w:p>
      <w:pPr>
        <w:ind w:left="454"/>
      </w:pPr>
      <w:r>
        <w:t>Liegt das Problem einmal außerhalb Ihrer Einflussmöglichkeiten oder ist nur sehr langfristig zu beheben, können Ihnen emotionsbezogene Verhaltensweisen helfen, dem Stress wieder Herr zu werden beziehungsweise seine negativen Folgen abzumildern. Versuchen Sie beispielsweise:</w:t>
      </w:r>
    </w:p>
    <w:p>
      <w:pPr>
        <w:pStyle w:val="para37"/>
        <w:numPr>
          <w:ilvl w:val="0"/>
          <w:numId w:val="58"/>
        </w:numPr>
        <w:ind w:left="794" w:hanging="283"/>
      </w:pPr>
      <w:r>
        <w:t>Auf die eigenen Gedanken und Gefühle achten (mit Wut und Ärger umgehen, Gedanken stoppen, Perspektive wechseln)</w:t>
      </w:r>
    </w:p>
    <w:p>
      <w:pPr>
        <w:pStyle w:val="para37"/>
        <w:numPr>
          <w:ilvl w:val="0"/>
          <w:numId w:val="58"/>
        </w:numPr>
        <w:ind w:left="794" w:hanging="283"/>
      </w:pPr>
      <w:r>
        <w:t>Entspannungsmethoden – zum Beispiel progressive Muskelrelaxation, Autogenes Training, Meditation</w:t>
      </w:r>
    </w:p>
    <w:p>
      <w:pPr>
        <w:pStyle w:val="para37"/>
        <w:numPr>
          <w:ilvl w:val="0"/>
          <w:numId w:val="58"/>
        </w:numPr>
        <w:ind w:left="794" w:hanging="283"/>
      </w:pPr>
      <w:r>
        <w:t>Sportliche und andere Freizeitaktivitäten, bei denen Sie gut abschalten und auftanken können</w:t>
      </w:r>
    </w:p>
    <w:p>
      <w:r>
        <w:t>In der modernen Erholungsforschung wird der Frage nachgegangen: Wann erholen Sie sich am besten? Dabei wurden vier wichtige Erholungsfaktoren identifiziert:</w:t>
      </w:r>
    </w:p>
    <w:p>
      <w:pPr>
        <w:pStyle w:val="para40"/>
        <w:numPr>
          <w:ilvl w:val="0"/>
          <w:numId w:val="58"/>
        </w:numPr>
        <w:ind w:left="454" w:hanging="284"/>
      </w:pPr>
      <w:r>
        <w:t>Abschalten von der Arbeit (nicht an die Arbeit denken, sich mental von seiner Arbeit distanzieren)</w:t>
      </w:r>
    </w:p>
    <w:p>
      <w:pPr>
        <w:pStyle w:val="para40"/>
        <w:numPr>
          <w:ilvl w:val="0"/>
          <w:numId w:val="58"/>
        </w:numPr>
        <w:ind w:left="454" w:hanging="284"/>
      </w:pPr>
      <w:r>
        <w:t>Entspannung (die Seele baumeln lassen, Dinge unternehmen, bei denen man sich entspannt)</w:t>
      </w:r>
    </w:p>
    <w:p>
      <w:pPr>
        <w:pStyle w:val="para40"/>
        <w:numPr>
          <w:ilvl w:val="0"/>
          <w:numId w:val="58"/>
        </w:numPr>
        <w:ind w:left="454" w:hanging="284"/>
      </w:pPr>
      <w:r>
        <w:t>Kontrolle (selbst bestimmen, wie die Freizeit verbracht wird und Dinge erledigt werden)</w:t>
      </w:r>
    </w:p>
    <w:p>
      <w:pPr>
        <w:pStyle w:val="para40"/>
        <w:numPr>
          <w:ilvl w:val="0"/>
          <w:numId w:val="58"/>
        </w:numPr>
        <w:ind w:left="454" w:hanging="284"/>
      </w:pPr>
      <w:r>
        <w:t>Erfolgserlebnisse (nach neuen Herausforderungen suchen und diese erfolgreich bewältigen, Neues dazulernen, den Horizont erweitern)</w:t>
      </w:r>
    </w:p>
    <w:p>
      <w:r>
        <w:t>Sich passiv zurücklehnen reicht zum Abschalten oft nicht aus. Abschalten gelingt meist am besten bei einer aktivierenden Tätigkeit, bei der mehrere Sinne gleichzeitig angesprochen werden und bei der Fähigkeiten, die bei der Arbeit nicht gefordert sind, eingesetzt werden können.</w:t>
      </w:r>
    </w:p>
    <w:p>
      <w:r>
        <w:t>Für die Erholung ist es gut, wenn Sie sich in der Freizeit nicht in gleicher Weise fordern wie bei der Arbeit, das heißt, wenn nicht die gleichen Sinne und Fähigkeiten angesprochen werden. Bei der „richtigen“ Erholung ist entscheidend, dass ein Anforderungswechsel stattfindet, damit sich die bei der Arbeit hauptsächlich belasteten Systeme erholen können und Ihnen am nächsten Tag wieder zur Verfügung stehen.</w:t>
      </w:r>
    </w:p>
    <w:p>
      <w:pPr>
        <w:pStyle w:val="para2"/>
        <w:numPr>
          <w:ilvl w:val="1"/>
          <w:numId w:val="42"/>
        </w:numPr>
        <w:ind w:left="578" w:hanging="578"/>
      </w:pPr>
      <w:bookmarkStart w:id="174" w:name="_TOC000541"/>
      <w:r>
        <w:t>Gesunde Mitarbeiterführung: Was Sie für Ihre Beschäftigten tun können</w:t>
      </w:r>
      <w:bookmarkEnd w:id="174"/>
      <w:r/>
    </w:p>
    <w:p>
      <w:r>
        <w:t>Warum ist es wichtig, dass Sie sich als Führungskraft um die Gesundheit Ihrer Beschäftigten kümmern? Was bringt Ihnen das? Sehr viel! Es zahlt sich aus. Ein gesundes Führungsverhalten fördert Loyalität und Vertrauen Ihnen gegenüber. Es ist darüber hinaus belegt, dass gesunde Beschäftigte leistungsfähiger sind. Eine Mitarbeiterbefragung der Bertelsmann AG ergab, dass ein Führungsstil, der als gesundheitsförderlich empfunden wird, sich positiv auf die Leistung der Beschäftigten und die betriebswirtschaftlichen Ergebnisse des Unternehmens auswirkt.</w:t>
      </w:r>
    </w:p>
    <w:p>
      <w:r>
        <w:t xml:space="preserve">Gesundheitsorientiertes Führungsverhalten führt also zu einer Win-Win-Situation – alle haben etwas davon. </w:t>
      </w:r>
    </w:p>
    <w:p>
      <w:pPr>
        <w:pStyle w:val="para3"/>
        <w:numPr>
          <w:ilvl w:val="2"/>
          <w:numId w:val="42"/>
        </w:numPr>
        <w:ind w:left="737" w:hanging="737"/>
      </w:pPr>
      <w:bookmarkStart w:id="175" w:name="_TOC000542"/>
      <w:r>
        <w:t xml:space="preserve">Arbeit organisieren und gestalten </w:t>
      </w:r>
      <w:bookmarkEnd w:id="175"/>
      <w:r/>
    </w:p>
    <w:p>
      <w:r>
        <w:t xml:space="preserve">Sie haben als Führungskraft eine zentrale Position und großen Einfluss darauf, wie in Ihrer Abteilung gearbeitet wird. Führung beinhaltet schließlich neben personenbezogenen Aufgaben, wie die Entwicklung und Unterstützung der Beschäftigten, vor allem Aufgaben wie Planung, Organisation, Koordination und Kontrolle. Führung bedeutet im Wesentlichen, die Bedingungen von Arbeit und die Unternehmenskultur mit zu gestalten und die arbeitenden Personen bei der Erfüllung gemeinsamer Aufgaben zu unterstützen. </w:t>
      </w:r>
    </w:p>
    <w:p>
      <w:r>
        <w:t xml:space="preserve">Als Führungskraft beeinflussen Sie die Arbeitsbedingungen der Beschäftigten, indem Sie Ziele vorgeben und ihre Erreichung überprüfen, Bedingungen schaffen, unter denen Teams beziehungsweise Beschäftigte ihre Ziele erreichen können, Rückmeldung geben zur Qualität ihrer Arbeit, Vorbild sind, die Stimmung in Teams durch strukturelle Vorgaben oder auch das eigene Verhalten steuern. Daher haben Sie die besondere Verantwortung dafür, dass die Kontextbedingungen so gestaltet sind, dass Arbeitsaufträge auch umgesetzt werden können. Beispielsweise sollte störungs- und behinderungsfrei gearbeitet werden können, es sollten keine widersprüchlichen Anforderungen bestehen, Ziele sollten erreichbar und Aufgaben zumutbar sein und das soziale Klima nicht von Konkurrenz, Missgunst, Misstrauen oder verdeckter Aggression geprägt sein. </w:t>
      </w:r>
    </w:p>
    <w:p>
      <w:r>
        <w:t xml:space="preserve">Überlegen Sie einmal, wie folgende Aspekte der Arbeit in Ihrem Verantwortungsbereich gestaltet sind und was Sie noch verbessern könnten. Fragen Sie bei Gelegenheit auch mal Ihre Beschäftigten, wie sie diese Aspekte empfinden. </w:t>
      </w:r>
    </w:p>
    <w:p>
      <w:pPr>
        <w:pStyle w:val="para40"/>
        <w:numPr>
          <w:ilvl w:val="0"/>
          <w:numId w:val="58"/>
        </w:numPr>
        <w:ind w:left="454" w:hanging="284"/>
      </w:pPr>
      <w:r>
        <w:t xml:space="preserve">Die Arbeitsaufgabe – zum Beispiel Entscheidungskompetenzen und Verantwortungsinhalte, Tätigkeitsspielräume, Ganzheitlichkeit der Aufgabe, Aufgabenvielfalt und Aufgabenwechsel, Rückmeldung zur Tätigkeitsausführung und den Arbeitsergebnissen, Leistungs- und Zeitvorgaben </w:t>
      </w:r>
    </w:p>
    <w:p>
      <w:pPr>
        <w:pStyle w:val="para40"/>
        <w:numPr>
          <w:ilvl w:val="0"/>
          <w:numId w:val="58"/>
        </w:numPr>
        <w:ind w:left="454" w:hanging="284"/>
      </w:pPr>
      <w:r>
        <w:t xml:space="preserve">Die Arbeitsorganisation – zum Beispiel Bereichsstruktur und Projektorganisation, Verantwortungsstruktur und Kompetenzen, Arbeitsprozesse, Arbeitsverteilung, Arbeitszeit, Informationsmanagement, soziale und finanzielle Gratifikation, Entwicklungs- und Lernchancen bei der Arbeit, Pausenregelung </w:t>
      </w:r>
    </w:p>
    <w:p>
      <w:pPr>
        <w:pStyle w:val="para40"/>
        <w:numPr>
          <w:ilvl w:val="0"/>
          <w:numId w:val="58"/>
        </w:numPr>
        <w:ind w:left="454" w:hanging="284"/>
      </w:pPr>
      <w:r>
        <w:t>Die Arbeitsumgebung – zum Beispiel Lärm, Klima, Beleuchtung</w:t>
      </w:r>
    </w:p>
    <w:p>
      <w:pPr>
        <w:pStyle w:val="para40"/>
        <w:numPr>
          <w:ilvl w:val="0"/>
          <w:numId w:val="58"/>
        </w:numPr>
        <w:ind w:left="454" w:hanging="284"/>
      </w:pPr>
      <w:r>
        <w:t xml:space="preserve">Die Arbeitsmittel – zum Beispiel Arbeitstisch, Büroarbeitsstuhl, Computerhardware, Software </w:t>
      </w:r>
    </w:p>
    <w:p>
      <w:pPr>
        <w:pStyle w:val="para40"/>
        <w:numPr>
          <w:ilvl w:val="0"/>
          <w:numId w:val="58"/>
        </w:numPr>
        <w:ind w:left="454" w:hanging="284"/>
      </w:pPr>
      <w:r>
        <w:t>Die sozialen Faktoren – zum Beispiel Kommunikation, Abteilungs- und Betriebsklima, Kunden, Umgang mit Konflikten</w:t>
      </w:r>
    </w:p>
    <w:p>
      <w:pPr>
        <w:pStyle w:val="para40"/>
        <w:numPr>
          <w:ilvl w:val="0"/>
          <w:numId w:val="58"/>
        </w:numPr>
        <w:ind w:left="454" w:hanging="284"/>
      </w:pPr>
      <w:r>
        <w:t>Umsetzung des betrieblichen Arbeitsschutzes</w:t>
      </w:r>
    </w:p>
    <w:p>
      <w:pPr>
        <w:pStyle w:val="para3"/>
        <w:numPr>
          <w:ilvl w:val="2"/>
          <w:numId w:val="42"/>
        </w:numPr>
        <w:ind w:left="737" w:hanging="737"/>
      </w:pPr>
      <w:bookmarkStart w:id="176" w:name="_TOC000543"/>
      <w:r>
        <w:t>Ihre Vorbildfunktion</w:t>
      </w:r>
      <w:bookmarkEnd w:id="176"/>
      <w:r/>
    </w:p>
    <w:p>
      <w:r>
        <w:t>Als Führungskraft haben Sie eine besondere Vorbildfunktion. Das gilt sowohl für den Umgang mit Problemen bei der Arbeit als auch für den Umgang mit der eigenen Gesundheit und den eigenen Belastungen. Beschäftigte, die in ihrer Führungskraft kein Vorbild für Gesundheit sehen, leiden einer Studie zufolge doppelt so häufig unter psychosomatischen Beschwerden – zum Beispiel Kopf- oder Magenschmerzen – verglichen mit Beschäftigten, die sich in puncto Gesundheit an ihrer Führungskraft orientieren können.</w:t>
      </w:r>
    </w:p>
    <w:p>
      <w:r>
        <w:t xml:space="preserve">Als Führungskraft können Sie Zeichen setzen. Nehmen Sie eine Vorreiterrolle für den Umgang mit der Gesundheit ein. Informieren Sie sich über die Angebote Ihres Unternehmens zur Gesundheitsförderung und bewerben Sie diese aktiv. Unterstützen Sie gesundheitsförderliches Verhalten Ihrer Beschäftigten, indem Sie </w:t>
      </w:r>
    </w:p>
    <w:p>
      <w:pPr>
        <w:pStyle w:val="para40"/>
        <w:numPr>
          <w:ilvl w:val="0"/>
          <w:numId w:val="58"/>
        </w:numPr>
        <w:ind w:left="454" w:hanging="284"/>
      </w:pPr>
      <w:r>
        <w:t>eine angemessene Pausenkultur pflegen,</w:t>
      </w:r>
    </w:p>
    <w:p>
      <w:pPr>
        <w:pStyle w:val="para40"/>
        <w:numPr>
          <w:ilvl w:val="0"/>
          <w:numId w:val="58"/>
        </w:numPr>
        <w:ind w:left="454" w:hanging="284"/>
      </w:pPr>
      <w:r>
        <w:t>Wert auf eine gute Balance zwischen Arbeit und Privatleben legen,</w:t>
      </w:r>
    </w:p>
    <w:p>
      <w:pPr>
        <w:pStyle w:val="para40"/>
        <w:numPr>
          <w:ilvl w:val="0"/>
          <w:numId w:val="58"/>
        </w:numPr>
        <w:ind w:left="454" w:hanging="284"/>
      </w:pPr>
      <w:r>
        <w:t>Angebote der Gesundheitsförderung wahrnehmen und auch Ihre Beschäftigten zur Teilnahme ermutigen.</w:t>
      </w:r>
    </w:p>
    <w:p>
      <w:r>
        <w:t>Schlechte Vorbilder wirken in zweifacher Hinsicht negativ: Es leidet sowohl die eigene Gesundheit als auch die Gesundheit der Beschäftigten. Wenn Sie sich als Vorgesetzter krank zur Arbeit schleppen oder ignorieren, wenn Ihre Beschäftigten mit leichten Erkrankungen zur Arbeit kommen, hat das eine Signalwirkung: Die anderen Beschäftigten bilden die Erwartung aus, dass sie besser krank zur Arbeit kommen sollten, anstatt zu Hause zu bleiben und sich auszukurieren.</w:t>
      </w:r>
    </w:p>
    <w:p>
      <w:pPr>
        <w:pStyle w:val="para4"/>
        <w:numPr>
          <w:ilvl w:val="3"/>
          <w:numId w:val="42"/>
        </w:numPr>
        <w:ind w:left="864" w:hanging="864"/>
      </w:pPr>
      <w:bookmarkStart w:id="177" w:name="_TOC000545"/>
      <w:r>
        <w:t>Das Präsentismusphänomen</w:t>
      </w:r>
      <w:bookmarkEnd w:id="177"/>
      <w:r/>
    </w:p>
    <w:p>
      <w:r>
        <w:t>Wenn ein Beschäftigter trotz Krankheit zur Arbeit geht, wird dies Präsentismus genannt. Er ist zwar anwesend, aber die Arbeitsleistung ist beeinträchtigt. Es passieren unbemerkt Fehler. Die Gefahr der Ansteckung anderer Personen ist groß.  Durch Verschleppung kann eine Krankheit chronifiziert werden.</w:t>
      </w:r>
    </w:p>
    <w:p>
      <w:r>
        <w:t>Wie oft  ist es bei Ihnen in den letzten zwölf Monaten vorgekommen, dass Sie</w:t>
      </w:r>
    </w:p>
    <w:p>
      <w:pPr>
        <w:pStyle w:val="para40"/>
        <w:numPr>
          <w:ilvl w:val="0"/>
          <w:numId w:val="58"/>
        </w:numPr>
        <w:ind w:left="454" w:hanging="284"/>
      </w:pPr>
      <w:r>
        <w:t>zur Arbeit gegangen sind, obwohl Sie sich richtig krank gefühlt haben?</w:t>
      </w:r>
    </w:p>
    <w:p>
      <w:pPr>
        <w:pStyle w:val="para40"/>
        <w:numPr>
          <w:ilvl w:val="0"/>
          <w:numId w:val="58"/>
        </w:numPr>
        <w:ind w:left="454" w:hanging="284"/>
      </w:pPr>
      <w:r>
        <w:t>mit der Genesung bis zum Wochenende abgewartet haben?</w:t>
      </w:r>
    </w:p>
    <w:p>
      <w:pPr>
        <w:pStyle w:val="para40"/>
        <w:numPr>
          <w:ilvl w:val="0"/>
          <w:numId w:val="58"/>
        </w:numPr>
        <w:ind w:left="454" w:hanging="284"/>
      </w:pPr>
      <w:r>
        <w:t>gegen den Rat des Arztes Ihrer Arbeit nachgegangen sind?</w:t>
      </w:r>
    </w:p>
    <w:p>
      <w:pPr>
        <w:pStyle w:val="para40"/>
        <w:numPr>
          <w:ilvl w:val="0"/>
          <w:numId w:val="58"/>
        </w:numPr>
        <w:ind w:left="454" w:hanging="284"/>
      </w:pPr>
      <w:r>
        <w:t>zur Genesung Urlaubstage genommen haben?</w:t>
      </w:r>
    </w:p>
    <w:p>
      <w:pPr>
        <w:pStyle w:val="para40"/>
        <w:numPr>
          <w:ilvl w:val="0"/>
          <w:numId w:val="58"/>
        </w:numPr>
        <w:ind w:left="454" w:hanging="284"/>
      </w:pPr>
      <w:r>
        <w:t>sich vom Arzt ein Medikament verschreiben ließen, um  fit für die Arbeit zu sein?</w:t>
      </w:r>
    </w:p>
    <w:p>
      <w:r>
        <w:t>Studien haben ergeben, dass die durch Produktionsausfall bedingten Kosten, die durch Präsentismus verursacht werden, um ein Mehrfaches über denen liegen, die auf krankheitsbedingte Abwesenheiten zurückzuführen sind.</w:t>
      </w:r>
    </w:p>
    <w:p>
      <w:pPr>
        <w:pStyle w:val="para4"/>
        <w:numPr>
          <w:ilvl w:val="3"/>
          <w:numId w:val="42"/>
        </w:numPr>
        <w:ind w:left="864" w:hanging="864"/>
      </w:pPr>
      <w:bookmarkStart w:id="178" w:name="_TOC000546"/>
      <w:r>
        <w:t xml:space="preserve">Wie sieht es bei Ihren Beschäftigten aus? </w:t>
      </w:r>
      <w:bookmarkEnd w:id="178"/>
      <w:r/>
    </w:p>
    <w:p>
      <w:r>
        <w:t>Absentismus beziehungsweise krankheitsbedingte Fehlzeiten sind seit Jahren rückläufig. Das bedeutet jedoch keineswegs, dass sich die Gesundheit der Beschäftigten in den Betrieben verbessert hat. Die Anwesenheit am Arbeitsplatz trotz Krankheit kommt immer häufiger vor und hat negativen Einfluss auf die Produktivität der Unternehmen.</w:t>
      </w:r>
    </w:p>
    <w:p>
      <w:r>
        <w:t>Umfassende Befragungen unterstreichen die zunehmende Relevanz des Präsentismusproblems. Bezogen auf einen Zeitraum von 12 Monaten sind in Deutschland:</w:t>
      </w:r>
    </w:p>
    <w:p>
      <w:pPr>
        <w:pStyle w:val="para36"/>
        <w:numPr>
          <w:ilvl w:val="0"/>
          <w:numId w:val="58"/>
        </w:numPr>
        <w:ind w:left="454" w:hanging="284"/>
      </w:pPr>
      <w:r>
        <w:t>70 Prozent der Beschäftigten mindestens einmal krank zur Arbeit gegangen</w:t>
      </w:r>
    </w:p>
    <w:p>
      <w:pPr>
        <w:pStyle w:val="para36"/>
        <w:numPr>
          <w:ilvl w:val="0"/>
          <w:numId w:val="58"/>
        </w:numPr>
        <w:ind w:left="454" w:hanging="284"/>
      </w:pPr>
      <w:r>
        <w:t>30 Prozent gegen den Rat des Arztes zur Arbeit gegangen</w:t>
      </w:r>
    </w:p>
    <w:p>
      <w:pPr>
        <w:pStyle w:val="para36"/>
        <w:numPr>
          <w:ilvl w:val="0"/>
          <w:numId w:val="58"/>
        </w:numPr>
        <w:ind w:left="454" w:hanging="284"/>
      </w:pPr>
      <w:r>
        <w:t>21 Prozent bei Krankheit immer arbeiten gegangen während nur 16 Prozent bei Krankheit immer zu Hause blieben</w:t>
      </w:r>
    </w:p>
    <w:p>
      <w:pPr>
        <w:pStyle w:val="para36"/>
        <w:numPr>
          <w:ilvl w:val="0"/>
          <w:numId w:val="58"/>
        </w:numPr>
        <w:ind w:left="454" w:hanging="284"/>
      </w:pPr>
      <w:r>
        <w:t>Beschäftigte 3,7 mal krank zur Arbeit gegangen und waren 11,5 Arbeitstage krank am Arbeitsplatz</w:t>
      </w:r>
    </w:p>
    <w:p>
      <w:pPr>
        <w:pStyle w:val="para4"/>
        <w:numPr>
          <w:ilvl w:val="3"/>
          <w:numId w:val="42"/>
        </w:numPr>
        <w:ind w:left="864" w:hanging="864"/>
      </w:pPr>
      <w:bookmarkStart w:id="179" w:name="_TOC000547"/>
      <w:r>
        <w:t>Die Hauptbeweggründe für Präsentismus</w:t>
      </w:r>
      <w:bookmarkEnd w:id="179"/>
      <w:r/>
    </w:p>
    <w:p>
      <w:pPr>
        <w:pStyle w:val="para36"/>
        <w:numPr>
          <w:ilvl w:val="0"/>
          <w:numId w:val="58"/>
        </w:numPr>
        <w:ind w:left="454" w:hanging="284"/>
      </w:pPr>
      <w:r>
        <w:t>Großes Arbeitsvolumen</w:t>
      </w:r>
    </w:p>
    <w:p>
      <w:pPr>
        <w:pStyle w:val="para36"/>
        <w:numPr>
          <w:ilvl w:val="0"/>
          <w:numId w:val="58"/>
        </w:numPr>
        <w:ind w:left="454" w:hanging="284"/>
      </w:pPr>
      <w:r>
        <w:t>Rücksicht auf Kollegen</w:t>
      </w:r>
    </w:p>
    <w:p>
      <w:pPr>
        <w:pStyle w:val="para36"/>
        <w:numPr>
          <w:ilvl w:val="0"/>
          <w:numId w:val="58"/>
        </w:numPr>
        <w:ind w:left="454" w:hanging="284"/>
      </w:pPr>
      <w:r>
        <w:t>Pflichtgefühl gegenüber dem Arbeitgeber</w:t>
      </w:r>
    </w:p>
    <w:p>
      <w:pPr>
        <w:pStyle w:val="para36"/>
        <w:numPr>
          <w:ilvl w:val="0"/>
          <w:numId w:val="58"/>
        </w:numPr>
        <w:ind w:left="454" w:hanging="284"/>
      </w:pPr>
      <w:r>
        <w:t>Angst vor beruflichen Nachteilen</w:t>
      </w:r>
    </w:p>
    <w:p>
      <w:pPr>
        <w:pStyle w:val="para36"/>
        <w:numPr>
          <w:ilvl w:val="0"/>
          <w:numId w:val="58"/>
        </w:numPr>
        <w:ind w:left="454" w:hanging="284"/>
      </w:pPr>
      <w:r>
        <w:t>Angst vor dem Verlust des Arbeitsplatzes</w:t>
      </w:r>
    </w:p>
    <w:p>
      <w:pPr>
        <w:pStyle w:val="para36"/>
        <w:numPr>
          <w:ilvl w:val="0"/>
          <w:numId w:val="58"/>
        </w:numPr>
        <w:ind w:left="454" w:hanging="284"/>
      </w:pPr>
      <w:r>
        <w:t>Bewertung der Krankheit als Bagatellerkrankung</w:t>
      </w:r>
    </w:p>
    <w:p>
      <w:pPr>
        <w:pStyle w:val="para3"/>
        <w:numPr>
          <w:ilvl w:val="2"/>
          <w:numId w:val="42"/>
        </w:numPr>
        <w:ind w:left="737" w:hanging="737"/>
      </w:pPr>
      <w:bookmarkStart w:id="180" w:name="_TOC000548"/>
      <w:r>
        <w:t>Ihr Führungsverhalten</w:t>
      </w:r>
      <w:bookmarkEnd w:id="180"/>
      <w:r/>
    </w:p>
    <w:p>
      <w:r>
        <w:t>Ihre Gesundheit und die Gesundheit Ihrer Beschäftigten sind nicht losgelöst voneinander. Wenn Sie stark gestresst sind, wird es Ihnen schwerfallen gesundheitsgerecht zu führen. Es ist wahrscheinlich, dass Sie weniger empfänglich für die Bedürfnisse Ihrer Beschäftigten sind oder nicht in der Lage sind, diesen ausreichend gerecht zu werden.</w:t>
      </w:r>
    </w:p>
    <w:p>
      <w:r>
        <w:t>Wenn Sie sich selbst dauerhaft zu stark fordern und einen extrem hohen Anspruch an sich selbst haben, passiert es schnell, dass Sie diese Erwartungshaltung – bewusst oder unbewusst – auf Ihre Beschäftigten übertragen. Solange für Sie „gestresst sein“ eine individuelle Schwäche oder den Normalzustand darstellt, werden Sie wenig Verständnis für die Belastung Ihrer Beschäftigten aufbringen und auch wenig Bereitschaft zeigen, den Stress Ihrer Beschäftigten zu reduzieren. Geben Sie Ihrer und der Gesundheit Ihrer Beschäftigten einen hohen Stellenwert und gehen Sie entsprechend sorgsam mit ihr um. Etablieren Sie eine Kultur in Ihrer Abteilung/Ihrem Team, in der Gesundheit ernst genommen wird und Krankheiten auskuriert werden. Senden Sie durch Ihr Verhalten die richtigen Signale.</w:t>
      </w:r>
    </w:p>
    <w:p>
      <w:r>
        <w:t>Um den Stress und die Belastung Ihrer Beschäftigten angemessen wahrnehmen und beurteilen zu können, ist es erforderlich, dass Sie sich mit der Beanspruchung und der Gesundheit Ihrer Beschäftigten auseinandersetzen. Als Führungskraft haben Sie durch Ihr tägliches Verhalten einen Einfluss auf die Gesundheit Ihrer Beschäftigten. Viele Führungskräfte wissen jedoch nicht, was genau sich positiv oder negativ auf die Gesundheit auswirkt und wo sie ansetzen können.</w:t>
      </w:r>
    </w:p>
    <w:p>
      <w:pPr>
        <w:pStyle w:val="para4"/>
        <w:numPr>
          <w:ilvl w:val="3"/>
          <w:numId w:val="42"/>
        </w:numPr>
        <w:ind w:left="864" w:hanging="864"/>
      </w:pPr>
      <w:bookmarkStart w:id="181" w:name="_TOC000549"/>
      <w:r>
        <w:t>Die eigenen Ansprüche reflektieren</w:t>
      </w:r>
      <w:bookmarkEnd w:id="181"/>
      <w:r/>
    </w:p>
    <w:p>
      <w:r>
        <w:t>Im Folgenden wollen wir Ihnen dabei helfen, sich Ihre eigenen Motive und Verhaltensweisen bei der Arbeit bewusst zu machen und diese zu reflektieren, um dann zu überlegen, was einen positiven und was einen negativen Effekt auf Ihre eigene Gesundheit und die Gesundheit Ihrer Beschäftigten haben könnte. Nehmen Sie sich also kurz Zeit und machen Sie sich gedanklich oder schriftlich Notizen zu den folgenden Fragen:</w:t>
      </w:r>
    </w:p>
    <w:p>
      <w:r>
        <w:t>Fragen an sich selbst</w:t>
      </w:r>
    </w:p>
    <w:p>
      <w:pPr>
        <w:pStyle w:val="para36"/>
        <w:numPr>
          <w:ilvl w:val="0"/>
          <w:numId w:val="58"/>
        </w:numPr>
        <w:ind w:left="454" w:hanging="284"/>
      </w:pPr>
      <w:r>
        <w:t>Wie werde ich selbst geführt? Was ist positiv und was ist negativ am Verhalten meiner direkten Führungskraft? Was löst dieses Verhalten bei mir aus?</w:t>
      </w:r>
    </w:p>
    <w:p>
      <w:pPr>
        <w:pStyle w:val="para36"/>
        <w:numPr>
          <w:ilvl w:val="0"/>
          <w:numId w:val="58"/>
        </w:numPr>
        <w:ind w:left="454" w:hanging="284"/>
      </w:pPr>
      <w:r>
        <w:t>Wie würde ich mir wünschen, geführt zu werden?</w:t>
      </w:r>
    </w:p>
    <w:p>
      <w:pPr>
        <w:pStyle w:val="para36"/>
        <w:numPr>
          <w:ilvl w:val="0"/>
          <w:numId w:val="58"/>
        </w:numPr>
        <w:ind w:left="454" w:hanging="284"/>
      </w:pPr>
      <w:r>
        <w:t>Wie führe ich meine Beschäftigten?</w:t>
      </w:r>
    </w:p>
    <w:p>
      <w:pPr>
        <w:pStyle w:val="para36"/>
        <w:numPr>
          <w:ilvl w:val="0"/>
          <w:numId w:val="58"/>
        </w:numPr>
        <w:ind w:left="454" w:hanging="284"/>
      </w:pPr>
      <w:r>
        <w:t>Inwiefern könnte dieses Führungsverhalten einen Einfluss auf die Gesundheit meiner Beschäftigten haben?</w:t>
      </w:r>
    </w:p>
    <w:p>
      <w:pPr>
        <w:pStyle w:val="para4"/>
        <w:numPr>
          <w:ilvl w:val="3"/>
          <w:numId w:val="42"/>
        </w:numPr>
        <w:ind w:left="864" w:hanging="864"/>
      </w:pPr>
      <w:bookmarkStart w:id="182" w:name="_TOC000550"/>
      <w:r>
        <w:t>Wertschätzung als Gesundheitsressource</w:t>
      </w:r>
      <w:bookmarkEnd w:id="182"/>
      <w:r/>
    </w:p>
    <w:p>
      <w:r>
        <w:t>Es gibt viele wissenschaftliche Belege, dass wertschätzendes und unterstützendes Führungsverhalten großen Einfluss auf die Gesundheit der Beschäftigten hat.</w:t>
      </w:r>
    </w:p>
    <w:p>
      <w:pPr>
        <w:pStyle w:val="para5"/>
        <w:numPr>
          <w:ilvl w:val="4"/>
          <w:numId w:val="42"/>
        </w:numPr>
        <w:ind w:left="1009" w:hanging="1009"/>
      </w:pPr>
      <w:bookmarkStart w:id="183" w:name="_TOC000551"/>
      <w:r>
        <w:t>Positive Auswirkungen von Wertschätzung</w:t>
      </w:r>
      <w:bookmarkEnd w:id="183"/>
      <w:r/>
    </w:p>
    <w:p>
      <w:r>
        <w:t>Wertschätzendes Führungsverhalten wirkt sich positiv auf die Arbeitsfähigkeit der Beschäftigten aus.</w:t>
      </w:r>
    </w:p>
    <w:p>
      <w:r>
        <w:t>Beschäftigte, die sich von ihren Führungskräften akzeptiert, fair behandelt und wertgeschätzt fühlen, haben weniger körperliche Beschwerden, weniger depressive Verstimmungen und ein besseres Wohlbefinden als Beschäftigte, die sich nur gering akzeptiert und wertgeschätzt fühlen.</w:t>
      </w:r>
    </w:p>
    <w:p>
      <w:r>
        <w:t>Beschäftigte, die sich von ihren Führungskräften sozial unterstützt fühlen (das heißt durch konkrete Hilfestellung oder ein offenes Ohr bei Problemen), berichten weniger über gesundheitliche Beschwerden als Beschäftigte ohne oder mit nur geringer sozialer Unterstützung von ihren Führungskräften.</w:t>
      </w:r>
    </w:p>
    <w:p>
      <w:pPr>
        <w:pStyle w:val="para5"/>
        <w:numPr>
          <w:ilvl w:val="4"/>
          <w:numId w:val="42"/>
        </w:numPr>
        <w:ind w:left="1009" w:hanging="1009"/>
      </w:pPr>
      <w:bookmarkStart w:id="184" w:name="_TOC000552"/>
      <w:r>
        <w:t>Negative Auswirkungen von mangelnder Wertschätzung</w:t>
      </w:r>
      <w:bookmarkEnd w:id="184"/>
      <w:r/>
    </w:p>
    <w:p>
      <w:r>
        <w:t>In einer finnischen Längsschnittstudie über einen Zeitraum von 11 Jahren konnte gezeigt werden, dass „unbefriedigende Anerkennung und Wertschätzung am Arbeitsplatz“ das Risiko einer Verschlechterung der Arbeitsfähigkeit mehr als verdoppelt.</w:t>
      </w:r>
    </w:p>
    <w:p>
      <w:r>
        <w:t>Zudem konnte in einer anderen Studie nachgewiesen werden, dass das Risiko an einem Herzinfarkt zu sterben durch eine unfaire und ungerechte Behandlung bei der Arbeit langfristig erheblich steigt.</w:t>
      </w:r>
    </w:p>
    <w:p>
      <w:r>
        <w:t>In einer schwedischen Längsschnittstudie zeigte sich, dass Defizite im Führungsverhalten bedeutsam mit Herz-Kreislauf-Erkrankungen zusammenhängen. Wurde zum Beispiel gute Arbeit nicht gelobt, wurden Arbeitsziele nicht geklärt oder benötigte Informationen nicht bereitgestellt, war das Risiko, einen Herzinfarkt zu erleiden, erhöht.</w:t>
      </w:r>
    </w:p>
    <w:p>
      <w:pPr>
        <w:pStyle w:val="para4"/>
        <w:numPr>
          <w:ilvl w:val="3"/>
          <w:numId w:val="42"/>
        </w:numPr>
        <w:ind w:left="864" w:hanging="864"/>
      </w:pPr>
      <w:bookmarkStart w:id="185" w:name="_TOC000553"/>
      <w:r>
        <w:t>Welches Führungsverhalten ist gesundheitsförderlich?</w:t>
      </w:r>
      <w:bookmarkEnd w:id="185"/>
      <w:r/>
    </w:p>
    <w:p>
      <w:r>
        <w:t>Wie können die Belastungen der Beschäftigten reduziert werden und wie können sie dabei unterstützt werden, trotz Belastungen gesund zu bleiben?</w:t>
      </w:r>
    </w:p>
    <w:p>
      <w:r>
        <w:t>Ein Modell zur gesundheits- und entwicklungsförderlichen Führung umfasst drei unterschiedliche Führungsdimensionen, die schematisch in der dreidimensionalen Würfel-Grafik dargestellt sind:</w:t>
      </w:r>
    </w:p>
    <w:p>
      <w:pPr>
        <w:pStyle w:val="para40"/>
        <w:numPr>
          <w:ilvl w:val="0"/>
          <w:numId w:val="58"/>
        </w:numPr>
        <w:ind w:left="454" w:hanging="284"/>
      </w:pPr>
      <w:r>
        <w:t>Überfordernde Führung (sollte möglichst niedrig ausgeprägt sein = möglichst weit unten in der Grafik)</w:t>
      </w:r>
    </w:p>
    <w:p>
      <w:pPr>
        <w:pStyle w:val="para40"/>
        <w:numPr>
          <w:ilvl w:val="0"/>
          <w:numId w:val="58"/>
        </w:numPr>
        <w:ind w:left="454" w:hanging="284"/>
      </w:pPr>
      <w:r>
        <w:t>Entwicklungsorientierte Führung (sollte möglichst hoch ausgeprägt sein = möglichst weit hinten in der Grafik)</w:t>
      </w:r>
    </w:p>
    <w:p>
      <w:pPr>
        <w:pStyle w:val="para40"/>
        <w:numPr>
          <w:ilvl w:val="0"/>
          <w:numId w:val="58"/>
        </w:numPr>
        <w:ind w:left="454" w:hanging="284"/>
      </w:pPr>
      <w:r>
        <w:t>Unterstützungsorientierte Führung (sollte möglichst hoch ausgeprägt sein = möglichst weit rechts in der Grafik)</w:t>
      </w:r>
    </w:p>
    <w:p>
      <w:pPr>
        <w:spacing/>
        <w:jc w:val="center"/>
        <w:rPr>
          <w:rFonts w:ascii="Arial" w:hAnsi="Arial" w:eastAsia="Arial" w:cs="Basic Roman"/>
          <w:sz w:val="22"/>
          <w:szCs w:val="22"/>
        </w:rPr>
      </w:pPr>
      <w:r/>
      <w:r>
        <w:rPr>
          <w:noProof/>
        </w:rPr>
        <w:drawing>
          <wp:inline distT="0" distB="0" distL="0" distR="0">
            <wp:extent cx="2087880" cy="2377440"/>
            <wp:effectExtent l="0" t="0" r="0" b="0"/>
            <wp:docPr id="11" name="Grafik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213"/>
                    <pic:cNvPicPr>
                      <a:picLocks noChangeAspect="1"/>
                    </pic:cNvPicPr>
                  </pic:nvPicPr>
                  <pic:blipFill>
                    <a:blip r:embed="rId45">
                      <a:colorize val="10" sat="100" blend="0">
                        <a:clrTo>
                          <a:srgbClr val="7F7F7F"/>
                        </a:clrTo>
                      </a:colorize>
                    </a:blip>
                    <a:stretch>
                      <a:fillRect/>
                    </a:stretch>
                  </pic:blipFill>
                  <pic:spPr>
                    <a:xfrm>
                      <a:off x="0" y="0"/>
                      <a:ext cx="2087880" cy="2377440"/>
                    </a:xfrm>
                    <a:prstGeom prst="rect">
                      <a:avLst/>
                    </a:prstGeom>
                    <a:noFill/>
                    <a:ln w="12700">
                      <a:noFill/>
                    </a:ln>
                  </pic:spPr>
                </pic:pic>
              </a:graphicData>
            </a:graphic>
          </wp:inline>
        </w:drawing>
      </w:r>
      <w:r/>
      <w:r>
        <w:rPr>
          <w:rFonts w:ascii="Arial" w:hAnsi="Arial" w:eastAsia="Arial" w:cs="Basic Roman"/>
          <w:sz w:val="22"/>
          <w:szCs w:val="22"/>
        </w:rPr>
      </w:r>
    </w:p>
    <w:p>
      <w:r>
        <w:br w:type="column"/>
      </w:r>
      <w:r>
        <w:t>Aus einer Befragung von über 3000 Mitarbeitern geht hervor, dass die Mitarbeiter, deren Führungskräfte ein geringes Maß an überforderndem Führungsverhalten und ein hohes Maß an entwicklungs- und unterstützungsorientiertem Führungsverhalten zeigten, das beste Befinden aufwiesen (Grafik rechts: blauer Würfel). Analog zeigten die Mitarbeiter, deren Führungskräfte sie stark überforderten, wenig unterstützten und kaum entwicklungsorientiert führten, die stärksten Befindensbeeinträchtigungen, wie zum Beispiel Burn-out (Grafik: orangefarbener Würfel).</w:t>
      </w:r>
    </w:p>
    <w:p>
      <w:r>
        <w:t>Mit diesem Modell kann das in der betrieblichen Praxis weitverbreitete Credo 'Fordern und Fördern, ohne zu überfordern!' messbar gemacht und differenzierte Handlungsempfehlungen für Führungskräfte können abgeleitet werden.</w:t>
      </w:r>
    </w:p>
    <w:p>
      <w:pPr>
        <w:pStyle w:val="para4"/>
        <w:numPr>
          <w:ilvl w:val="3"/>
          <w:numId w:val="42"/>
        </w:numPr>
        <w:ind w:left="864" w:hanging="864"/>
      </w:pPr>
      <w:bookmarkStart w:id="186" w:name="_TOC000554"/>
      <w:r>
        <w:t>Was bedeutet das konkret?</w:t>
      </w:r>
      <w:bookmarkEnd w:id="186"/>
      <w:r/>
    </w:p>
    <w:p>
      <w:r>
        <w:t>In der Tabelle auf der nächsten Seite sind die Führungsdimensionen mit konkreten Verhaltensweisen aufgeführt, die sich in umfassenden Befragungen als besonders gesundheitsrelevant herausgestellt haben und deutliche Zusammenhänge mit dem psychischen Befinden der Beschäftigten zeigen.</w:t>
      </w:r>
    </w:p>
    <w:p>
      <w:r>
        <w:t>Gesund führen heißt: Stressoren reduzieren und Ressourcen stärken!</w:t>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pStyle w:val="para4"/>
        <w:numPr>
          <w:ilvl w:val="3"/>
          <w:numId w:val="42"/>
        </w:numPr>
        <w:ind w:left="864" w:hanging="864"/>
      </w:pPr>
      <w:r>
        <w:br w:type="page"/>
      </w:r>
      <w:bookmarkStart w:id="187" w:name="_TOC001295"/>
      <w:r>
        <w:t>Tipps: Gesundheits- und entwicklungsförderliches Führungsverhalten</w:t>
      </w:r>
      <w:bookmarkEnd w:id="187"/>
      <w:r/>
    </w:p>
    <w:tbl>
      <w:tblPr>
        <w:tblStyle w:val="TableNormal"/>
        <w:name w:val="Tabelle120"/>
        <w:tabOrder w:val="0"/>
        <w:jc w:val="left"/>
        <w:tblInd w:w="0" w:type="dxa"/>
        <w:tblW w:w="9287" w:type="dxa"/>
        <w:pPr>
          <w:spacing/>
          <w:jc w:val="left"/>
        </w:pPr>
        <w:tblLook w:val="0600" w:firstRow="0" w:lastRow="0" w:firstColumn="0" w:lastColumn="0" w:noHBand="1" w:noVBand="1"/>
      </w:tblPr>
      <w:tblGrid>
        <w:gridCol w:w="3106"/>
        <w:gridCol w:w="6181"/>
      </w:tblGrid>
      <w:tr>
        <w:trPr>
          <w:tblHeader w:val="0"/>
          <w:cantSplit w:val="0"/>
          <w:trHeight w:val="0" w:hRule="auto"/>
        </w:trPr>
        <w:tc>
          <w:tcPr>
            <w:tcW w:w="3106" w:type="dxa"/>
            <w:shd w:val="none"/>
            <w:tcMar>
              <w:top w:w="0" w:type="dxa"/>
              <w:left w:w="108" w:type="dxa"/>
              <w:bottom w:w="0" w:type="dxa"/>
              <w:right w:w="108"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rPr>
            </w:pPr>
            <w:r>
              <w:rPr>
                <w:i/>
                <w:iCs/>
              </w:rPr>
              <w:t>Überfordernde Führung:</w:t>
            </w:r>
          </w:p>
        </w:tc>
        <w:tc>
          <w:tcPr>
            <w:tcW w:w="6181" w:type="dxa"/>
            <w:shd w:val="none"/>
            <w:tcMar>
              <w:top w:w="0" w:type="dxa"/>
              <w:left w:w="108" w:type="dxa"/>
              <w:bottom w:w="0" w:type="dxa"/>
              <w:right w:w="108" w:type="dxa"/>
            </w:tcMar>
            <w:tcBorders>
              <w:top w:val="nil" w:sz="0" w:space="0" w:color="000000" tmln="2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sz w:val="17"/>
                <w:szCs w:val="17"/>
              </w:rPr>
            </w:pPr>
            <w:r>
              <w:rPr>
                <w:i/>
                <w:iCs/>
                <w:sz w:val="17"/>
                <w:szCs w:val="17"/>
              </w:rPr>
              <w:t>Machen Sie es richtig:</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Quantitative Überforderung</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Übertragen Sie Ihren Beschäftigten nicht zu viele Aufgaben, setzen Sie sie nicht ständig unter Zeitdruck und erwarten Sie von ihnen nicht dauerhaft ein zu hohes Arbeitstempo.</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Qualitative Überforderung</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Übertragen Sie Ihren Beschäftigten keine Aufgaben, die zu schwierig sind und sie inhaltlich überfordern.</w:t>
            </w:r>
          </w:p>
        </w:tc>
      </w:tr>
      <w:tr>
        <w:trPr>
          <w:tblHeader w:val="0"/>
          <w:cantSplit w:val="0"/>
          <w:trHeight w:val="0" w:hRule="auto"/>
        </w:trPr>
        <w:tc>
          <w:tcPr>
            <w:tcW w:w="3106" w:type="dxa"/>
            <w:shd w:val="none"/>
            <w:tcMar>
              <w:top w:w="113" w:type="dxa"/>
              <w:left w:w="108" w:type="dxa"/>
              <w:bottom w:w="0" w:type="dxa"/>
              <w:right w:w="108"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rPr>
            </w:pPr>
            <w:r>
              <w:rPr>
                <w:i/>
                <w:iCs/>
              </w:rPr>
              <w:t>Entwicklungsorientierte Führung:</w:t>
            </w:r>
          </w:p>
        </w:tc>
        <w:tc>
          <w:tcPr>
            <w:tcW w:w="6181" w:type="dxa"/>
            <w:shd w:val="none"/>
            <w:tcMar>
              <w:top w:w="113" w:type="dxa"/>
              <w:left w:w="108" w:type="dxa"/>
              <w:bottom w:w="0" w:type="dxa"/>
              <w:right w:w="108"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sz w:val="17"/>
                <w:szCs w:val="17"/>
              </w:rPr>
            </w:pPr>
            <w:r>
              <w:rPr>
                <w:i/>
                <w:iCs/>
                <w:sz w:val="17"/>
                <w:szCs w:val="17"/>
              </w:rPr>
              <w:t>Machen Sie es richtig:</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Komplexität/Variabilität</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Übertragen Sie Ihren Beschäftigten Aufgaben, die den Einsatz von vielfältigen Fähigkeiten und Fertigkeiten erfordern und durch die sich Ihre Beschäftigten weiterentwickeln können.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Handlungsspielraum</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Erweitern Sie die Handlungsspielräume Ihrer Beschäftigten. Lassen Sie die Beschäftigten selbst entscheiden, wie sie ihre Aufgaben bearbeiten, und übertragen Sie ihnen weitgehend die Planung, Ausführung und Kontrolle ihrer Arbeit.</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Partizipation</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Beteiligen Sie Ihre Beschäftigten an der Gestaltung von Veränderungen sowie an Entscheidungen, die ihre Arbeit oder Arbeitsplatzumgebung betreffen, und greifen Sie die Ideen und Vorschläge der Beschäftigten auf.</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Vertrauen in die Fähigkeiten der Beschäftigten</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Zeigen Sie Vertrauen in die Fähigkeiten und Handlungen Ihrer Beschäftigten und trauen Sie ihnen zu, dass sie eigenverantwortlich und selbstständig gute Leistung bringen.</w:t>
            </w:r>
          </w:p>
        </w:tc>
      </w:tr>
      <w:tr>
        <w:trPr>
          <w:tblHeader w:val="0"/>
          <w:cantSplit w:val="0"/>
          <w:trHeight w:val="0" w:hRule="auto"/>
        </w:trPr>
        <w:tc>
          <w:tcPr>
            <w:tcW w:w="3106" w:type="dxa"/>
            <w:vAlign w:val="center"/>
            <w:shd w:val="none"/>
            <w:tcMar>
              <w:top w:w="113" w:type="dxa"/>
              <w:left w:w="108" w:type="dxa"/>
              <w:bottom w:w="0" w:type="dxa"/>
              <w:right w:w="108"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rPr>
            </w:pPr>
            <w:r>
              <w:rPr>
                <w:i/>
                <w:iCs/>
              </w:rPr>
              <w:t>Unterstützungsorientierte Führung:</w:t>
            </w:r>
          </w:p>
        </w:tc>
        <w:tc>
          <w:tcPr>
            <w:tcW w:w="6181" w:type="dxa"/>
            <w:vAlign w:val="center"/>
            <w:shd w:val="none"/>
            <w:tcMar>
              <w:top w:w="113" w:type="dxa"/>
              <w:left w:w="108" w:type="dxa"/>
              <w:bottom w:w="0" w:type="dxa"/>
              <w:right w:w="108" w:type="dxa"/>
            </w:tcMar>
            <w:tcBorders>
              <w:top w:val="single" w:sz="4" w:space="0" w:color="000000" tmln="10, 20, 20, 0, 0"/>
              <w:left w:val="nil" w:sz="0" w:space="0" w:color="000000" tmln="20, 20, 20, 0, 0"/>
              <w:bottom w:val="single" w:sz="4" w:space="0" w:color="000000" tmln="10, 20, 20, 0, 0"/>
              <w:right w:val="nil" w:sz="0" w:space="0" w:color="000000" tmln="2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i/>
                <w:iCs/>
                <w:sz w:val="17"/>
                <w:szCs w:val="17"/>
              </w:rPr>
            </w:pPr>
            <w:r>
              <w:rPr>
                <w:i/>
                <w:iCs/>
                <w:sz w:val="17"/>
                <w:szCs w:val="17"/>
              </w:rPr>
              <w:t>Machen Sie es richtig:</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Instrumentelle Unterstützung/ Information</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Seien Sie ansprechbar, wenn Probleme bei der Arbeit auftreten, und unterstützen Sie Ihre Beschäftigten im Arbeitsprozess, wenn sie Schwierigkeiten haben. Informieren Sie ausreichend und stellen Sie alle zur Aufgabenerfüllung relevanten Informationen zur Verfügung.</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Klarheit/Transparenz</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Erläutern Sie Hintergründe von Entscheidungen und verdeutlichen Sie den Sinn bestimmter Aufgaben. Sorgen Sie für eindeutige Zuständigkeiten und Verantwortlichkeiten, stellen Sie sicher, dass Ihre Beschäftigten ihre Aufgaben verstanden haben. Formulieren Sie Aufgabenanforderungen und Erwartungen an Ihre Beschäftigten klar und deutlich.</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Anerkennung/Feedback</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Würdigen Sie die Arbeit und das Engagement Ihrer Beschäftigten durch Lob und Anerkennung. Geben Sie regelmäßig Rückmeldung und lassen Sie Ihre Beschäftigten wissen, wie gut sie ihre Arbeit machen.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Konfliktmanagement</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Sprechen Sie Konflikte an, suchen Sie mit den Beteiligten nach Lösungen und führen Sie bei Konflikten Lösungen herbei, die die verschiedenen Interessen berücksichtigen.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Kooperation</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Ermutigen Sie die Beschäftigten, sich gegenseitig zu unterstützen, Probleme gemeinsam zu lösen und ihr Wissen untereinander auszutauschen.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Karriereunterstützung</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Fördern Sie das berufliche Vorankommen Ihrer Beschäftigten und beraten Sie, wie sie ihre beruflichen Ziele erreichen können.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Integrität/Fairness</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Gehen Sie offen und ehrlich mit Ihren Beschäftigten um und halten Sie sich an Absprachen und Vereinbarungen. Achten Sie darauf, dass die Aufgaben der Beschäftigten gerecht verteilt sind, und achten Sie auf Gleichbehandlung der Beschäftigten.</w:t>
            </w:r>
          </w:p>
        </w:tc>
      </w:tr>
      <w:tr>
        <w:trPr>
          <w:tblHeader w:val="0"/>
          <w:cantSplit w:val="0"/>
          <w:trHeight w:val="0" w:hRule="auto"/>
        </w:trPr>
        <w:tc>
          <w:tcPr>
            <w:tcW w:w="3106"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Fürsorge</w:t>
            </w:r>
          </w:p>
        </w:tc>
        <w:tc>
          <w:tcPr>
            <w:tcW w:w="618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85596603" protected="0"/>
          </w:tcPr>
          <w:p>
            <w:pPr>
              <w:ind w:firstLine="0"/>
              <w:spacing w:after="120"/>
              <w:jc w:val="left"/>
              <w:widowContro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16"/>
                <w:szCs w:val="16"/>
              </w:rPr>
            </w:pPr>
            <w:r>
              <w:rPr>
                <w:sz w:val="16"/>
                <w:szCs w:val="16"/>
              </w:rPr>
              <w:t>Erkundigen Sie sich nach dem Wohlergehen Ihrer Beschäftigten und ermutigen Sie sie, eine gute Balance zwischen Berufs­ und Privatleben zu finden. Sprechen Sie einzelne Beschäftigte an, wenn Sie den Eindruck haben, dass sie überlastet sind, und achten Sie darauf, dass Beschäftigte zu Hause bleiben, wenn sie krank sind.</w:t>
            </w:r>
          </w:p>
        </w:tc>
      </w:tr>
    </w:tbl>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4"/>
        <w:numPr>
          <w:ilvl w:val="3"/>
          <w:numId w:val="42"/>
        </w:numPr>
        <w:ind w:left="864" w:hanging="864"/>
      </w:pPr>
      <w:bookmarkStart w:id="188" w:name="_TOC000556"/>
      <w:r>
        <w:t>Entwicklungsorientierte Führung: Herausfordern ohne zu überfordern</w:t>
      </w:r>
      <w:bookmarkEnd w:id="188"/>
      <w:r/>
    </w:p>
    <w:p>
      <w:r>
        <w:t>Im Berufsalltag wirkt sich besonders die Delegation von Aufgaben auf die Gesundheit und das Engagement der Beschäftigten aus. Eine angemessene Delegation von Aufgaben ist kein leichtes Unterfangen. Für den einen Beschäftigten kann eine Aufgabe eine interessante Herausforderung darstellen, für den anderen eine Überforderung. Um einen 'gesunden' Mittelweg zu finden, mit dem Sie gleichzeitig die Gesundheit und die Motivation Ihrer Beschäftigten fördern, ist es hilfreich, folgende Anregungen zu berücksichtigen:</w:t>
      </w:r>
    </w:p>
    <w:p>
      <w:pPr>
        <w:pStyle w:val="para5"/>
        <w:numPr>
          <w:ilvl w:val="4"/>
          <w:numId w:val="42"/>
        </w:numPr>
        <w:ind w:left="1009" w:hanging="1009"/>
      </w:pPr>
      <w:bookmarkStart w:id="189" w:name="_TOC000557"/>
      <w:r>
        <w:t>Aktiv werden und verändern</w:t>
      </w:r>
      <w:bookmarkEnd w:id="189"/>
      <w:r/>
    </w:p>
    <w:p>
      <w:r>
        <w:t>Sie wollen Ihre eigene Führungspraxis verbessern? Dann lohnt es sich, Ihr Führungsverhalten zu analysieren. Dieses Wissen kann Sie darin unterstützen, die Ressourcen Ihrer Beschäftigten zu aktivieren und Sie befähigen, Ihre Beschäftigten gesund zu führen.</w:t>
      </w:r>
    </w:p>
    <w:p>
      <w:pPr>
        <w:pStyle w:val="para5"/>
        <w:numPr>
          <w:ilvl w:val="4"/>
          <w:numId w:val="42"/>
        </w:numPr>
        <w:ind w:left="1009" w:hanging="1009"/>
      </w:pPr>
      <w:bookmarkStart w:id="190" w:name="_TOC000558"/>
      <w:r>
        <w:t>Angemessen delegieren</w:t>
      </w:r>
      <w:bookmarkEnd w:id="190"/>
      <w:r/>
    </w:p>
    <w:p>
      <w:pPr>
        <w:pStyle w:val="para40"/>
        <w:numPr>
          <w:ilvl w:val="0"/>
          <w:numId w:val="58"/>
        </w:numPr>
        <w:ind w:left="454" w:hanging="284"/>
      </w:pPr>
      <w:r>
        <w:t>Sprechen Sie mit Ihren Beschäftigten darüber, was sie sich zutrauen und welche Aufgaben sie gerne übernehmen möchten.</w:t>
      </w:r>
    </w:p>
    <w:p>
      <w:pPr>
        <w:pStyle w:val="para40"/>
        <w:numPr>
          <w:ilvl w:val="0"/>
          <w:numId w:val="58"/>
        </w:numPr>
        <w:ind w:left="454" w:hanging="284"/>
      </w:pPr>
      <w:r>
        <w:t>Lernen Sie die Stärken und Entwicklungspotenziale Ihrer Beschäftigten kennen, damit Sie die Aufgaben passgenau übertragen können.</w:t>
      </w:r>
    </w:p>
    <w:p>
      <w:pPr>
        <w:pStyle w:val="para40"/>
        <w:numPr>
          <w:ilvl w:val="0"/>
          <w:numId w:val="58"/>
        </w:numPr>
        <w:ind w:left="454" w:hanging="284"/>
      </w:pPr>
      <w:r>
        <w:t>Fragen Sie Ihre Beschäftigten, wie es ihnen mit ihren Aufgaben geht, wo sie gegebenenfalls Unterstützung benötigen.</w:t>
      </w:r>
    </w:p>
    <w:p>
      <w:pPr>
        <w:pStyle w:val="para40"/>
        <w:numPr>
          <w:ilvl w:val="0"/>
          <w:numId w:val="58"/>
        </w:numPr>
        <w:ind w:left="454" w:hanging="284"/>
      </w:pPr>
      <w:r>
        <w:t>Klären Sie mit Ihren Beschäftigten, was sie als ihre nächsten Entwicklungsschritte ansehen.</w:t>
      </w:r>
    </w:p>
    <w:p>
      <w:pPr>
        <w:pStyle w:val="para40"/>
        <w:numPr>
          <w:ilvl w:val="0"/>
          <w:numId w:val="58"/>
        </w:numPr>
        <w:ind w:left="454" w:hanging="284"/>
      </w:pPr>
      <w:r>
        <w:t>Überlegen Sie gemeinsam mit Ihren Beschäftigten, wer von welcher Aufgabe profitiert und sich wodurch weiterentwickeln kann.</w:t>
      </w:r>
    </w:p>
    <w:p>
      <w:pPr>
        <w:numPr>
          <w:ilvl w:val="0"/>
          <w:numId w:val="58"/>
        </w:numPr>
        <w:ind w:left="454" w:hanging="284"/>
      </w:pPr>
      <w:bookmarkStart w:id="191" w:name="_TOC000559"/>
      <w:r/>
    </w:p>
    <w:p>
      <w:pPr>
        <w:pStyle w:val="para2"/>
        <w:numPr>
          <w:ilvl w:val="1"/>
          <w:numId w:val="42"/>
        </w:numPr>
        <w:ind w:left="578" w:hanging="578"/>
      </w:pPr>
      <w:r>
        <w:br w:type="page"/>
      </w:r>
      <w:bookmarkStart w:id="192" w:name="_TOC002565"/>
      <w:r>
        <w:t>Gesunde Rahmenbedingungen:  Welche Voraussetzungen Sie unterstützen</w:t>
      </w:r>
      <w:bookmarkEnd w:id="191"/>
      <w:r/>
      <w:bookmarkEnd w:id="192"/>
      <w:r/>
    </w:p>
    <w:p>
      <w:r>
        <w:t>Als Führungskraft agieren Sie nicht in einem luftleeren Raum, sondern befinden sich in einem komplexen System. Die Rahmenbedingungen können je nach Unternehmen sehr unterschiedlich sein.</w:t>
      </w:r>
    </w:p>
    <w:p>
      <w:pPr>
        <w:pStyle w:val="para3"/>
        <w:numPr>
          <w:ilvl w:val="2"/>
          <w:numId w:val="42"/>
        </w:numPr>
        <w:ind w:left="737" w:hanging="737"/>
      </w:pPr>
      <w:bookmarkStart w:id="193" w:name="_TOC000560"/>
      <w:r>
        <w:t>Auf die Bedingungen kommt es an</w:t>
      </w:r>
      <w:bookmarkEnd w:id="193"/>
      <w:r/>
    </w:p>
    <w:p>
      <w:r>
        <w:t>Die Möglichkeiten gesunder Führung sind vom Führungsverständnis des Unternehmens und der Unternehmenskultur abhängig. Folgende Bedingungen bestimmen Ihr Gesundheitshandeln als Führungskraft mit:</w:t>
      </w:r>
    </w:p>
    <w:p>
      <w:pPr>
        <w:pStyle w:val="para4"/>
        <w:numPr>
          <w:ilvl w:val="3"/>
          <w:numId w:val="42"/>
        </w:numPr>
        <w:ind w:left="864" w:hanging="864"/>
      </w:pPr>
      <w:bookmarkStart w:id="194" w:name="_TOC000561"/>
      <w:r>
        <w:t>Optimale Rahmenbedingungen gesunder Führung</w:t>
      </w:r>
      <w:bookmarkEnd w:id="194"/>
      <w:r/>
    </w:p>
    <w:p>
      <w:pPr>
        <w:pStyle w:val="para40"/>
        <w:numPr>
          <w:ilvl w:val="0"/>
          <w:numId w:val="58"/>
        </w:numPr>
        <w:ind w:left="454" w:hanging="284"/>
      </w:pPr>
      <w:r>
        <w:t>Die Gesundheit der Beschäftigten hat einen hohen Stellenwert im Unternehmen und ist beispielsweise in den Unternehmenswerten oder im Unternehmensleitbild verankert.</w:t>
      </w:r>
    </w:p>
    <w:p>
      <w:pPr>
        <w:pStyle w:val="para40"/>
        <w:numPr>
          <w:ilvl w:val="0"/>
          <w:numId w:val="58"/>
        </w:numPr>
        <w:ind w:left="454" w:hanging="284"/>
      </w:pPr>
      <w:r>
        <w:t>Die Unternehmensleitung/der Vorstand signalisiert Unterstützung zum Thema Gesundheit.</w:t>
      </w:r>
    </w:p>
    <w:p>
      <w:pPr>
        <w:pStyle w:val="para40"/>
        <w:numPr>
          <w:ilvl w:val="0"/>
          <w:numId w:val="58"/>
        </w:numPr>
        <w:ind w:left="454" w:hanging="284"/>
      </w:pPr>
      <w:r>
        <w:t>Gesundheit ist ein Bestandteil der Führungsleitlinien.</w:t>
      </w:r>
    </w:p>
    <w:p>
      <w:pPr>
        <w:pStyle w:val="para40"/>
        <w:numPr>
          <w:ilvl w:val="0"/>
          <w:numId w:val="58"/>
        </w:numPr>
        <w:ind w:left="454" w:hanging="284"/>
      </w:pPr>
      <w:r>
        <w:t>Gesundheit stellt ein eigenständiges Zielkriterium betrieblichen Handelns dar und ist Bestandteil eines kontinuierlichen Verbesserungsprozesses.</w:t>
      </w:r>
    </w:p>
    <w:p>
      <w:pPr>
        <w:pStyle w:val="para40"/>
        <w:numPr>
          <w:ilvl w:val="0"/>
          <w:numId w:val="58"/>
        </w:numPr>
        <w:ind w:left="454" w:hanging="284"/>
      </w:pPr>
      <w:r>
        <w:t>Die Gesundheit der Beschäftigten ist Bestandteil von Zielvereinbarungen.</w:t>
      </w:r>
    </w:p>
    <w:p>
      <w:pPr>
        <w:pStyle w:val="para40"/>
        <w:numPr>
          <w:ilvl w:val="0"/>
          <w:numId w:val="58"/>
        </w:numPr>
        <w:ind w:left="454" w:hanging="284"/>
      </w:pPr>
      <w:r>
        <w:t>Man wird als Führungskraft belohnt, wenn man die Gesundheit der eigenen Beschäftigten fördert.</w:t>
      </w:r>
    </w:p>
    <w:p>
      <w:pPr>
        <w:pStyle w:val="para40"/>
        <w:numPr>
          <w:ilvl w:val="0"/>
          <w:numId w:val="58"/>
        </w:numPr>
        <w:ind w:left="454" w:hanging="284"/>
      </w:pPr>
      <w:r>
        <w:t>Das Thema gesunde Führung ist in ein systematisches Betriebliches Gesundheitsmanagement integriert.</w:t>
      </w:r>
    </w:p>
    <w:p>
      <w:pPr>
        <w:pStyle w:val="para40"/>
        <w:numPr>
          <w:ilvl w:val="0"/>
          <w:numId w:val="58"/>
        </w:numPr>
        <w:ind w:left="454" w:hanging="284"/>
      </w:pPr>
      <w:r>
        <w:t>Die Unterstützungsangebote seitens des Unternehmens für Führungskräfte sind gut.</w:t>
      </w:r>
    </w:p>
    <w:p>
      <w:pPr>
        <w:pStyle w:val="para40"/>
        <w:numPr>
          <w:ilvl w:val="0"/>
          <w:numId w:val="58"/>
        </w:numPr>
        <w:ind w:left="454" w:hanging="284"/>
      </w:pPr>
      <w:r>
        <w:t>Es wird gut über die Angebote der betrieblichen Gesundheitsförderung informiert.</w:t>
      </w:r>
    </w:p>
    <w:p>
      <w:pPr>
        <w:pStyle w:val="para3"/>
        <w:numPr>
          <w:ilvl w:val="2"/>
          <w:numId w:val="42"/>
        </w:numPr>
        <w:ind w:left="737" w:hanging="737"/>
      </w:pPr>
      <w:bookmarkStart w:id="195" w:name="_TOC000562"/>
      <w:r>
        <w:t>Gesunde Unternehmenskultur</w:t>
      </w:r>
      <w:bookmarkEnd w:id="195"/>
      <w:r/>
    </w:p>
    <w:p>
      <w:r>
        <w:t>Wenn die Geschäftsführung die Einflussmöglichkeiten und Potenziale gesunder Führung erkennt, anerkennt und unterstützt, wirkt sich dies positiv auf die Unternehmenskultur aus und gesundheitsförderliches Führungsverhalten kann in der Führungspraxis wirkungsvoll umgesetzt und gelebt werden.</w:t>
      </w:r>
    </w:p>
    <w:p>
      <w:r>
        <w:t>Die Unternehmenskultur bestimmt das Sollen, Wollen und Können innerhalb einer Organisation und legt zum Beispiel fest, inwieweit Führungskräften Zeit gewährt wird, sich mit den Bedürfnissen ihrer Beschäftigten auseinanderzusetzen.</w:t>
      </w:r>
    </w:p>
    <w:p>
      <w:r>
        <w:t>Der Umgang mit psychischer Beanspruchung ist abhängig davon, ob eine Kultur des Vertrauens herrscht, in der man sich über die eigene Beanspruchung angstfrei äußern kann. Eine Unternehmenskultur ist nicht von außen gegeben, sondern wird von innen gelebt und gestaltet. In Ihrer Führungsposition haben Sie hier eine Schlüsselfunktion. Ihr Mut sollte gestärkt werden, den Wert 'Gesundheit' in Ihrer Abteilung zu leben und die Chance zu ergreifen, durch Ihr Vorbildverhalten und einen gesundheitsförderlichen Umgang mit sich selbst und Ihren Beschäftigten ein Zeichen zu setzen. Gleichzeitig sollten durch die Geschäftsführung die Bedingungen so gestaltet sein, dass Sie in Ihrem gesundheitsförderlichen Führungsverhalten bestärkt werden.</w:t>
      </w:r>
    </w:p>
    <w:p>
      <w:pPr>
        <w:pStyle w:val="para3"/>
        <w:numPr>
          <w:ilvl w:val="2"/>
          <w:numId w:val="42"/>
        </w:numPr>
        <w:ind w:left="737" w:hanging="737"/>
      </w:pPr>
      <w:bookmarkStart w:id="196" w:name="_TOC000563"/>
      <w:r>
        <w:t>Inner- und außerbetriebliche Unterstützung</w:t>
      </w:r>
      <w:bookmarkEnd w:id="196"/>
      <w:r/>
    </w:p>
    <w:p>
      <w:r>
        <w:t>Zu den gesunden Rahmenbedingungen gehört auch, dass Sie nicht allein gelassen werden, sondern auf andere Akteure im Unternehmen zurückgreifen können. Sie haben dann die Lotsenfunktion. Ihre Aufgabe ist es, zu erkennen, dass Unterstützungsbedarf besteht und zu wissen, wen Sie ins Boot holen können. Hier einige wichtige Ansprechpartner:</w:t>
      </w:r>
    </w:p>
    <w:p>
      <w:pPr>
        <w:pStyle w:val="para40"/>
        <w:numPr>
          <w:ilvl w:val="0"/>
          <w:numId w:val="58"/>
        </w:numPr>
        <w:ind w:left="454" w:hanging="284"/>
      </w:pPr>
      <w:r>
        <w:t>Betriebsärztlicher Dienst</w:t>
      </w:r>
    </w:p>
    <w:p>
      <w:pPr>
        <w:pStyle w:val="para40"/>
        <w:numPr>
          <w:ilvl w:val="0"/>
          <w:numId w:val="58"/>
        </w:numPr>
        <w:ind w:left="454" w:hanging="284"/>
      </w:pPr>
      <w:r>
        <w:t>Fachkraft für Arbeitssicherheit</w:t>
      </w:r>
    </w:p>
    <w:p>
      <w:pPr>
        <w:pStyle w:val="para40"/>
        <w:numPr>
          <w:ilvl w:val="0"/>
          <w:numId w:val="58"/>
        </w:numPr>
        <w:ind w:left="454" w:hanging="284"/>
      </w:pPr>
      <w:r>
        <w:t>Personalabteilung</w:t>
      </w:r>
    </w:p>
    <w:p>
      <w:pPr>
        <w:pStyle w:val="para40"/>
        <w:numPr>
          <w:ilvl w:val="0"/>
          <w:numId w:val="58"/>
        </w:numPr>
        <w:ind w:left="454" w:hanging="284"/>
      </w:pPr>
      <w:r>
        <w:t>Sozialberatung oder externe Mitarbeiterberatung</w:t>
      </w:r>
    </w:p>
    <w:p>
      <w:pPr>
        <w:pStyle w:val="para40"/>
        <w:numPr>
          <w:ilvl w:val="0"/>
          <w:numId w:val="58"/>
        </w:numPr>
        <w:ind w:left="454" w:hanging="284"/>
      </w:pPr>
      <w:r>
        <w:t>Betriebs- oder Personalrat</w:t>
      </w:r>
    </w:p>
    <w:p>
      <w:pPr>
        <w:pStyle w:val="para40"/>
        <w:numPr>
          <w:ilvl w:val="0"/>
          <w:numId w:val="58"/>
        </w:numPr>
        <w:ind w:left="454" w:hanging="284"/>
      </w:pPr>
      <w:r>
        <w:t>Weitere Unterstützungsangebote außerhalb des Unternehmens, zum Beispiel kirchliche Beratungsstellen, Drogenberatung, Selbsthilfegruppen, Schuldnerberatung, psychosoziale Beratungsstellen, Telefonseelsorge.</w:t>
      </w:r>
    </w:p>
    <w:p>
      <w:r>
        <w:t>Warten Sie nicht zu lange – es ist professionelles Führungsverhalten, wenn man Unterstützungsangebote in Anspruch nimmt.</w:t>
      </w:r>
    </w:p>
    <w:p>
      <w:pPr>
        <w:pStyle w:val="para3"/>
        <w:numPr>
          <w:ilvl w:val="2"/>
          <w:numId w:val="42"/>
        </w:numPr>
        <w:ind w:left="737" w:hanging="737"/>
      </w:pPr>
      <w:bookmarkStart w:id="197" w:name="_TOC000564"/>
      <w:r>
        <w:t>Gesundheit fördern und managen</w:t>
      </w:r>
      <w:bookmarkEnd w:id="197"/>
      <w:r/>
    </w:p>
    <w:p>
      <w:r>
        <w:t>Betriebliche Gesundheitsförderung zahlt sich aus. Zu diesem Ergebnis kommt eine umfassende Überblicksstudie der Initiative Gesundheit und Arbeit.</w:t>
      </w:r>
    </w:p>
    <w:p>
      <w:r>
        <w:t>Durch betriebliche Gesundheitsförderung und Prävention können Sie nicht nur die Gesundheit der Beschäftigten verbessern, sondern auch Kosten reduzieren. Das Kosten-Nutzen-Verhältnis (Return on Investment) liegt zwischen 1:2,3 und 1:5,9 Euro.</w:t>
      </w:r>
    </w:p>
    <w:p>
      <w:r>
        <w:t xml:space="preserve">Fazit: Wenn Sie als Führungskraft sich entschließen, gesund und erfolgreich zu führen und somit sich selbst, Ihren Beschäftigten und dem Unternehmen etwas Gutes zu tun, haben Sie viele Möglichkeiten anzusetzen. Man kann nicht alles von heute auf morgen ändern. Fangen Sie bei Ihrer eigenen Gesundheit an und suchen Sie sich einige wichtige Aspekte heraus, um zu beginnen. </w:t>
      </w:r>
    </w:p>
    <w:p>
      <w:pPr>
        <w:pStyle w:val="para2"/>
        <w:numPr>
          <w:ilvl w:val="1"/>
          <w:numId w:val="42"/>
        </w:numPr>
        <w:ind w:left="578" w:hanging="578"/>
      </w:pPr>
      <w:bookmarkStart w:id="198" w:name="_TOC000623"/>
      <w:r>
        <w:t>Fehlzeiten richtig deuten: So unterstützt du deine Mitarbeiter</w:t>
      </w:r>
      <w:bookmarkEnd w:id="198"/>
      <w:r/>
    </w:p>
    <w:p>
      <w:pPr>
        <w:rPr>
          <w:sz w:val="14"/>
          <w:szCs w:val="14"/>
        </w:rPr>
      </w:pPr>
      <w:r>
        <w:rPr>
          <w:sz w:val="14"/>
          <w:szCs w:val="14"/>
        </w:rPr>
        <w:t>https://karriereboost.de/mitarbeiterfuehrung/fehlzeiten-richtig-deuten-so-unterstuetzt-du-deine-mitarbeiter/?xing_share=news</w:t>
      </w:r>
    </w:p>
    <w:p>
      <w:r>
        <w:t>Fehlzeiten sprechen oft eine leise Sprache. Nicht immer fällt es sofort auf, wenn Mitarbeiter häufiger fehlen. Wann du genau hinschauen solltest und was du beachten muss, erfährst du hier.</w:t>
      </w:r>
    </w:p>
    <w:p>
      <w:pPr>
        <w:pStyle w:val="para3"/>
        <w:numPr>
          <w:ilvl w:val="2"/>
          <w:numId w:val="42"/>
        </w:numPr>
        <w:ind w:left="737" w:hanging="737"/>
      </w:pPr>
      <w:bookmarkStart w:id="199" w:name="_TOC001234"/>
      <w:r>
        <w:t>Wenn Fehlzeiten zunehmen</w:t>
      </w:r>
      <w:bookmarkEnd w:id="199"/>
      <w:r/>
    </w:p>
    <w:p>
      <w:r>
        <w:t>Vor allem bei saisonalen Grippe- oder Krankheitswellen fällt es oft nicht auf, wenn ein Mitarbeiter häufiger fehlt.  Aber vielleicht hast du ja ein so gutes Verhältnis zu deiner Mitarbeiterin, dass ihr im regelmäßigen Austausch auch auf Krankheiten zu sprechen kommt. Anhand dieser Info könntest du erkennen, dass etwas im Argen liegt. Bedenke aber, dass deine Mitarbeiter nicht dazu verpflichtet sind, dir Auskunft über ihre Krankheit zu geben. Bringst du allerdings in Erfahrung, was den Betroffenen ausgeknockt hat oder erkennst, dass gerade bei dem einen Mitarbeiter die Fehlzeiten ungewöhnlich zunehmen, dann solltest du hellhörig werden.</w:t>
      </w:r>
    </w:p>
    <w:p>
      <w:pPr>
        <w:pStyle w:val="para3"/>
        <w:numPr>
          <w:ilvl w:val="2"/>
          <w:numId w:val="42"/>
        </w:numPr>
        <w:ind w:left="737" w:hanging="737"/>
      </w:pPr>
      <w:bookmarkStart w:id="200" w:name="_TOC001235"/>
      <w:r>
        <w:t>Gegensteuern, wenn sich Fehlzeiten häufen</w:t>
      </w:r>
      <w:bookmarkEnd w:id="200"/>
      <w:r/>
    </w:p>
    <w:p>
      <w:r>
        <w:t>Es gibt mehrere Szenarien, die denkbar sind, warum Mitarbeiter häufiger fehlen. Das kann der hohe Workload und damit verbundene Stress sein, der auf Dauer krank macht. Vielleicht gibt es auch eine Krise im Team? Es können natürlich auch private Probleme dahinterstecken. Aber auch ein nicht adäquat ausgestatteter Arbeitsplatz, kann mit der Zeit für Probleme sorgen. Was kannst du also tun?</w:t>
      </w:r>
    </w:p>
    <w:p>
      <w:pPr>
        <w:pStyle w:val="para40"/>
        <w:numPr>
          <w:ilvl w:val="0"/>
          <w:numId w:val="58"/>
        </w:numPr>
        <w:ind w:left="454" w:hanging="284"/>
      </w:pPr>
      <w:r>
        <w:t>Wenn möglich sorge dafür, dass der hohe Workload abnimmt. Ist dieser dauerhaft zu hoch, stelle eine neue Arbeitskraft ein oder lagere Aufgaben aus, um deine Mitarbeiter zu entlasten.</w:t>
      </w:r>
    </w:p>
    <w:p>
      <w:pPr>
        <w:pStyle w:val="para40"/>
        <w:numPr>
          <w:ilvl w:val="0"/>
          <w:numId w:val="58"/>
        </w:numPr>
        <w:ind w:left="454" w:hanging="284"/>
      </w:pPr>
      <w:r>
        <w:t>Richte den Büroarbeitsplatz ergonomisch ein, so wird Muskel- und Skeletterkrankungen vorgebeugt.</w:t>
      </w:r>
    </w:p>
    <w:p>
      <w:pPr>
        <w:pStyle w:val="para40"/>
        <w:numPr>
          <w:ilvl w:val="0"/>
          <w:numId w:val="58"/>
        </w:numPr>
        <w:ind w:left="454" w:hanging="284"/>
      </w:pPr>
      <w:r>
        <w:t>Biete deinen Mitarbeiterinnen Workshops zum Thema Resilienz, damit sie lernen, richtig mit Stress umzugehen.</w:t>
      </w:r>
    </w:p>
    <w:p>
      <w:pPr>
        <w:pStyle w:val="para40"/>
        <w:numPr>
          <w:ilvl w:val="0"/>
          <w:numId w:val="58"/>
        </w:numPr>
        <w:ind w:left="454" w:hanging="284"/>
      </w:pPr>
      <w:r>
        <w:br w:type="column"/>
      </w:r>
      <w:r>
        <w:t>Sorge für ausreichend Pausen. Oftmals sind Mitarbeiter so in ihrem Tun gefangen, dass die kleinen Pausen hinten runterfallen. Frage doch einfach ganz unverbindlich, wer kurz einen Kaffeetrinken gehen möchte. Wenn dein Team remote arbeitet, trefft euch zu kurzen Kaffeepausen virtuell.</w:t>
      </w:r>
    </w:p>
    <w:p>
      <w:pPr>
        <w:pStyle w:val="para40"/>
        <w:numPr>
          <w:ilvl w:val="0"/>
          <w:numId w:val="58"/>
        </w:numPr>
        <w:ind w:left="454" w:hanging="284"/>
      </w:pPr>
      <w:r>
        <w:t>Sprich Krisen im Team offen an und finde mit den Beteiligten gemeinsam eine Lösung.</w:t>
      </w:r>
    </w:p>
    <w:p>
      <w:r>
        <w:t>Je schneller du bei häufigen Fehlzeiten gegensteuerst, umso besser. Denn deine Mitarbeiterinnen sind der Schlüssel zum Erfolg. Darum gehört es auch zu deinen Aufgaben als Führungskraft, für einen gesunden Arbeitsplatz und ein gutes Klima im Team zu sorgen.</w:t>
      </w:r>
    </w:p>
    <w:p>
      <w:pPr>
        <w:pStyle w:val="para3"/>
        <w:numPr>
          <w:ilvl w:val="2"/>
          <w:numId w:val="42"/>
        </w:numPr>
        <w:ind w:left="737" w:hanging="737"/>
      </w:pPr>
      <w:bookmarkStart w:id="201" w:name="_TOC001236"/>
      <w:r>
        <w:t>Präsentismus kritisch hinterfragen</w:t>
      </w:r>
      <w:bookmarkEnd w:id="201"/>
      <w:r/>
    </w:p>
    <w:p>
      <w:r>
        <w:t>Es gibt sie – die Mitarbeiter, die trotz akuter Erkrankung bei der Arbeit erscheinen. Dabei steckt die Angst dahinter, der erste zu sein, der bei Abbaumaßnahmen gehen muss, wenn er zu viel krank war. Oder aber, es ist ein stark ausgeprägtes Pflichtbewusstsein, dass Mitarbeiterinnen dazu bewegt, krank bei der Arbeit aufzutauchen. Sie wollen ihre Kollegen und die Firma nicht im Stich lassen.</w:t>
      </w:r>
    </w:p>
    <w:p>
      <w:r>
        <w:t>Das Unternehmen hat gegenüber seinen Mitarbeitern allerdings eine Fürsorgepflicht. Erkennst du als Führungskraft, dass es einem Mitarbeiter zu schlecht geht, um zu arbeiten, oder dass er eine Ansteckungsquelle für andere Mitarbeiterinnen ist, dann darfst du ihn nach Hause schicken. Wichtig ist, dass eine Krankheit auskuriert wird, denn weder der Mitarbeiter noch das Unternehmen haben etwas davon, wenn sich der Genesungsprozess sonst lange hinzieht. Denn auch die Arbeitsleistung leidet darunter.</w:t>
      </w:r>
    </w:p>
    <w:p>
      <w:r/>
    </w:p>
    <w:p>
      <w:pPr>
        <w:pStyle w:val="para1"/>
        <w:numPr>
          <w:ilvl w:val="0"/>
          <w:numId w:val="42"/>
        </w:numPr>
        <w:ind w:left="432" w:hanging="432"/>
      </w:pPr>
      <w:r>
        <w:br w:type="page"/>
      </w:r>
      <w:bookmarkStart w:id="202" w:name="_TOC001237"/>
      <w:r>
        <w:t>Mitarbeitergespräche</w:t>
      </w:r>
      <w:bookmarkEnd w:id="202"/>
      <w:r/>
    </w:p>
    <w:p>
      <w:pPr>
        <w:pStyle w:val="para2"/>
        <w:numPr>
          <w:ilvl w:val="1"/>
          <w:numId w:val="42"/>
        </w:numPr>
        <w:ind w:left="578" w:hanging="578"/>
      </w:pPr>
      <w:bookmarkStart w:id="203" w:name="_TOC000624"/>
      <w:r/>
      <w:bookmarkEnd w:id="203"/>
      <w:r/>
      <w:bookmarkStart w:id="204" w:name="_TOC002148"/>
      <w:r>
        <w:t>Mitarbeiterjahresgespräch</w:t>
      </w:r>
      <w:bookmarkEnd w:id="204"/>
      <w:r/>
    </w:p>
    <w:p>
      <w:r>
        <w:t>Um die Führungsinstrumente Zielvereinbarung, Leistungsbeurteilung und Mitarbeiterentwicklung bzw. -förderung zu vereinen, haben viele Unternehmen ein jährliches Personalgespräch etabliert, das oft unter der Bezeichnung 'Mitarbeiterjahresgespräch' firmiert. Der größte Vorzug dieser Art des institutionalisierten Mitarbeitergesprächs liegt darin, die wichtigsten Aspekte der Personalführung zusammenhängend besprechen zu können. Oftmals ist das Mitarbeiterjahresgespräch als Maßnahme der Personalentwicklung in Managementkonzepte wie z.B. Balanced Scorecard eingebunden. Es dient als Kooperationsgrundlage zwischen Führungskraft und Mitarbeiter und stellt Motivation, Erfolge sowie notwendige Veränderungsprozesse in den Mittelpunkt.</w:t>
      </w:r>
    </w:p>
    <w:p>
      <w:r>
        <w:t>Mitarbeiterjahresgespräche werden in aller Regel von der Organisation vorstrukturiert, indem sie den Beteiligten schriftliche Hilfsmittel zur Verfügung stellt. Dazu zählen neben Bogen zur Vorbereitung des Gesprächs, die sowohl die Führungskraft als auch der Mitarbeiter erhalten, ein Leitfaden zur Strukturierung des Gesprächsablaufs sowie ein Formular, in dem das Gespräch dokumentiert wird und das beide Gesprächspartner abschließend unterschreiben.</w:t>
      </w:r>
    </w:p>
    <w:p>
      <w:r>
        <w:t>Der Zeitbedarf für die Durchführung dieses sehr umfassenden Gesprächs liegt erfahrungsgemäß bei eineinhalb bis zwei Stunden pro Beschäftigtem. In gleichem Maße ist auch die Vorbereitung eines Mitarbeiterjahresgespräches für beide Seiten recht zeitintensiv. Es empfiehlt sich daher, die Gespräche frühzeitig zu terminieren und rechtzeitig mit der Vorbereitung aller drei oben genannten Aspekte zu beginnen.</w:t>
      </w:r>
    </w:p>
    <w:p>
      <w:r>
        <w:t>Um das Gespräch inhaltlich zu gliedern, werden meist mehrere Schritte definiert und in eine sinnvolle Abfolge gebracht; im Bedarfsfall kann die Reihenfolge an den Gesprächsverlauf angepasst werden:</w:t>
      </w:r>
    </w:p>
    <w:p>
      <w:r>
        <w:t>Im ersten großen Gesprächsabschnitt geht es darum, das vergangene Jahr Revue passieren zu lassen. Hierbei wird auf der Basis der Dokumentation des Vorjahresgesprächs Bilanz über Aufgaben, Zielerreichung und Arbeitsverhalten der vergangenen Periode gezogen. Bei neuen Beschäftigten, mit denen meist noch kein Mitarbeiterjahresgespräch stattfand, ist es sinnvoll, stattdessen die Einarbeitungs- und Integrationsphase zu besprechen.</w:t>
      </w:r>
    </w:p>
    <w:p>
      <w:r>
        <w:t xml:space="preserve">Der zweite Abschnitt widmet sich der Vorschau auf die kommende Arbeitsperiode. Ziel dieses Gesprächsteils ist es, die Zufriedenheit des Mitarbeiters mit seiner gegenwärtigen Tätigkeit zu überprüfen und seine Entwicklungsbedarfe und -wünsche herauszuarbeiten. Für den Mitarbeiter ist es so unter Umständen möglich, seine Verantwortungsspielräume zu vergrößern. In diesem Kontext erfolgt auch eine Potenzialeinschätzung durch die Führungskraft. Dann werden entsprechend Aufgaben, Ziele und Arbeitsverhalten für das Folgejahr festgelegt und die beruflichen oder persönlichen Zielsetzungen des Mitarbeiters durch das Vereinbaren konkreter Entwicklungsmaßnahmen unterstützt. </w:t>
      </w:r>
    </w:p>
    <w:p>
      <w:r>
        <w:t>In einem abschließenden Gesprächskomplex geben sich Führungskraft und Mitarbeiter gegenseitig ein Verhaltensfeedback, welches durch das Vereinbaren von Aktivitäten zur Verbesserung der gemeinsamen Zusammenarbeit abgerundet wird.</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pStyle w:val="para3"/>
        <w:numPr>
          <w:ilvl w:val="2"/>
          <w:numId w:val="42"/>
        </w:numPr>
        <w:ind w:left="737" w:hanging="737"/>
      </w:pPr>
      <w:r>
        <w:br w:type="page"/>
      </w:r>
      <w:bookmarkStart w:id="205" w:name="_TOC002149"/>
      <w:r>
        <w:t>Leitfäden und Formulare</w:t>
      </w:r>
      <w:bookmarkEnd w:id="205"/>
      <w:r/>
    </w:p>
    <w:p>
      <w:pPr>
        <w:pStyle w:val="para4"/>
        <w:numPr>
          <w:ilvl w:val="3"/>
          <w:numId w:val="42"/>
        </w:numPr>
        <w:ind w:left="864" w:hanging="864"/>
      </w:pPr>
      <w:bookmarkStart w:id="206" w:name="_TOC002150"/>
      <w:r>
        <w:t>Mitarbeiterjahresgespräch – Fragenliste zur Vorbereitung Vorgesetzter</w:t>
      </w:r>
      <w:bookmarkEnd w:id="206"/>
      <w:r/>
    </w:p>
    <w:tbl>
      <w:tblPr>
        <w:tblStyle w:val="TableNormal"/>
        <w:name w:val="Tabelle149"/>
        <w:tabOrder w:val="0"/>
        <w:jc w:val="left"/>
        <w:tblInd w:w="0" w:type="dxa"/>
        <w:tblW w:w="8787" w:type="dxa"/>
        <w:pPr>
          <w:spacing/>
          <w:jc w:val="left"/>
        </w:pPr>
        <w:tblLook w:val="0600" w:firstRow="0" w:lastRow="0" w:firstColumn="0" w:lastColumn="0" w:noHBand="1" w:noVBand="1"/>
      </w:tblPr>
      <w:tblGrid>
        <w:gridCol w:w="3534"/>
        <w:gridCol w:w="5228"/>
        <w:gridCol w:w="25"/>
      </w:tblGrid>
      <w:tr>
        <w:trPr>
          <w:tblHeader w:val="0"/>
          <w:cantSplit w:val="0"/>
          <w:trHeight w:val="508" w:hRule="atLeast"/>
        </w:trPr>
        <w:tc>
          <w:tcPr>
            <w:tcW w:w="8762" w:type="dxa"/>
            <w:gridSpan w:val="2"/>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A: Bilanz über Aufgaben, Zielerreichung und Arbeitsverhalten des vergangenen Jahres</w:t>
            </w:r>
          </w:p>
        </w:tc>
      </w:tr>
      <w:tr>
        <w:trPr>
          <w:tblHeader w:val="0"/>
          <w:cantSplit w:val="0"/>
          <w:trHeight w:val="0" w:hRule="auto"/>
        </w:trPr>
        <w:tc>
          <w:tcPr>
            <w:tcW w:w="3534"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3" w:type="dxa"/>
            <w:gridSpan w:val="2"/>
            <w:shd w:val="solid" w:color="E0EDCD" w:fill="auto" tmshd="256, 0, 13495776"/>
            <w:tcMar>
              <w:top w:w="0" w:type="dxa"/>
              <w:left w:w="108" w:type="dxa"/>
              <w:bottom w:w="0" w:type="dxa"/>
              <w:right w:w="108" w:type="dxa"/>
            </w:tcMar>
            <w:tcBorders>
              <w:top w:val="nil" w:sz="0" w:space="0" w:color="DBDEE1" tmln="2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Fördermaßnahmen wurden im letzten MJG vereinbart?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wurden sie durchgeführt? Wie ist ihr Erfolg zu bewerten?</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Für welche Tätigkeiten und Aufgaben hat der Mitarbeiter den Großteil seiner Zeit aufgewendet?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gab es besondere Veränderungen hinsichtlich der Arbeitssituation des Mitarbeiters?</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Ziele hatte ich mit dem Mitarbeiter im letzten Gespräch festgelegt?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Messgrößen hatten wir zur Zielüberprüfung definiert?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 welchem Maße wurden die Ziele erreicht, über- oder untererfüllt?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Stärken und Schwächen zeigte der Mitarbeiter generell bei der Umsetzung seiner Ergebnisse und Verhaltensaspekte?</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der vorgegebenen Beurteilungsdimensionen hat der Mitarbeiter gut erreicht?</w:t>
            </w:r>
          </w:p>
        </w:tc>
        <w:tc>
          <w:tcPr>
            <w:tcW w:w="5253"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bl>
    <w:p>
      <w:r/>
    </w:p>
    <w:tbl>
      <w:tblPr>
        <w:tblStyle w:val="TableNormal"/>
        <w:name w:val="Tabelle150"/>
        <w:tabOrder w:val="0"/>
        <w:jc w:val="left"/>
        <w:tblInd w:w="0" w:type="dxa"/>
        <w:tblW w:w="8787" w:type="dxa"/>
        <w:pPr>
          <w:spacing/>
          <w:jc w:val="left"/>
        </w:pPr>
        <w:tblLook w:val="0600" w:firstRow="0" w:lastRow="0" w:firstColumn="0" w:lastColumn="0" w:noHBand="1" w:noVBand="1"/>
      </w:tblPr>
      <w:tblGrid>
        <w:gridCol w:w="3537"/>
        <w:gridCol w:w="5227"/>
        <w:gridCol w:w="23"/>
      </w:tblGrid>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0" w:type="dxa"/>
            <w:gridSpan w:val="2"/>
            <w:shd w:val="solid" w:color="E0EDCD" w:fill="auto" tmshd="256, 0, 13495776"/>
            <w:tcMar>
              <w:top w:w="0" w:type="dxa"/>
              <w:left w:w="108" w:type="dxa"/>
              <w:bottom w:w="0" w:type="dxa"/>
              <w:right w:w="108" w:type="dxa"/>
            </w:tcMar>
            <w:tcBorders>
              <w:top w:val="single" w:sz="16" w:space="0" w:color="AECF7C" tmln="4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Bei welchen der Beurteilungsdimensionen sehe ich Defizite?</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Anhand welcher Beispiele und Beobachtungen kann ich meine Bewertung begründen?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Ursachen können für teilweise bzw. nicht erreichte Ergebnisse oder Verhaltensaspekte angeführt werden?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Mit welchen negativen Reaktionen und Gegenargumenten muss ich ggf. rechnen? </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nil" w:sz="0" w:space="0" w:color="DBDEE1" tmln="2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will ich in diesem Fall argumentieren?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508" w:hRule="atLeast"/>
        </w:trPr>
        <w:tc>
          <w:tcPr>
            <w:tcW w:w="8787" w:type="dxa"/>
            <w:gridSpan w:val="3"/>
            <w:shd w:val="solid" w:color="98B46C" w:fill="auto" tmshd="256, 0, 7124120"/>
            <w:tcMar>
              <w:top w:w="0" w:type="dxa"/>
              <w:left w:w="108" w:type="dxa"/>
              <w:bottom w:w="0" w:type="dxa"/>
              <w:right w:w="108" w:type="dxa"/>
            </w:tcMar>
            <w:tcBorders>
              <w:top w:val="nil" w:sz="0" w:space="0" w:color="DBDEE1" tmln="2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B: Aufgaben, Ziele und Arbeitsverhalten für das Folgejahr</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habe ich den Mitarbeiter bei der Erfüllung seiner Ergebnisse und Verhaltensaspekte unterstützt?</w:t>
            </w:r>
          </w:p>
        </w:tc>
        <w:tc>
          <w:tcPr>
            <w:tcW w:w="5250" w:type="dxa"/>
            <w:gridSpan w:val="2"/>
            <w:vAlign w:val="center"/>
            <w:shd w:val="none"/>
            <w:tcMar>
              <w:top w:w="0" w:type="dxa"/>
              <w:left w:w="108" w:type="dxa"/>
              <w:bottom w:w="0" w:type="dxa"/>
              <w:right w:w="108" w:type="dxa"/>
            </w:tcMar>
            <w:tcBorders>
              <w:top w:val="nil" w:sz="0" w:space="0" w:color="DBDEE1" tmln="2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Möglichkeiten zur Leistungssteigerung sehe ich bei dem Mitarbeiter?</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Ergebnisse und Verhaltensaspekte sollte er in seinem Aufgabengebiet künftig stärker verfolgen?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Verbesserungen durch organisatorische, strukturelle oder technische Änderungen möchte ich vorschlagen?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gibt es Aspekte, die für die kommende Periode zusätzlich wichtig werden?</w:t>
            </w:r>
          </w:p>
        </w:tc>
        <w:tc>
          <w:tcPr>
            <w:tcW w:w="5250"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2" w:space="0" w:color="262626" tmln="3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27" w:type="dxa"/>
            <w:shd w:val="solid" w:color="E0EDCD" w:fill="auto" tmshd="256, 0, 13495776"/>
            <w:tcMar>
              <w:top w:w="0" w:type="dxa"/>
              <w:left w:w="108" w:type="dxa"/>
              <w:bottom w:w="0" w:type="dxa"/>
              <w:right w:w="108" w:type="dxa"/>
            </w:tcMar>
            <w:tcBorders>
              <w:top w:val="single" w:sz="12" w:space="0" w:color="262626" tmln="3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hat sich das Arbeitsgebiet des Mitarbeiters entwickelt?</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Kenntnisse und Fähigkeiten sollte der Mitarbeiter hinzugewinnen, um die derzeitige Aufgabe besser erfüllen zu können?</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Durch welche Maßnahmen soll der Mitarbeiter in der kommenden Periode entwickelt oder gefördert werden?</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Entwicklungs- und Karriereperspektiven kann ich dem Mitarbeiter aufzeigen?</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Wo sehe ich die Hauptaufgabe des Mitarbeiters in der kommenden Vereinbarungsperiode? </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Ziele möchte ich dem Mitarbeiter setzen?</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Welche Kriterien zur Zielüberprüfung sind sinnvoll? </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nil" w:sz="0" w:space="0" w:color="DBDEE1" tmln="2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der Ziele fördern die Entwicklung des Mitarbeiters?</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508" w:hRule="atLeast"/>
        </w:trPr>
        <w:tc>
          <w:tcPr>
            <w:tcW w:w="8764" w:type="dxa"/>
            <w:gridSpan w:val="2"/>
            <w:shd w:val="solid" w:color="98B46C" w:fill="auto" tmshd="256, 0, 7124120"/>
            <w:tcMar>
              <w:top w:w="0" w:type="dxa"/>
              <w:left w:w="108" w:type="dxa"/>
              <w:bottom w:w="0" w:type="dxa"/>
              <w:right w:w="108" w:type="dxa"/>
            </w:tcMar>
            <w:tcBorders>
              <w:top w:val="single" w:sz="8" w:space="0" w:color="E0EDCD"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C: Austausch zu Führung und Zusammenarbeit</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empfinde ich die Zusammenarbeit mit dem Mitarbeiter?</w:t>
            </w:r>
          </w:p>
        </w:tc>
        <w:tc>
          <w:tcPr>
            <w:tcW w:w="522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Vorschläge zur Verbesserung der Zusammenarbeit möchte ich machen?</w:t>
            </w:r>
          </w:p>
        </w:tc>
        <w:tc>
          <w:tcPr>
            <w:tcW w:w="5227" w:type="dxa"/>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bl>
    <w:p>
      <w:pPr>
        <w:pStyle w:val="para4"/>
        <w:numPr>
          <w:ilvl w:val="3"/>
          <w:numId w:val="42"/>
        </w:numPr>
        <w:ind w:left="864" w:hanging="864"/>
      </w:pPr>
      <w:bookmarkStart w:id="207" w:name="_TOC002151"/>
      <w:r>
        <w:t>Mitarbeiterjahresgespräch – Fragenliste zur Vorbereitung Mitarbeiter</w:t>
      </w:r>
      <w:bookmarkEnd w:id="207"/>
      <w:r/>
    </w:p>
    <w:p>
      <w:r/>
    </w:p>
    <w:tbl>
      <w:tblPr>
        <w:tblStyle w:val="TableNormal"/>
        <w:name w:val="Tabelle151"/>
        <w:tabOrder w:val="0"/>
        <w:jc w:val="left"/>
        <w:tblInd w:w="0" w:type="dxa"/>
        <w:tblW w:w="8787" w:type="dxa"/>
        <w:pPr>
          <w:spacing/>
          <w:jc w:val="left"/>
        </w:pPr>
        <w:tblLook w:val="0600" w:firstRow="0" w:lastRow="0" w:firstColumn="0" w:lastColumn="0" w:noHBand="1" w:noVBand="1"/>
      </w:tblPr>
      <w:tblGrid>
        <w:gridCol w:w="3544"/>
        <w:gridCol w:w="5243"/>
      </w:tblGrid>
      <w:tr>
        <w:trPr>
          <w:tblHeader w:val="0"/>
          <w:cantSplit w:val="0"/>
          <w:trHeight w:val="508" w:hRule="atLeast"/>
        </w:trPr>
        <w:tc>
          <w:tcPr>
            <w:tcW w:w="8787" w:type="dxa"/>
            <w:gridSpan w:val="2"/>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A: Bilanz über Aufgaben, Zielerreichung und Arbeitsverhalten des vergangenen Jahres</w:t>
            </w:r>
          </w:p>
        </w:tc>
      </w:tr>
      <w:tr>
        <w:trPr>
          <w:tblHeader w:val="0"/>
          <w:cantSplit w:val="0"/>
          <w:trHeight w:val="0" w:hRule="auto"/>
        </w:trPr>
        <w:tc>
          <w:tcPr>
            <w:tcW w:w="3544"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43" w:type="dxa"/>
            <w:shd w:val="solid" w:color="E0EDCD" w:fill="auto" tmshd="256, 0, 13495776"/>
            <w:tcMar>
              <w:top w:w="0" w:type="dxa"/>
              <w:left w:w="108" w:type="dxa"/>
              <w:bottom w:w="0" w:type="dxa"/>
              <w:right w:w="108" w:type="dxa"/>
            </w:tcMar>
            <w:tcBorders>
              <w:top w:val="nil" w:sz="0" w:space="0" w:color="DBDEE1" tmln="2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Fördermaßnahmen wurden im letzten MJG vereinbart?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wurden sie durchgeführt? Wie würde ich ihren Erfolg bewerten?</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Für welche Tätigkeiten und Aufgaben habe ich den Großteil meiner Zeit aufgewendet?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gab es besondere Veränderungen hinsichtlich meiner Arbeitssituation?</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Ziele hatten wir im letzten Gespräch festgelegt?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Messgrößen waren zur Zielüberprüfung definiert?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 welchem Maße habe ich die Ziele erreicht, über- oder untererfüllt?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Ergebnisse und Verhaltensaspekte waren leicht zu erreichen, welche schwer?</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44"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der vorgegebenen Beurteilungsdimensionen habe ich gut erreicht?</w:t>
            </w:r>
          </w:p>
        </w:tc>
        <w:tc>
          <w:tcPr>
            <w:tcW w:w="5243"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bl>
    <w:p>
      <w:r/>
    </w:p>
    <w:p>
      <w:r/>
    </w:p>
    <w:tbl>
      <w:tblPr>
        <w:tblStyle w:val="TableNormal"/>
        <w:name w:val="Tabelle152"/>
        <w:tabOrder w:val="0"/>
        <w:jc w:val="left"/>
        <w:tblInd w:w="0" w:type="dxa"/>
        <w:tblW w:w="8787" w:type="dxa"/>
        <w:pPr>
          <w:spacing/>
          <w:jc w:val="left"/>
        </w:pPr>
        <w:tblLook w:val="0600" w:firstRow="0" w:lastRow="0" w:firstColumn="0" w:lastColumn="0" w:noHBand="1" w:noVBand="1"/>
      </w:tblPr>
      <w:tblGrid>
        <w:gridCol w:w="3537"/>
        <w:gridCol w:w="5250"/>
      </w:tblGrid>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0" w:type="dxa"/>
            <w:shd w:val="solid" w:color="E0EDCD" w:fill="auto" tmshd="256, 0, 13495776"/>
            <w:tcMar>
              <w:top w:w="0" w:type="dxa"/>
              <w:left w:w="108" w:type="dxa"/>
              <w:bottom w:w="0" w:type="dxa"/>
              <w:right w:w="108" w:type="dxa"/>
            </w:tcMar>
            <w:tcBorders>
              <w:top w:val="single" w:sz="16" w:space="0" w:color="AECF7C" tmln="4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Bei welchen der Beurteilungsdimensionen sehe ich Defizite?</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Anhand welcher Beispiele und Beobachtungen kann ich meine Bewertung begründen?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Ursachen können für teilweise bzw. nicht erreichte Ergebnisse oder Verhaltensaspekte angeführt werden?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Mit welchen negativen Reaktionen und Gegenargumenten muss ich ggf. rechnen? </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nil" w:sz="0" w:space="0" w:color="DBDEE1" tmln="2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will ich in diesem Fall argumentieren?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508" w:hRule="atLeast"/>
        </w:trPr>
        <w:tc>
          <w:tcPr>
            <w:tcW w:w="8787" w:type="dxa"/>
            <w:gridSpan w:val="2"/>
            <w:shd w:val="solid" w:color="98B46C" w:fill="auto" tmshd="256, 0, 7124120"/>
            <w:tcMar>
              <w:top w:w="0" w:type="dxa"/>
              <w:left w:w="108" w:type="dxa"/>
              <w:bottom w:w="0" w:type="dxa"/>
              <w:right w:w="108" w:type="dxa"/>
            </w:tcMar>
            <w:tcBorders>
              <w:top w:val="nil" w:sz="0" w:space="0" w:color="DBDEE1" tmln="2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B: Aufgaben, Ziele und Arbeitsverhalten für das Folgejahr</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zufrieden bin ich mit meinem gegenwärtigen Aufgabenbereich?</w:t>
            </w:r>
          </w:p>
        </w:tc>
        <w:tc>
          <w:tcPr>
            <w:tcW w:w="5250" w:type="dxa"/>
            <w:vAlign w:val="center"/>
            <w:shd w:val="none"/>
            <w:tcMar>
              <w:top w:w="0" w:type="dxa"/>
              <w:left w:w="108" w:type="dxa"/>
              <w:bottom w:w="0" w:type="dxa"/>
              <w:right w:w="108" w:type="dxa"/>
            </w:tcMar>
            <w:tcBorders>
              <w:top w:val="nil" w:sz="0" w:space="0" w:color="DBDEE1" tmln="2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hat mich mein Vorgesetzter bei der Erfüllung meiner Ergebnisse und Verhaltensaspekte unterstützt?</w:t>
            </w:r>
          </w:p>
        </w:tc>
        <w:tc>
          <w:tcPr>
            <w:tcW w:w="5250" w:type="dxa"/>
            <w:vAlign w:val="center"/>
            <w:shd w:val="none"/>
            <w:tcMar>
              <w:top w:w="0" w:type="dxa"/>
              <w:left w:w="108" w:type="dxa"/>
              <w:bottom w:w="0" w:type="dxa"/>
              <w:right w:w="108" w:type="dxa"/>
            </w:tcMar>
            <w:tcBorders>
              <w:top w:val="nil" w:sz="0" w:space="0" w:color="DBDEE1" tmln="2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Möglichkeiten zur Leistungssteigerung sehe ich mir selbst?</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Ergebnisse und Verhaltensaspekte möchte ich künftig stärker verfolgen?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Verbesserungen durch organisatorische, strukturelle oder technische Änderungen möchte ich vorschlagen?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2" w:space="0" w:color="262626" tmln="3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0" w:type="dxa"/>
            <w:shd w:val="solid" w:color="E0EDCD" w:fill="auto" tmshd="256, 0, 13495776"/>
            <w:tcMar>
              <w:top w:w="0" w:type="dxa"/>
              <w:left w:w="108" w:type="dxa"/>
              <w:bottom w:w="0" w:type="dxa"/>
              <w:right w:w="108" w:type="dxa"/>
            </w:tcMar>
            <w:tcBorders>
              <w:top w:val="single" w:sz="12" w:space="0" w:color="262626" tmln="3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hat sich mein Arbeitsgebiet entwickelt?</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Kenntnisse und Fähigkeiten möchte ich hinzugewinnen, um meine derzeitige Aufgabe besser erfüllen zu können?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Durch welche Maßnahmen möchte ich in der kommenden Periode entwickelt oder gefördert werden?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Entwicklungs- und Karriereperspektiven sehe ich für mich?</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Einsatzbereiche kommen für mich künftig noch in Frage?</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Ziele möchte ich in der kommenden Periode erreichen?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Welche Kriterien zur Zielüberprüfung sind sinnvoll? </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508" w:hRule="atLeast"/>
        </w:trPr>
        <w:tc>
          <w:tcPr>
            <w:tcW w:w="8787" w:type="dxa"/>
            <w:gridSpan w:val="2"/>
            <w:shd w:val="solid" w:color="98B46C" w:fill="auto" tmshd="256, 0, 7124120"/>
            <w:tcMar>
              <w:top w:w="0" w:type="dxa"/>
              <w:left w:w="108" w:type="dxa"/>
              <w:bottom w:w="0" w:type="dxa"/>
              <w:right w:w="108" w:type="dxa"/>
            </w:tcMar>
            <w:tcBorders>
              <w:top w:val="single" w:sz="12" w:space="0" w:color="262626" tmln="3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C: Austausch zu Führung und Zusammenarbeit</w:t>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empfinde ich die Zusammenarbeit mit meinem Vorgesetzten?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empfinde ich die Zusammenarbeit mit meinen Kollegen?</w:t>
            </w:r>
          </w:p>
        </w:tc>
        <w:tc>
          <w:tcPr>
            <w:tcW w:w="5250"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24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Vorschläge zur Verbesserung der Zusammenarbeit möchte ich machen?</w:t>
            </w:r>
          </w:p>
        </w:tc>
        <w:tc>
          <w:tcPr>
            <w:tcW w:w="5250" w:type="dxa"/>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bl>
    <w:p>
      <w:pPr>
        <w:pStyle w:val="para4"/>
        <w:numPr>
          <w:ilvl w:val="3"/>
          <w:numId w:val="42"/>
        </w:numPr>
        <w:ind w:left="864" w:hanging="864"/>
      </w:pPr>
      <w:bookmarkStart w:id="208" w:name="_TOC002152"/>
      <w:r>
        <w:t>Mitarbeiterjahresgespräch – Leitfaden zum Gesprächsablauf</w:t>
      </w:r>
      <w:bookmarkEnd w:id="208"/>
      <w:r/>
    </w:p>
    <w:p>
      <w:r/>
    </w:p>
    <w:tbl>
      <w:tblPr>
        <w:tblStyle w:val="TableNormal"/>
        <w:name w:val="Tabelle153"/>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1: Kontakt aufbauen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Freundlich.</w:t>
            </w:r>
          </w:p>
          <w:p>
            <w:pPr>
              <w:pStyle w:val="para40"/>
              <w:numPr>
                <w:ilvl w:val="0"/>
                <w:numId w:val="58"/>
              </w:numPr>
              <w:ind w:left="454" w:hanging="284"/>
              <w:spacing w:after="0"/>
            </w:pPr>
            <w:r>
              <w:t>Sitzplatz und Getränk anbieten.</w:t>
            </w:r>
          </w:p>
          <w:p>
            <w:pPr>
              <w:pStyle w:val="para40"/>
              <w:numPr>
                <w:ilvl w:val="0"/>
                <w:numId w:val="58"/>
              </w:numPr>
              <w:ind w:left="454" w:hanging="284"/>
              <w:spacing w:after="0"/>
            </w:pPr>
            <w:r>
              <w:t>Entspanntes Gesprächsklima schaffen durch eine lockere Einstiegsfrage.</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2: Rahmenbedingungen festlegen</w:t>
            </w:r>
          </w:p>
        </w:tc>
      </w:tr>
      <w:tr>
        <w:trPr>
          <w:tblHeader w:val="0"/>
          <w:cantSplit w:val="0"/>
          <w:trHeight w:val="1344"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Gesprächsinhalte und -ziele erläutern.</w:t>
            </w:r>
          </w:p>
          <w:p>
            <w:pPr>
              <w:pStyle w:val="para40"/>
              <w:numPr>
                <w:ilvl w:val="0"/>
                <w:numId w:val="58"/>
              </w:numPr>
              <w:ind w:left="454" w:hanging="284"/>
              <w:spacing w:after="0"/>
            </w:pPr>
            <w:r>
              <w:t>Auf den Grad der Vertraulichkeit hinweisen.</w:t>
            </w:r>
          </w:p>
          <w:p>
            <w:pPr>
              <w:pStyle w:val="para40"/>
              <w:numPr>
                <w:ilvl w:val="0"/>
                <w:numId w:val="58"/>
              </w:numPr>
              <w:ind w:left="454" w:hanging="284"/>
              <w:spacing w:after="0"/>
            </w:pPr>
            <w:r>
              <w:t>Vorgehensweise vereinbaren.</w:t>
            </w:r>
          </w:p>
          <w:p>
            <w:pPr>
              <w:pStyle w:val="para40"/>
              <w:numPr>
                <w:ilvl w:val="0"/>
                <w:numId w:val="58"/>
              </w:numPr>
              <w:ind w:left="454" w:hanging="284"/>
              <w:spacing w:after="0"/>
            </w:pPr>
            <w:r>
              <w:t>Zeitrahmen festsetzen: erfahrungsgemäß 1,5-2 Stunden.</w:t>
            </w:r>
          </w:p>
        </w:tc>
      </w:tr>
      <w:tr>
        <w:trPr>
          <w:tblHeader w:val="0"/>
          <w:cantSplit w:val="0"/>
          <w:trHeight w:val="508" w:hRule="atLeast"/>
        </w:trPr>
        <w:tc>
          <w:tcPr>
            <w:tcW w:w="8787" w:type="dxa"/>
            <w:vAlign w:val="center"/>
            <w:shd w:val="solid" w:color="98B46C" w:fill="auto" tmshd="256, 0, 7124120"/>
            <w:tcMar>
              <w:top w:w="0" w:type="dxa"/>
              <w:left w:w="108" w:type="dxa"/>
              <w:bottom w:w="0" w:type="dxa"/>
              <w:right w:w="108" w:type="dxa"/>
            </w:tcMar>
            <w:tcBorders>
              <w:top w:val="nil" w:sz="0" w:space="0" w:color="DBDEE1" tmln="2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A: Bilanz über Aufgaben, Zielerreichung und Arbeitsverhalten des vergangenen Jahres</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3: Fördermaßnahmen, Tätigkeitsschwerpunkte, Arbeitssituation beschreiben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Mit dem Mitarbeiter besprechen, inwiefern die Fördermaßnahmen, die im vergangenen MJG getroffen wurden, umgesetzt wurden und erfolgreich waren.</w:t>
            </w:r>
          </w:p>
          <w:p>
            <w:pPr>
              <w:pStyle w:val="para40"/>
              <w:numPr>
                <w:ilvl w:val="0"/>
                <w:numId w:val="58"/>
              </w:numPr>
              <w:ind w:left="454" w:hanging="284"/>
              <w:spacing w:after="0"/>
            </w:pPr>
            <w:r>
              <w:t>Gemeinsam die Hauptaufgaben und Kerntätigkeiten des Mitarbeiters herausarbeiten und beschreiben.</w:t>
            </w:r>
          </w:p>
          <w:p>
            <w:pPr>
              <w:pStyle w:val="para40"/>
              <w:numPr>
                <w:ilvl w:val="0"/>
                <w:numId w:val="58"/>
              </w:numPr>
              <w:ind w:left="454" w:hanging="284"/>
              <w:spacing w:after="0"/>
            </w:pPr>
            <w:r>
              <w:t>Besondere Veränderungen hinsichtlich der Arbeitssituation erheben.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4: Zielerreichung überprüfen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Ziele der vergangenen Vereinbarungsperiode kurz wiederholen.</w:t>
            </w:r>
          </w:p>
          <w:p>
            <w:pPr>
              <w:pStyle w:val="para40"/>
              <w:numPr>
                <w:ilvl w:val="0"/>
                <w:numId w:val="58"/>
              </w:numPr>
              <w:ind w:left="454" w:hanging="284"/>
              <w:spacing w:after="0"/>
            </w:pPr>
            <w:r>
              <w:t>Den Mitarbeiter den Grad seiner Zielerreichung zunächst selbst einschätzen lassen.</w:t>
            </w:r>
          </w:p>
          <w:p>
            <w:pPr>
              <w:pStyle w:val="para40"/>
              <w:numPr>
                <w:ilvl w:val="0"/>
                <w:numId w:val="58"/>
              </w:numPr>
              <w:ind w:left="454" w:hanging="284"/>
              <w:spacing w:after="0"/>
            </w:pPr>
            <w:r>
              <w:t>Den Zielerreichungsgrad aus Sicht der Führungskraft pro Einzelziel beurteilen.</w:t>
            </w:r>
          </w:p>
          <w:p>
            <w:pPr>
              <w:pStyle w:val="para40"/>
              <w:numPr>
                <w:ilvl w:val="0"/>
                <w:numId w:val="58"/>
              </w:numPr>
              <w:ind w:left="454" w:hanging="284"/>
              <w:spacing w:after="0"/>
            </w:pPr>
            <w:r>
              <w:t>Gründe für ggf. untererfüllte Zielerreichung gemeinsam analysieren und Maßnahmen zur Optimierung erarbeiten.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5: Selbstbeurteilung des Mitarbeiters im Hinblick auf Leistung und Arbeitsverhalten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Den Mitarbeiter bitten, auf Grundlage seiner Vorbereitung die wichtigsten Aspekte seiner Selbsteinschätzung zu erläutern.</w:t>
            </w:r>
          </w:p>
          <w:p>
            <w:pPr>
              <w:pStyle w:val="para40"/>
              <w:numPr>
                <w:ilvl w:val="0"/>
                <w:numId w:val="58"/>
              </w:numPr>
              <w:ind w:left="454" w:hanging="284"/>
              <w:spacing w:after="0"/>
            </w:pPr>
            <w:r>
              <w:t xml:space="preserve">Genau zuhören, ihn möglichst nicht unterbrechen und sich Notizen machen. </w:t>
            </w:r>
          </w:p>
          <w:p>
            <w:pPr>
              <w:pStyle w:val="para40"/>
              <w:numPr>
                <w:ilvl w:val="0"/>
                <w:numId w:val="58"/>
              </w:numPr>
              <w:ind w:left="454" w:hanging="284"/>
              <w:spacing w:after="0"/>
            </w:pPr>
            <w:r>
              <w:t>Ggf. Fragen stellen, die ihm bei seinen Ausführungen weiterhelfen.</w:t>
            </w:r>
          </w:p>
        </w:tc>
      </w:tr>
    </w:tbl>
    <w:p>
      <w:r/>
    </w:p>
    <w:p>
      <w:r/>
    </w:p>
    <w:p>
      <w:r>
        <w:br w:type="page"/>
      </w:r>
    </w:p>
    <w:tbl>
      <w:tblPr>
        <w:tblStyle w:val="TableNormal"/>
        <w:name w:val="Tabelle154"/>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08" w:hRule="atLeast"/>
        </w:trPr>
        <w:tc>
          <w:tcPr>
            <w:tcW w:w="8787" w:type="dxa"/>
            <w:vAlign w:val="center"/>
            <w:shd w:val="solid" w:color="E0EDCD" w:fill="auto" tmshd="256, 0, 13495776"/>
            <w:tcMar>
              <w:top w:w="113" w:type="dxa"/>
              <w:left w:w="108" w:type="dxa"/>
              <w:bottom w:w="113"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6: Vorgesetztenbeurteilung des Mitarbeiters im Hinblick auf Leistung und</w:t>
            </w:r>
          </w:p>
          <w:p>
            <w:pPr>
              <w:ind w:left="459" w:firstLine="567"/>
              <w:spacing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 xml:space="preserve"> Arbeitsverhalten</w:t>
            </w:r>
            <w:r>
              <w:rPr>
                <w:rFonts w:ascii="Arial" w:hAnsi="Arial" w:eastAsia="Cambria" w:cs="Arial"/>
                <w:sz w:val="20"/>
                <w:szCs w:val="20"/>
              </w:rPr>
            </w:r>
          </w:p>
        </w:tc>
      </w:tr>
      <w:tr>
        <w:trPr>
          <w:tblHeader w:val="0"/>
          <w:cantSplit w:val="0"/>
          <w:trHeight w:val="1670" w:hRule="atLeast"/>
        </w:trPr>
        <w:tc>
          <w:tcPr>
            <w:tcW w:w="8787" w:type="dxa"/>
            <w:shd w:val="none"/>
            <w:tcMar>
              <w:top w:w="113" w:type="dxa"/>
              <w:left w:w="108" w:type="dxa"/>
              <w:bottom w:w="113"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Die eigene Sichtweise darstellen, indem der Selbsteinschätzung des Mitarbeiters zugestimmt oder widersprochen wird.</w:t>
            </w:r>
          </w:p>
          <w:p>
            <w:pPr>
              <w:pStyle w:val="para40"/>
              <w:numPr>
                <w:ilvl w:val="0"/>
                <w:numId w:val="58"/>
              </w:numPr>
              <w:ind w:left="454" w:hanging="284"/>
              <w:spacing w:after="0"/>
            </w:pPr>
            <w:r>
              <w:t>Mit einem allgemeinen Eindruck beginnen und anschließend die einzelnen Aspekte genauer beleuchten.</w:t>
            </w:r>
          </w:p>
          <w:p>
            <w:pPr>
              <w:pStyle w:val="para40"/>
              <w:numPr>
                <w:ilvl w:val="0"/>
                <w:numId w:val="58"/>
              </w:numPr>
              <w:ind w:left="454" w:hanging="284"/>
              <w:spacing w:after="0"/>
            </w:pPr>
            <w:r>
              <w:t>Die Beurteilung anhand von Fakten begründen und mittels konkreter Beispiele erläutern.</w:t>
            </w:r>
          </w:p>
          <w:p>
            <w:pPr>
              <w:pStyle w:val="para40"/>
              <w:numPr>
                <w:ilvl w:val="0"/>
                <w:numId w:val="58"/>
              </w:numPr>
              <w:ind w:left="454" w:hanging="284"/>
              <w:spacing w:after="0"/>
            </w:pPr>
            <w:r>
              <w:t>Die Rückmeldung mit positiven Aspekten beginnen und beenden.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7: Reflexion und ggf. Abweichungsanalyse</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Dem Mitarbeiter Gelegenheit geben, auf die Beurteilung zu reagieren und seine Emotionen zu zeigen.</w:t>
            </w:r>
          </w:p>
          <w:p>
            <w:pPr>
              <w:pStyle w:val="para40"/>
              <w:numPr>
                <w:ilvl w:val="0"/>
                <w:numId w:val="58"/>
              </w:numPr>
              <w:ind w:left="454" w:hanging="284"/>
              <w:spacing w:after="0"/>
            </w:pPr>
            <w:r>
              <w:t>Übereinstimmende und abweichende Aspekte herausarbeiten.</w:t>
            </w:r>
          </w:p>
          <w:p>
            <w:pPr>
              <w:pStyle w:val="para40"/>
              <w:numPr>
                <w:ilvl w:val="0"/>
                <w:numId w:val="58"/>
              </w:numPr>
              <w:ind w:left="454" w:hanging="284"/>
              <w:spacing w:after="0"/>
            </w:pPr>
            <w:r>
              <w:t>Gemeinsam im Dialog nach Ursachen für aktuelle Schwierigkeiten oder Schwächen suchen und Verbesserungsvorschläge entwickeln.</w:t>
            </w:r>
          </w:p>
          <w:p>
            <w:pPr>
              <w:pStyle w:val="para40"/>
              <w:numPr>
                <w:ilvl w:val="0"/>
                <w:numId w:val="58"/>
              </w:numPr>
              <w:ind w:left="454" w:hanging="284"/>
              <w:spacing w:after="0"/>
            </w:pPr>
            <w:r>
              <w:t xml:space="preserve">Konkrete Vereinbarungen treffen hinsichtlich einer Leistungsoptimierung oder einer Änderung des Arbeitsverhaltens. </w:t>
            </w:r>
          </w:p>
          <w:p>
            <w:pPr>
              <w:pStyle w:val="para40"/>
              <w:numPr>
                <w:ilvl w:val="0"/>
                <w:numId w:val="58"/>
              </w:numPr>
              <w:ind w:left="454" w:hanging="284"/>
              <w:spacing w:after="0"/>
            </w:pPr>
            <w:r>
              <w:t>Festlegung der (Gesamt)beurteilung der vergangenen Periode.</w:t>
            </w:r>
          </w:p>
        </w:tc>
      </w:tr>
      <w:tr>
        <w:trPr>
          <w:tblHeader w:val="0"/>
          <w:cantSplit w:val="0"/>
          <w:trHeight w:val="508" w:hRule="atLeast"/>
        </w:trPr>
        <w:tc>
          <w:tcPr>
            <w:tcW w:w="8787" w:type="dxa"/>
            <w:shd w:val="solid" w:color="98B46C" w:fill="auto" tmshd="256, 0, 7124120"/>
            <w:tcMar>
              <w:top w:w="0" w:type="dxa"/>
              <w:left w:w="108" w:type="dxa"/>
              <w:bottom w:w="0" w:type="dxa"/>
              <w:right w:w="108" w:type="dxa"/>
            </w:tcMar>
            <w:tcBorders>
              <w:top w:val="nil" w:sz="0" w:space="0" w:color="DBDEE1" tmln="2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B: Aufgaben, Ziele und Arbeitsverhalten für das Folgejahr</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000000" tmln="20, 20, 20, 0, 0"/>
              <w:left w:val="single" w:sz="16" w:space="0" w:color="AECF7C" tmln="4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8: Zufriedenheit, Potenzial und Entwicklungsziele einschätzen</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000000" tmln="10, 20, 20, 0, 0"/>
              <w:left w:val="single" w:sz="16" w:space="0" w:color="AECF7C" tmln="4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Den Mitarbeiter nach seiner Zufriedenheit mit dem gegenwärtigen Aufgabenbereich fragen.</w:t>
            </w:r>
          </w:p>
          <w:p>
            <w:pPr>
              <w:pStyle w:val="para40"/>
              <w:numPr>
                <w:ilvl w:val="0"/>
                <w:numId w:val="58"/>
              </w:numPr>
              <w:ind w:left="454" w:hanging="284"/>
              <w:spacing w:after="0"/>
            </w:pPr>
            <w:r>
              <w:t>Den Mitarbeiter skizzieren lassen, in welcher Hinsicht er sich fachlich oder persönlich weiterentwickeln möchte.</w:t>
            </w:r>
          </w:p>
          <w:p>
            <w:pPr>
              <w:pStyle w:val="para40"/>
              <w:numPr>
                <w:ilvl w:val="0"/>
                <w:numId w:val="58"/>
              </w:numPr>
              <w:ind w:left="454" w:hanging="284"/>
              <w:spacing w:after="0"/>
            </w:pPr>
            <w:r>
              <w:t>Die Entwicklungsmöglichkeiten und Perspektiven aus Sicht der Führungskraft beschreiben.</w:t>
            </w:r>
          </w:p>
          <w:p>
            <w:pPr>
              <w:pStyle w:val="para40"/>
              <w:numPr>
                <w:ilvl w:val="0"/>
                <w:numId w:val="58"/>
              </w:numPr>
              <w:ind w:left="454" w:hanging="284"/>
              <w:spacing w:after="0"/>
            </w:pPr>
            <w:r>
              <w:t>Potenzialeinschätzung durch die Führungskraft geben.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000000" tmln="10, 20, 20, 0, 0"/>
              <w:left w:val="single" w:sz="16" w:space="0" w:color="AECF7C" tmln="4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9: Konkrete Vereinbarungen für das kommenden Jahr</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000000"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Konkrete Absprachen zu den zukünftigen Hauptaufgaben und Tätigkeitsschwerpunkten treffen.</w:t>
            </w:r>
          </w:p>
          <w:p>
            <w:pPr>
              <w:pStyle w:val="para40"/>
              <w:numPr>
                <w:ilvl w:val="0"/>
                <w:numId w:val="58"/>
              </w:numPr>
              <w:ind w:left="454" w:hanging="284"/>
              <w:spacing w:after="0"/>
            </w:pPr>
            <w:r>
              <w:t>Gemeinsam die Ziele für das kommende Jahr festlegen.</w:t>
            </w:r>
          </w:p>
          <w:p>
            <w:pPr>
              <w:pStyle w:val="para40"/>
              <w:numPr>
                <w:ilvl w:val="0"/>
                <w:numId w:val="58"/>
              </w:numPr>
              <w:ind w:left="454" w:hanging="284"/>
              <w:spacing w:after="0"/>
            </w:pPr>
            <w:r>
              <w:t>Entwicklungs- bzw. Fördermaßnahmen definieren: Art, Zeitraum, Voraussetzungen, Rahmenbedingungen etc.</w:t>
            </w:r>
          </w:p>
        </w:tc>
      </w:tr>
    </w:tbl>
    <w:p>
      <w:r/>
    </w:p>
    <w:p>
      <w:r/>
    </w:p>
    <w:p>
      <w:r>
        <w:br w:type="page"/>
      </w:r>
    </w:p>
    <w:tbl>
      <w:tblPr>
        <w:tblStyle w:val="TableNormal"/>
        <w:name w:val="Tabelle155"/>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08" w:hRule="atLeast"/>
        </w:trPr>
        <w:tc>
          <w:tcPr>
            <w:tcW w:w="8787" w:type="dxa"/>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left="357" w:hanging="181"/>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C: Austausch zu Führung und Zusammenarbeit</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10: Verhaltensfeedback empfangen und geben</w:t>
            </w:r>
            <w:r>
              <w:rPr>
                <w:rFonts w:ascii="Arial" w:hAnsi="Arial" w:eastAsia="Cambria" w:cs="Arial"/>
                <w:sz w:val="20"/>
                <w:szCs w:val="20"/>
              </w:rPr>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Den Mitarbeiter darstellen lassen, wie Führung und Zusammenarbeit mit dem Vorgesetzten einerseits sowie die Kooperation mit den Kollegen andererseits empfunden werden.</w:t>
            </w:r>
          </w:p>
          <w:p>
            <w:pPr>
              <w:pStyle w:val="para40"/>
              <w:numPr>
                <w:ilvl w:val="0"/>
                <w:numId w:val="58"/>
              </w:numPr>
              <w:ind w:left="454" w:hanging="284"/>
              <w:spacing w:after="0"/>
            </w:pPr>
            <w:r>
              <w:t>Aus Sicht der Führungskraft Rückmeldung zur Zusammenarbeit geben.</w:t>
            </w:r>
          </w:p>
          <w:p>
            <w:pPr>
              <w:pStyle w:val="para40"/>
              <w:numPr>
                <w:ilvl w:val="0"/>
                <w:numId w:val="58"/>
              </w:numPr>
              <w:ind w:left="454" w:hanging="284"/>
              <w:spacing w:after="0"/>
            </w:pPr>
            <w:r>
              <w:t>Ggf. gemeinsam nach Verbesserungsmöglichkeiten suchen.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11: Ergebnisse zusammenfassen und schriftlich vereinbaren</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Offene Fragen klären.</w:t>
            </w:r>
          </w:p>
          <w:p>
            <w:pPr>
              <w:pStyle w:val="para40"/>
              <w:numPr>
                <w:ilvl w:val="0"/>
                <w:numId w:val="58"/>
              </w:numPr>
              <w:ind w:left="454" w:hanging="284"/>
              <w:spacing w:after="0"/>
            </w:pPr>
            <w:r>
              <w:t>Den Gesprächsdokumentationsbogen entsprechend den besprochenen Inhalten ausfüllen und vereinbarte Entwicklungsmaßnahmen fixieren.</w:t>
            </w:r>
          </w:p>
          <w:p>
            <w:pPr>
              <w:pStyle w:val="para40"/>
              <w:numPr>
                <w:ilvl w:val="0"/>
                <w:numId w:val="58"/>
              </w:numPr>
              <w:ind w:left="454" w:hanging="284"/>
              <w:spacing w:after="0"/>
            </w:pPr>
            <w:r>
              <w:t>Durch Unterschrift von beiden Seiten bestätigen.</w:t>
            </w:r>
          </w:p>
          <w:p>
            <w:pPr>
              <w:pStyle w:val="para40"/>
              <w:numPr>
                <w:ilvl w:val="0"/>
                <w:numId w:val="58"/>
              </w:numPr>
              <w:ind w:left="454" w:hanging="284"/>
              <w:spacing w:after="0"/>
            </w:pPr>
            <w:r>
              <w:t>Ausblick auf die nächsten Schritte geben.</w:t>
            </w:r>
          </w:p>
          <w:p>
            <w:pPr>
              <w:pStyle w:val="para40"/>
              <w:numPr>
                <w:ilvl w:val="0"/>
                <w:numId w:val="58"/>
              </w:numPr>
              <w:ind w:left="454" w:hanging="284"/>
              <w:spacing w:after="0"/>
            </w:pPr>
            <w:r>
              <w:t>Dem Mitarbeiter Unterstützung zusichern.</w:t>
            </w:r>
          </w:p>
          <w:p>
            <w:pPr>
              <w:pStyle w:val="para40"/>
              <w:numPr>
                <w:ilvl w:val="0"/>
                <w:numId w:val="58"/>
              </w:numPr>
              <w:ind w:left="454" w:hanging="284"/>
              <w:spacing w:after="0"/>
            </w:pPr>
            <w:r>
              <w:t>Termin für ein Zwischengespräch zur Überprüfung der Fortschritte des Mitarbeiters vereinbaren.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176"/>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12: Gespräch positiv beenden</w:t>
            </w:r>
            <w:r>
              <w:rPr>
                <w:rFonts w:ascii="Arial" w:hAnsi="Arial" w:eastAsia="Cambria" w:cs="Arial"/>
                <w:sz w:val="20"/>
                <w:szCs w:val="20"/>
              </w:rPr>
            </w:r>
          </w:p>
        </w:tc>
      </w:tr>
      <w:tr>
        <w:trPr>
          <w:tblHeader w:val="0"/>
          <w:cantSplit w:val="0"/>
          <w:trHeight w:val="283"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Bedeutung der Gesprächsergebnisse würdigen.</w:t>
            </w:r>
          </w:p>
          <w:p>
            <w:pPr>
              <w:pStyle w:val="para40"/>
              <w:numPr>
                <w:ilvl w:val="0"/>
                <w:numId w:val="58"/>
              </w:numPr>
              <w:ind w:left="454" w:hanging="284"/>
              <w:spacing w:after="0"/>
            </w:pPr>
            <w:r>
              <w:t>Für die aufgewendete Zeit und die konstruktiven Beiträge danken.</w:t>
            </w:r>
          </w:p>
          <w:p>
            <w:pPr>
              <w:pStyle w:val="para40"/>
              <w:numPr>
                <w:ilvl w:val="0"/>
                <w:numId w:val="58"/>
              </w:numPr>
              <w:ind w:left="454" w:hanging="284"/>
              <w:spacing w:after="0"/>
            </w:pPr>
            <w:r>
              <w:t>Verabschieden.</w:t>
            </w:r>
          </w:p>
        </w:tc>
      </w:tr>
    </w:tbl>
    <w:p>
      <w:r/>
    </w:p>
    <w:p>
      <w:pPr>
        <w:pStyle w:val="para4"/>
        <w:numPr>
          <w:ilvl w:val="3"/>
          <w:numId w:val="42"/>
        </w:numPr>
        <w:ind w:left="864" w:hanging="864"/>
      </w:pPr>
      <w:r>
        <w:br w:type="page"/>
      </w:r>
      <w:bookmarkStart w:id="209" w:name="_TOC002153"/>
      <w:r>
        <w:t>Mitarbeiterjahresgespräch – Gesprächsdokumentationsbogen</w:t>
      </w:r>
      <w:bookmarkEnd w:id="209"/>
      <w:r/>
    </w:p>
    <w:tbl>
      <w:tblPr>
        <w:tblStyle w:val="TableNormal"/>
        <w:name w:val="Tabelle156"/>
        <w:tabOrder w:val="0"/>
        <w:jc w:val="left"/>
        <w:tblInd w:w="0" w:type="dxa"/>
        <w:tblW w:w="8775" w:type="dxa"/>
        <w:pPr>
          <w:spacing/>
          <w:jc w:val="left"/>
        </w:pPr>
        <w:tblLook w:val="0600" w:firstRow="0" w:lastRow="0" w:firstColumn="0" w:lastColumn="0" w:noHBand="1" w:noVBand="1"/>
      </w:tblPr>
      <w:tblGrid>
        <w:gridCol w:w="2703"/>
        <w:gridCol w:w="2967"/>
        <w:gridCol w:w="3105"/>
      </w:tblGrid>
      <w:tr>
        <w:trPr>
          <w:tblHeader w:val="0"/>
          <w:cantSplit w:val="0"/>
          <w:trHeight w:val="510" w:hRule="atLeast"/>
        </w:trPr>
        <w:tc>
          <w:tcPr>
            <w:tcW w:w="8775" w:type="dxa"/>
            <w:gridSpan w:val="3"/>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 Personalien &amp; Daten</w:t>
            </w:r>
          </w:p>
        </w:tc>
      </w:tr>
      <w:tr>
        <w:trPr>
          <w:tblHeader w:val="0"/>
          <w:cantSplit w:val="0"/>
          <w:trHeight w:val="510" w:hRule="atLeast"/>
        </w:trPr>
        <w:tc>
          <w:tcPr>
            <w:tcW w:w="2703"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Mitarbeiter: </w:t>
            </w:r>
            <w:r>
              <w:rPr>
                <w:rFonts w:eastAsia="Cambria" w:cs="Arial"/>
                <w:sz w:val="20"/>
                <w:szCs w:val="24"/>
              </w:rPr>
            </w:r>
          </w:p>
        </w:tc>
        <w:tc>
          <w:tcPr>
            <w:tcW w:w="296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Personalnummer: </w:t>
            </w:r>
            <w:r>
              <w:rPr>
                <w:rFonts w:eastAsia="Cambria" w:cs="Arial"/>
                <w:sz w:val="20"/>
                <w:szCs w:val="24"/>
              </w:rPr>
            </w:r>
          </w:p>
        </w:tc>
        <w:tc>
          <w:tcPr>
            <w:tcW w:w="3105"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Position:            / Abteilung: </w:t>
            </w:r>
            <w:r>
              <w:rPr>
                <w:rFonts w:eastAsia="Cambria" w:cs="Arial"/>
                <w:sz w:val="20"/>
                <w:szCs w:val="24"/>
              </w:rPr>
            </w:r>
          </w:p>
        </w:tc>
      </w:tr>
      <w:tr>
        <w:trPr>
          <w:tblHeader w:val="0"/>
          <w:cantSplit w:val="0"/>
          <w:trHeight w:val="510" w:hRule="atLeast"/>
        </w:trPr>
        <w:tc>
          <w:tcPr>
            <w:tcW w:w="2703"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Vorgesetzter: </w:t>
            </w:r>
            <w:r>
              <w:rPr>
                <w:rFonts w:eastAsia="Cambria" w:cs="Arial"/>
                <w:sz w:val="20"/>
                <w:szCs w:val="24"/>
              </w:rPr>
            </w:r>
          </w:p>
        </w:tc>
        <w:tc>
          <w:tcPr>
            <w:tcW w:w="296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Datum letztes MJG: </w:t>
            </w:r>
            <w:r>
              <w:rPr>
                <w:rFonts w:eastAsia="Cambria" w:cs="Arial"/>
                <w:sz w:val="20"/>
                <w:szCs w:val="24"/>
              </w:rPr>
            </w:r>
          </w:p>
        </w:tc>
        <w:tc>
          <w:tcPr>
            <w:tcW w:w="3105"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Datum aktuelles MJG: </w:t>
            </w:r>
            <w:r>
              <w:rPr>
                <w:rFonts w:eastAsia="Cambria" w:cs="Arial"/>
                <w:sz w:val="20"/>
                <w:szCs w:val="24"/>
              </w:rPr>
            </w:r>
          </w:p>
        </w:tc>
      </w:tr>
    </w:tbl>
    <w:p>
      <w:pPr>
        <w:spacing w:after="0"/>
      </w:pPr>
      <w:r/>
    </w:p>
    <w:tbl>
      <w:tblPr>
        <w:tblStyle w:val="TableNormal"/>
        <w:name w:val="Tabelle157"/>
        <w:tabOrder w:val="0"/>
        <w:jc w:val="left"/>
        <w:tblInd w:w="0" w:type="dxa"/>
        <w:tblW w:w="8762" w:type="dxa"/>
        <w:pPr>
          <w:spacing/>
          <w:jc w:val="left"/>
        </w:pPr>
        <w:tblLook w:val="0600" w:firstRow="0" w:lastRow="0" w:firstColumn="0" w:lastColumn="0" w:noHBand="1" w:noVBand="1"/>
      </w:tblPr>
      <w:tblGrid>
        <w:gridCol w:w="8762"/>
      </w:tblGrid>
      <w:tr>
        <w:trPr>
          <w:tblHeader w:val="0"/>
          <w:cantSplit w:val="0"/>
          <w:trHeight w:val="0" w:hRule="auto"/>
        </w:trPr>
        <w:tc>
          <w:tcPr>
            <w:tcW w:w="8762" w:type="dxa"/>
            <w:shd w:val="solid" w:color="98B46C" w:fill="auto" tmshd="256, 0, 7124120"/>
            <w:tcMar>
              <w:top w:w="0" w:type="dxa"/>
              <w:left w:w="108" w:type="dxa"/>
              <w:bottom w:w="0" w:type="dxa"/>
              <w:right w:w="108"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ind w:firstLine="0"/>
              <w:spacing w:before="40" w:after="4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Malgun Gothic" w:cs="Basic Roman"/>
                <w:sz w:val="20"/>
                <w:szCs w:val="24"/>
              </w:rPr>
            </w:pPr>
            <w:r>
              <w:rPr>
                <w:rFonts w:eastAsia="Malgun Gothic" w:cs="Basic Roman"/>
                <w:sz w:val="20"/>
                <w:szCs w:val="24"/>
              </w:rPr>
              <w:t>A: Bilanz über Aufgaben, Zielerreichung und Arbeitsverhalten des vergangenen Jahres</w:t>
            </w:r>
          </w:p>
        </w:tc>
      </w:tr>
    </w:tbl>
    <w:p>
      <w:pPr>
        <w:spacing w:after="0"/>
      </w:pPr>
      <w:r/>
    </w:p>
    <w:tbl>
      <w:tblPr>
        <w:tblStyle w:val="TableNormal"/>
        <w:name w:val="Tabelle158"/>
        <w:tabOrder w:val="0"/>
        <w:jc w:val="left"/>
        <w:tblInd w:w="0" w:type="dxa"/>
        <w:tblW w:w="8787" w:type="dxa"/>
        <w:pPr>
          <w:spacing/>
          <w:jc w:val="left"/>
        </w:pPr>
        <w:tblLook w:val="0600" w:firstRow="0" w:lastRow="0" w:firstColumn="0" w:lastColumn="0" w:noHBand="1" w:noVBand="1"/>
      </w:tblPr>
      <w:tblGrid>
        <w:gridCol w:w="2552"/>
        <w:gridCol w:w="1488"/>
        <w:gridCol w:w="590"/>
        <w:gridCol w:w="591"/>
        <w:gridCol w:w="591"/>
        <w:gridCol w:w="1299"/>
        <w:gridCol w:w="1676"/>
      </w:tblGrid>
      <w:tr>
        <w:trPr>
          <w:tblHeader w:val="0"/>
          <w:cantSplit w:val="0"/>
          <w:trHeight w:val="510" w:hRule="atLeast"/>
        </w:trPr>
        <w:tc>
          <w:tcPr>
            <w:tcW w:w="8787" w:type="dxa"/>
            <w:gridSpan w:val="7"/>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2. Rückblick auf die vereinbarten Fördermaßnahmen</w:t>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Die Fördermaßnahmen wurden durchgeführt:</w:t>
              <w:tab/>
              <w:tab/>
            </w:r>
            <w:r>
              <w:rPr>
                <w:rFonts w:eastAsia="Cambria" w:cs="Arial"/>
                <w:sz w:val="24"/>
                <w:szCs w:val="24"/>
              </w:rPr>
              <w:t>☐</w:t>
            </w:r>
            <w:r>
              <w:rPr>
                <w:rFonts w:eastAsia="Cambria" w:cs="Arial"/>
                <w:sz w:val="16"/>
                <w:szCs w:val="16"/>
              </w:rPr>
              <w:t xml:space="preserve">  ja</w:t>
              <w:tab/>
              <w:tab/>
            </w:r>
            <w:r>
              <w:rPr>
                <w:rFonts w:eastAsia="Cambria" w:cs="Arial"/>
                <w:sz w:val="24"/>
                <w:szCs w:val="24"/>
              </w:rPr>
              <w:t>☐</w:t>
            </w:r>
            <w:r>
              <w:rPr>
                <w:rFonts w:eastAsia="Cambria" w:cs="Arial"/>
                <w:sz w:val="16"/>
                <w:szCs w:val="16"/>
              </w:rPr>
              <w:t xml:space="preserve">  nein</w:t>
              <w:tab/>
              <w:tab/>
            </w:r>
            <w:r>
              <w:rPr>
                <w:rFonts w:eastAsia="Cambria" w:cs="Arial"/>
                <w:sz w:val="24"/>
                <w:szCs w:val="24"/>
              </w:rPr>
              <w:t>☐</w:t>
            </w:r>
            <w:r>
              <w:rPr>
                <w:rFonts w:eastAsia="Cambria" w:cs="Arial"/>
                <w:sz w:val="16"/>
                <w:szCs w:val="16"/>
              </w:rPr>
              <w:t xml:space="preserve">   teilweise</w:t>
            </w:r>
          </w:p>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Erläuterungen:</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08" w:hRule="atLeast"/>
        </w:trPr>
        <w:tc>
          <w:tcPr>
            <w:tcW w:w="8787" w:type="dxa"/>
            <w:gridSpan w:val="7"/>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3. Aktuelle Aufgaben und Tätigkeitsschwerpunkte</w:t>
            </w:r>
          </w:p>
        </w:tc>
      </w:tr>
      <w:tr>
        <w:trPr>
          <w:tblHeader w:val="0"/>
          <w:cantSplit w:val="0"/>
          <w:trHeight w:val="510" w:hRule="atLeast"/>
        </w:trPr>
        <w:tc>
          <w:tcPr>
            <w:tcW w:w="8787" w:type="dxa"/>
            <w:gridSpan w:val="7"/>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 xml:space="preserve">Beschreibung der wesentlichen Aufgaben und Kerntätigkeiten des Mitarbeiters aus Sicht beider Gesprächspartner:  </w:t>
            </w:r>
            <w:r>
              <w:rPr>
                <w:rFonts w:eastAsia="Cambria" w:cs="Arial"/>
                <w:sz w:val="20"/>
                <w:szCs w:val="24"/>
              </w:rPr>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(1) </w:t>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(2) </w:t>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(3) </w:t>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(4) </w:t>
            </w:r>
          </w:p>
        </w:tc>
      </w:tr>
      <w:tr>
        <w:trPr>
          <w:tblHeader w:val="0"/>
          <w:cantSplit w:val="0"/>
          <w:trHeight w:val="51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4. Rahmenbedingungen und Arbeitssituation</w:t>
            </w:r>
          </w:p>
        </w:tc>
      </w:tr>
      <w:tr>
        <w:trPr>
          <w:tblHeader w:val="0"/>
          <w:cantSplit w:val="0"/>
          <w:trHeight w:val="757"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4"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Anmerkungen zu besonderen Veränderungen in der vergangenen Periode wie personelle Wechsel, Umstrukturierungen, Unter- oder Überkapazitäten. Beschreibung von Arbeitsklima, Arbeitsbedingungen und Arbeitsabläufen.</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08" w:hRule="atLeast"/>
        </w:trPr>
        <w:tc>
          <w:tcPr>
            <w:tcW w:w="8787" w:type="dxa"/>
            <w:gridSpan w:val="7"/>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5. Beurteilung der Zielerreichung</w:t>
            </w:r>
          </w:p>
        </w:tc>
      </w:tr>
      <w:tr>
        <w:trPr>
          <w:tblHeader w:val="0"/>
          <w:cantSplit w:val="0"/>
          <w:trHeight w:val="255" w:hRule="atLeast"/>
        </w:trPr>
        <w:tc>
          <w:tcPr>
            <w:tcW w:w="4040" w:type="dxa"/>
            <w:gridSpan w:val="2"/>
            <w:vMerge w:val="restart"/>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000000"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Ziele</w:t>
            </w:r>
            <w:r>
              <w:rPr>
                <w:rFonts w:eastAsia="Cambria" w:cs="Arial"/>
                <w:sz w:val="20"/>
                <w:szCs w:val="24"/>
              </w:rPr>
            </w:r>
          </w:p>
        </w:tc>
        <w:tc>
          <w:tcPr>
            <w:tcW w:w="1772" w:type="dxa"/>
            <w:gridSpan w:val="3"/>
            <w:shd w:val="none"/>
            <w:tcMar>
              <w:top w:w="0" w:type="dxa"/>
              <w:left w:w="108" w:type="dxa"/>
              <w:bottom w:w="0" w:type="dxa"/>
              <w:right w:w="108" w:type="dxa"/>
            </w:tcMar>
            <w:tcBorders>
              <w:top w:val="single" w:sz="4" w:space="0" w:color="DBDEE1" tmln="10, 20, 20, 0, 0"/>
              <w:left w:val="single" w:sz="4" w:space="0" w:color="DBDEE1" tmln="10, 20, 20, 0, 0"/>
              <w:bottom w:val="nil" w:sz="0" w:space="0" w:color="000000" tmln="2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Erfüllung</w:t>
            </w:r>
            <w:r>
              <w:rPr>
                <w:rFonts w:eastAsia="Cambria" w:cs="Arial"/>
                <w:sz w:val="20"/>
                <w:szCs w:val="24"/>
              </w:rPr>
            </w:r>
          </w:p>
        </w:tc>
        <w:tc>
          <w:tcPr>
            <w:tcW w:w="2975" w:type="dxa"/>
            <w:gridSpan w:val="2"/>
            <w:vMerge w:val="restart"/>
            <w:shd w:val="none"/>
            <w:tcMar>
              <w:top w:w="0" w:type="dxa"/>
              <w:left w:w="108" w:type="dxa"/>
              <w:bottom w:w="0" w:type="dxa"/>
              <w:right w:w="108" w:type="dxa"/>
            </w:tcMar>
            <w:tcBorders>
              <w:top w:val="single" w:sz="4" w:space="0" w:color="DBDEE1" tmln="10, 20, 20, 0, 0"/>
              <w:left w:val="single" w:sz="4" w:space="0" w:color="DBDEE1" tmln="1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Bemerkungen</w:t>
            </w:r>
            <w:r>
              <w:rPr>
                <w:rFonts w:eastAsia="Cambria" w:cs="Arial"/>
                <w:sz w:val="20"/>
                <w:szCs w:val="24"/>
              </w:rPr>
            </w:r>
          </w:p>
        </w:tc>
      </w:tr>
      <w:tr>
        <w:trPr>
          <w:tblHeader w:val="0"/>
          <w:cantSplit w:val="0"/>
          <w:trHeight w:val="255" w:hRule="atLeast"/>
        </w:trPr>
        <w:tc>
          <w:tcPr>
            <w:tcW w:w="4040" w:type="dxa"/>
            <w:gridSpan w:val="2"/>
            <w:vMerge/>
            <w:shd w:val="none"/>
            <w:tcMar>
              <w:top w:w="0" w:type="dxa"/>
              <w:left w:w="108" w:type="dxa"/>
              <w:bottom w:w="0" w:type="dxa"/>
              <w:right w:w="108" w:type="dxa"/>
            </w:tcMar>
            <w:tcBorders>
              <w:top w:val="single" w:sz="4" w:space="0" w:color="000000"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tc>
        <w:tc>
          <w:tcPr>
            <w:tcW w:w="590" w:type="dxa"/>
            <w:vAlign w:val="center"/>
            <w:shd w:val="none"/>
            <w:tcMar>
              <w:top w:w="0" w:type="dxa"/>
              <w:left w:w="108" w:type="dxa"/>
              <w:bottom w:w="0" w:type="dxa"/>
              <w:right w:w="108" w:type="dxa"/>
            </w:tcMar>
            <w:tcBorders>
              <w:top w:val="nil" w:sz="0" w:space="0" w:color="000000" tmln="2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040" w:hanging="100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ja</w:t>
            </w:r>
          </w:p>
        </w:tc>
        <w:tc>
          <w:tcPr>
            <w:tcW w:w="591" w:type="dxa"/>
            <w:vAlign w:val="center"/>
            <w:shd w:val="none"/>
            <w:tcMar>
              <w:top w:w="0" w:type="dxa"/>
              <w:left w:w="108" w:type="dxa"/>
              <w:bottom w:w="0" w:type="dxa"/>
              <w:right w:w="108" w:type="dxa"/>
            </w:tcMar>
            <w:tcBorders>
              <w:top w:val="nil" w:sz="0" w:space="0" w:color="000000" tmln="2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040" w:hanging="100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nein</w:t>
            </w:r>
          </w:p>
        </w:tc>
        <w:tc>
          <w:tcPr>
            <w:tcW w:w="591" w:type="dxa"/>
            <w:vAlign w:val="center"/>
            <w:shd w:val="none"/>
            <w:tcMar>
              <w:top w:w="0" w:type="dxa"/>
              <w:left w:w="108" w:type="dxa"/>
              <w:bottom w:w="0" w:type="dxa"/>
              <w:right w:w="108" w:type="dxa"/>
            </w:tcMar>
            <w:tcBorders>
              <w:top w:val="nil" w:sz="0" w:space="0" w:color="000000" tmln="2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040" w:hanging="100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teils</w:t>
            </w:r>
          </w:p>
        </w:tc>
        <w:tc>
          <w:tcPr>
            <w:tcW w:w="2975" w:type="dxa"/>
            <w:gridSpan w:val="2"/>
            <w:vMerge/>
            <w:shd w:val="none"/>
            <w:tcMar>
              <w:top w:w="0" w:type="dxa"/>
              <w:left w:w="108" w:type="dxa"/>
              <w:bottom w:w="0" w:type="dxa"/>
              <w:right w:w="108" w:type="dxa"/>
            </w:tcMar>
            <w:tcBorders>
              <w:top w:val="single" w:sz="4" w:space="0" w:color="000000"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tc>
      </w:tr>
      <w:tr>
        <w:trPr>
          <w:tblHeader w:val="0"/>
          <w:cantSplit w:val="0"/>
          <w:trHeight w:val="397" w:hRule="atLeast"/>
        </w:trPr>
        <w:tc>
          <w:tcPr>
            <w:tcW w:w="4040"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(1) </w:t>
            </w:r>
          </w:p>
        </w:tc>
        <w:tc>
          <w:tcPr>
            <w:tcW w:w="59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2975"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397" w:hRule="atLeast"/>
        </w:trPr>
        <w:tc>
          <w:tcPr>
            <w:tcW w:w="4040"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(2) </w:t>
            </w:r>
          </w:p>
        </w:tc>
        <w:tc>
          <w:tcPr>
            <w:tcW w:w="59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2975"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397" w:hRule="atLeast"/>
        </w:trPr>
        <w:tc>
          <w:tcPr>
            <w:tcW w:w="4040"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(3) </w:t>
            </w:r>
          </w:p>
        </w:tc>
        <w:tc>
          <w:tcPr>
            <w:tcW w:w="59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2975"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397" w:hRule="atLeast"/>
        </w:trPr>
        <w:tc>
          <w:tcPr>
            <w:tcW w:w="4040"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(4) </w:t>
            </w:r>
          </w:p>
        </w:tc>
        <w:tc>
          <w:tcPr>
            <w:tcW w:w="59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591"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center"/>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p>
        </w:tc>
        <w:tc>
          <w:tcPr>
            <w:tcW w:w="2975" w:type="dxa"/>
            <w:gridSpan w:val="2"/>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72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left="34"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Die nachfolgende Beurteilung bezieht sich auf die oben genannten Aufgaben und Tätigkeitsschwerpunkte sowie auf die Zielerreichung des Mitarbeiters.</w:t>
            </w:r>
          </w:p>
        </w:tc>
      </w:tr>
      <w:tr>
        <w:trPr>
          <w:tblHeader w:val="0"/>
          <w:cantSplit w:val="0"/>
          <w:trHeight w:val="720" w:hRule="atLeast"/>
        </w:trPr>
        <w:tc>
          <w:tcPr>
            <w:tcW w:w="8787" w:type="dxa"/>
            <w:gridSpan w:val="7"/>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12" w:space="0" w:color="262626" tmln="3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6. Beurteilungsskala</w:t>
            </w:r>
          </w:p>
        </w:tc>
      </w:tr>
      <w:tr>
        <w:trPr>
          <w:tblHeader w:val="0"/>
          <w:cantSplit w:val="0"/>
          <w:trHeight w:val="720" w:hRule="atLeast"/>
        </w:trPr>
        <w:tc>
          <w:tcPr>
            <w:tcW w:w="8787" w:type="dxa"/>
            <w:gridSpan w:val="7"/>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2" w:space="0" w:color="262626" tmln="30, 20, 20, 0, 0"/>
              <w:right w:val="single" w:sz="16" w:space="0" w:color="AECF7C" tmln="40, 20, 20, 0, 0"/>
              <w:tl2br w:val="nil" w:sz="0" w:space="0" w:color="000000" tmln="20, 20, 20, 0, 0"/>
              <w:tr2bl w:val="nil" w:sz="0" w:space="0" w:color="000000" tmln="20, 20, 20, 0, 0"/>
            </w:tcBorders>
            <w:tmTcPr id="1785596603" protected="0"/>
          </w:tcPr>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w:t>
              <w:tab/>
              <w:t>Ziele und Erwartungen deutlich und in allen wichtigen Bereichen übertroffen = herausragende Leistungen</w:t>
            </w:r>
          </w:p>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B</w:t>
              <w:tab/>
              <w:t>Ziele und Erwartungen in wichtigen Bereichen übertroffen = sehr gute Leistungen</w:t>
            </w:r>
          </w:p>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C</w:t>
              <w:tab/>
              <w:t>Ziele und Erwartungen erfüllt = gute Leistungen</w:t>
            </w:r>
          </w:p>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w:t>
              <w:tab/>
              <w:t>Ziele und Erwartungen teilweise erfüllt = ausreichende Leistungen</w:t>
            </w:r>
          </w:p>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w:t>
              <w:tab/>
              <w:t>Ziele und Erwartungen in wichtigen Bereichen nicht erfüllt = nicht ausreichende Leistungen</w:t>
            </w:r>
          </w:p>
        </w:tc>
      </w:tr>
      <w:tr>
        <w:trPr>
          <w:tblHeader w:val="0"/>
          <w:cantSplit w:val="0"/>
          <w:trHeight w:val="720" w:hRule="atLeast"/>
        </w:trPr>
        <w:tc>
          <w:tcPr>
            <w:tcW w:w="8787" w:type="dxa"/>
            <w:gridSpan w:val="7"/>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12" w:space="0" w:color="262626" tmln="3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7. Leistungskriterien</w:t>
            </w:r>
          </w:p>
        </w:tc>
      </w:tr>
      <w:tr>
        <w:trPr>
          <w:tblHeader w:val="0"/>
          <w:cantSplit w:val="0"/>
          <w:trHeight w:val="510" w:hRule="atLeast"/>
        </w:trPr>
        <w:tc>
          <w:tcPr>
            <w:tcW w:w="2552"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Merkmal</w:t>
            </w:r>
          </w:p>
        </w:tc>
        <w:tc>
          <w:tcPr>
            <w:tcW w:w="4559" w:type="dxa"/>
            <w:gridSpan w:val="5"/>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Bemerkung/Begründung/Fördermaßnahme</w:t>
            </w:r>
          </w:p>
        </w:tc>
        <w:tc>
          <w:tcPr>
            <w:tcW w:w="1676"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rPr>
            </w:pPr>
            <w:r>
              <w:rPr>
                <w:rFonts w:eastAsia="Cambria" w:cs="Arial"/>
                <w:b/>
              </w:rPr>
              <w:t xml:space="preserve"> A   B   C   D   E</w:t>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Fachkompetenz</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Wendet an und erweitert fachliche Fähigkeiten und Kenntnisse.</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Methodenkompetenz</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Geht Aufgaben zweckmäßig an, setzt Hilfsmittel angemessen ein.</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Selbstständigkeit und Arbeitsorganisation</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Denkt mit, übernimmt Verantwortung, plant den Arbeitsablauf selbstständig, ist zuverlässig.</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Initiative und Flexibilität</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Greift anstehende Probleme auf, schöpft Entscheidungsspielraum aus.</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0070C0"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Belastbarkeit</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Ist bei hohem Arbeitsanfall und/oder knappen Terminen leistungsfähig.</w:t>
            </w:r>
          </w:p>
        </w:tc>
        <w:tc>
          <w:tcPr>
            <w:tcW w:w="4559" w:type="dxa"/>
            <w:gridSpan w:val="5"/>
            <w:shd w:val="none"/>
            <w:tcMar>
              <w:top w:w="0" w:type="dxa"/>
              <w:left w:w="108" w:type="dxa"/>
              <w:bottom w:w="0" w:type="dxa"/>
              <w:right w:w="108" w:type="dxa"/>
            </w:tcMar>
            <w:tcBorders>
              <w:top w:val="single" w:sz="4" w:space="0" w:color="DBDEE1" tmln="10, 20, 20, 0, 0"/>
              <w:left w:val="single" w:sz="4" w:space="0" w:color="0070C0" tmln="10, 20, 20, 0, 0"/>
              <w:bottom w:val="single" w:sz="4" w:space="0" w:color="DBDEE1" tmln="10, 20, 20, 0, 0"/>
              <w:right w:val="single" w:sz="4" w:space="0" w:color="0070C0"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0070C0"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519"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2" w:space="0" w:color="DBDEE1" tmln="5,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Kostenbewusstsein</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Geht sparsam mit Geld- und Sachmitteln um, sucht nach kostengünstigen Lösungen, nutzt Einsparmöglichkeiten.</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2" w:space="0" w:color="DBDEE1" tmln="5,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2" w:space="0" w:color="DBDEE1" tmln="5,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134" w:hRule="atLeast"/>
        </w:trPr>
        <w:tc>
          <w:tcPr>
            <w:tcW w:w="2552" w:type="dxa"/>
            <w:shd w:val="none"/>
            <w:tcMar>
              <w:top w:w="0" w:type="dxa"/>
              <w:left w:w="108" w:type="dxa"/>
              <w:bottom w:w="0" w:type="dxa"/>
              <w:right w:w="108" w:type="dxa"/>
            </w:tcMar>
            <w:tcBorders>
              <w:top w:val="single" w:sz="2" w:space="0" w:color="DBDEE1" tmln="5,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Weitere Kriterien …</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4559" w:type="dxa"/>
            <w:gridSpan w:val="5"/>
            <w:shd w:val="none"/>
            <w:tcMar>
              <w:top w:w="0" w:type="dxa"/>
              <w:left w:w="108" w:type="dxa"/>
              <w:bottom w:w="0" w:type="dxa"/>
              <w:right w:w="108" w:type="dxa"/>
            </w:tcMar>
            <w:tcBorders>
              <w:top w:val="single" w:sz="2" w:space="0" w:color="DBDEE1" tmln="5, 20, 20, 0, 0"/>
              <w:left w:val="single" w:sz="4" w:space="0" w:color="DBDEE1" tmln="1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2" w:space="0" w:color="DBDEE1" tmln="5,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508" w:hRule="atLeast"/>
        </w:trPr>
        <w:tc>
          <w:tcPr>
            <w:tcW w:w="8787" w:type="dxa"/>
            <w:gridSpan w:val="7"/>
            <w:vAlign w:val="center"/>
            <w:shd w:val="solid" w:color="E0EDCD" w:fill="auto" tmshd="256, 0, 13495776"/>
            <w:tcMar>
              <w:top w:w="0" w:type="dxa"/>
              <w:left w:w="108" w:type="dxa"/>
              <w:bottom w:w="0" w:type="dxa"/>
              <w:right w:w="108" w:type="dxa"/>
            </w:tcMar>
            <w:tcBorders>
              <w:top w:val="single" w:sz="12" w:space="0" w:color="262626" tmln="3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8. Verhaltenskriterien</w:t>
            </w:r>
          </w:p>
        </w:tc>
      </w:tr>
      <w:tr>
        <w:trPr>
          <w:tblHeader w:val="0"/>
          <w:cantSplit w:val="0"/>
          <w:trHeight w:val="510" w:hRule="atLeast"/>
        </w:trPr>
        <w:tc>
          <w:tcPr>
            <w:tcW w:w="2552"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before="100" w:beforeAutospacing="1" w:afterAutospacing="1"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Merkmal</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before="100" w:beforeAutospacing="1" w:afterAutospacing="1"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Bemerkung/Begründung/Fördermaßnahme</w:t>
            </w:r>
          </w:p>
        </w:tc>
        <w:tc>
          <w:tcPr>
            <w:tcW w:w="1676"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100" w:beforeAutospacing="1" w:afterAutospacing="1"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rPr>
              <w:t xml:space="preserve"> A   B   C   D   E</w:t>
            </w:r>
            <w:r>
              <w:rPr>
                <w:rFonts w:eastAsia="Cambria" w:cs="Arial"/>
                <w:b/>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Teambereitschaft</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Arbeitet kooperativ im Team zusammen, bietet Unterstützung an, steht zu begangenen Fehlern.</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Kommunikation</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sz w:val="16"/>
                <w:szCs w:val="16"/>
              </w:rPr>
              <w:t>Spricht Kollegen an und teilt Wissen mit, ist gesprächsbereit, offen und freundlich.</w:t>
            </w:r>
            <w:r>
              <w:rPr>
                <w:rFonts w:eastAsia="Cambria" w:cs="Arial"/>
                <w:b/>
                <w:sz w:val="16"/>
                <w:szCs w:val="16"/>
              </w:rPr>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Lernverhalten</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Zeigt die Bereitschaft, sich mit neuen Dingen zu beschäftigen, nimmt an Weiterbildungen teil.</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Auftreten</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Ist der Tätigkeit entsprechend angemessen gekleidet, pflegt adäquate Umgangsformen.</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Kundenorientierung</w:t>
            </w:r>
          </w:p>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Baut Kontakt zum Kunden auf, informiert und berät umfassend.</w:t>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36"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b/>
                <w:sz w:val="16"/>
                <w:szCs w:val="16"/>
              </w:rPr>
              <w:t>Weitere Kriterien …</w:t>
            </w:r>
            <w:r>
              <w:rPr>
                <w:rFonts w:eastAsia="Cambria" w:cs="Arial"/>
                <w:sz w:val="16"/>
                <w:szCs w:val="16"/>
              </w:rPr>
            </w:r>
          </w:p>
        </w:tc>
        <w:tc>
          <w:tcPr>
            <w:tcW w:w="4559" w:type="dxa"/>
            <w:gridSpan w:val="5"/>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676" w:type="dxa"/>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bl>
    <w:p>
      <w:r/>
    </w:p>
    <w:p>
      <w:r>
        <w:br w:type="page"/>
      </w:r>
    </w:p>
    <w:tbl>
      <w:tblPr>
        <w:tblStyle w:val="TableNormal"/>
        <w:name w:val="Tabelle159"/>
        <w:tabOrder w:val="0"/>
        <w:jc w:val="left"/>
        <w:tblInd w:w="0" w:type="dxa"/>
        <w:tblW w:w="8787" w:type="dxa"/>
        <w:pPr>
          <w:spacing/>
          <w:jc w:val="left"/>
        </w:pPr>
        <w:tblLook w:val="0600" w:firstRow="0" w:lastRow="0" w:firstColumn="0" w:lastColumn="0" w:noHBand="1" w:noVBand="1"/>
      </w:tblPr>
      <w:tblGrid>
        <w:gridCol w:w="2552"/>
        <w:gridCol w:w="4507"/>
        <w:gridCol w:w="1728"/>
      </w:tblGrid>
      <w:tr>
        <w:trPr>
          <w:tblHeader w:val="0"/>
          <w:cantSplit w:val="0"/>
          <w:trHeight w:val="508" w:hRule="atLeast"/>
        </w:trPr>
        <w:tc>
          <w:tcPr>
            <w:tcW w:w="8787" w:type="dxa"/>
            <w:gridSpan w:val="3"/>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2" w:space="0" w:color="DBDEE1" tmln="5,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9. Kriterien für Mitarbeiter mit Führungsaufgaben</w:t>
            </w:r>
          </w:p>
        </w:tc>
      </w:tr>
      <w:tr>
        <w:trPr>
          <w:tblHeader w:val="0"/>
          <w:cantSplit w:val="0"/>
          <w:trHeight w:val="510" w:hRule="atLeast"/>
        </w:trPr>
        <w:tc>
          <w:tcPr>
            <w:tcW w:w="2552"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Merkmal</w:t>
            </w:r>
          </w:p>
        </w:tc>
        <w:tc>
          <w:tcPr>
            <w:tcW w:w="450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Bemerkung/Begründung/Fördermaßnahme</w:t>
            </w:r>
          </w:p>
        </w:tc>
        <w:tc>
          <w:tcPr>
            <w:tcW w:w="1728"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rPr>
              <w:t xml:space="preserve"> A   B   C   D   E</w:t>
            </w:r>
            <w:r>
              <w:rPr>
                <w:rFonts w:eastAsia="Cambria" w:cs="Arial"/>
                <w:b/>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Delegation</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Traut seinen MA Leistungsfähigkeit zu, ist bereit Aufgaben abzugeben, delegiert Aufgaben, Kompetenzen und Verantwortung</w:t>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Planung und Koordination</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Erkennt Veränderungstendenzen und trifft entsprechende Maßnahmen, koordiniert Abläufe und Mitteleinsatz.</w:t>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Motivation</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Erkennt Leistung an, identifiziert Potenziale und Defizite, übt konstruktiv Kritik, unterstützt MA in schwierigen Situationen.</w:t>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Einflussnahme</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Schöpft die Kompetenzen aus, gibt klare Anweisungen, setzt sich für Ziele des eigenen Verantwortungsbereichs ein.</w:t>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 xml:space="preserve">Kommunikation und </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sz w:val="16"/>
                <w:szCs w:val="16"/>
              </w:rPr>
            </w:pPr>
            <w:r>
              <w:rPr>
                <w:rFonts w:eastAsia="Cambria" w:cs="Arial"/>
                <w:b/>
                <w:sz w:val="16"/>
                <w:szCs w:val="16"/>
              </w:rPr>
              <w:t>Identifikation</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Informiert MA umfassend und rechtzeitig, steht für Leitbild und Geschäftspolitik ein.</w:t>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1814" w:hRule="atLeast"/>
        </w:trPr>
        <w:tc>
          <w:tcPr>
            <w:tcW w:w="2552"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b/>
                <w:sz w:val="16"/>
                <w:szCs w:val="16"/>
              </w:rPr>
              <w:t>Weitere Kriterien …</w:t>
            </w:r>
            <w:r>
              <w:rPr>
                <w:rFonts w:eastAsia="Cambria" w:cs="Arial"/>
                <w:sz w:val="16"/>
                <w:szCs w:val="16"/>
              </w:rPr>
            </w:r>
          </w:p>
        </w:tc>
        <w:tc>
          <w:tcPr>
            <w:tcW w:w="4507"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c>
          <w:tcPr>
            <w:tcW w:w="1728" w:type="dxa"/>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t xml:space="preserve"> </w:t>
            </w:r>
            <w:r>
              <w:rPr>
                <w:rFonts w:eastAsia="Cambria" w:cs="Arial"/>
                <w:sz w:val="24"/>
                <w:szCs w:val="24"/>
              </w:rPr>
              <w:t>☐</w:t>
            </w:r>
            <w:r>
              <w:rPr>
                <w:rFonts w:eastAsia="Cambria" w:cs="Arial"/>
                <w:sz w:val="16"/>
                <w:szCs w:val="16"/>
              </w:rPr>
            </w:r>
          </w:p>
        </w:tc>
      </w:tr>
      <w:tr>
        <w:trPr>
          <w:tblHeader w:val="0"/>
          <w:cantSplit w:val="0"/>
          <w:trHeight w:val="508" w:hRule="atLeast"/>
        </w:trPr>
        <w:tc>
          <w:tcPr>
            <w:tcW w:w="8787" w:type="dxa"/>
            <w:gridSpan w:val="3"/>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10. Gesamtbeurteilung von Leistung und Verhalten der vergangenen Periode</w:t>
            </w:r>
          </w:p>
        </w:tc>
      </w:tr>
      <w:tr>
        <w:trPr>
          <w:tblHeader w:val="0"/>
          <w:cantSplit w:val="0"/>
          <w:trHeight w:val="1112" w:hRule="atLeast"/>
        </w:trPr>
        <w:tc>
          <w:tcPr>
            <w:tcW w:w="8787" w:type="dxa"/>
            <w:gridSpan w:val="3"/>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An dieser Stelle ist festzuhalten, inwieweit der Mitarbeiter die Anforderungen der aktuellen Aufgabe insgesamt erfüllt. Die wesentlichen Gründe dafür sind zu dokumentieren:</w:t>
            </w:r>
          </w:p>
          <w:p>
            <w:pPr>
              <w:ind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357" w:hanging="323"/>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0" w:hRule="auto"/>
        </w:trPr>
        <w:tc>
          <w:tcPr>
            <w:tcW w:w="8787" w:type="dxa"/>
            <w:gridSpan w:val="3"/>
            <w:shd w:val="solid" w:color="98B46C" w:fill="auto" tmshd="256, 0, 7124120"/>
            <w:tcMar>
              <w:top w:w="0" w:type="dxa"/>
              <w:left w:w="108" w:type="dxa"/>
              <w:bottom w:w="0" w:type="dxa"/>
              <w:right w:w="108"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ind w:firstLine="0"/>
              <w:spacing w:before="40" w:after="4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Malgun Gothic" w:cs="Basic Roman"/>
                <w:sz w:val="20"/>
                <w:szCs w:val="24"/>
              </w:rPr>
            </w:pPr>
            <w:r>
              <w:rPr>
                <w:rFonts w:eastAsia="Malgun Gothic" w:cs="Basic Roman"/>
                <w:sz w:val="20"/>
                <w:szCs w:val="24"/>
              </w:rPr>
              <w:t>B: Aufgaben, Ziele und Arbeitsverhalten für das Folgejahr</w:t>
            </w:r>
          </w:p>
        </w:tc>
      </w:tr>
    </w:tbl>
    <w:p>
      <w:pPr>
        <w:spacing w:after="0"/>
      </w:pPr>
      <w:r/>
    </w:p>
    <w:tbl>
      <w:tblPr>
        <w:tblStyle w:val="TableNormal"/>
        <w:name w:val="Tabelle160"/>
        <w:tabOrder w:val="0"/>
        <w:jc w:val="left"/>
        <w:tblInd w:w="0" w:type="dxa"/>
        <w:tblW w:w="8787" w:type="dxa"/>
        <w:pPr>
          <w:spacing/>
          <w:jc w:val="left"/>
        </w:pPr>
        <w:tblLook w:val="0600" w:firstRow="0" w:lastRow="0" w:firstColumn="0" w:lastColumn="0" w:noHBand="1" w:noVBand="1"/>
      </w:tblPr>
      <w:tblGrid>
        <w:gridCol w:w="5810"/>
        <w:gridCol w:w="2977"/>
      </w:tblGrid>
      <w:tr>
        <w:trPr>
          <w:tblHeader w:val="0"/>
          <w:cantSplit w:val="0"/>
          <w:trHeight w:val="508" w:hRule="atLeast"/>
        </w:trPr>
        <w:tc>
          <w:tcPr>
            <w:tcW w:w="8787" w:type="dxa"/>
            <w:gridSpan w:val="2"/>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11. Zufriedenheit des Mitarbeiters mit seiner gegenwärtigen Tätigkeit</w:t>
            </w:r>
          </w:p>
        </w:tc>
      </w:tr>
      <w:tr>
        <w:trPr>
          <w:tblHeader w:val="0"/>
          <w:cantSplit w:val="0"/>
          <w:trHeight w:val="2402" w:hRule="atLeast"/>
        </w:trPr>
        <w:tc>
          <w:tcPr>
            <w:tcW w:w="8787" w:type="dxa"/>
            <w:gridSpan w:val="2"/>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Zufriedenheitsgrad des Mitarbeiters mit seinem gegenwärtigen Aufgabenbereich: </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zufrieden</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teils zufrieden, teils unzufrieden</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unzufrieden</w:t>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Falls unzufrieden, Beschreibung der Gründe für die Unzufriedenheit und vorgesehene Maßnahmen zur Wiederherstellung der Zufriedenheit im gewärtigen Tätigkeitsbereich:</w:t>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08" w:hRule="atLeast"/>
        </w:trPr>
        <w:tc>
          <w:tcPr>
            <w:tcW w:w="8787" w:type="dxa"/>
            <w:gridSpan w:val="2"/>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12. Entwicklungsziele und Potenzialeinschätzung</w:t>
            </w:r>
          </w:p>
        </w:tc>
      </w:tr>
      <w:tr>
        <w:trPr>
          <w:tblHeader w:val="0"/>
          <w:cantSplit w:val="0"/>
          <w:trHeight w:val="1448" w:hRule="atLeast"/>
        </w:trPr>
        <w:tc>
          <w:tcPr>
            <w:tcW w:w="8787" w:type="dxa"/>
            <w:gridSpan w:val="2"/>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Entwicklungsziele des Mitarbeiters:</w:t>
            </w:r>
          </w:p>
          <w:p>
            <w:pPr>
              <w:ind w:left="34" w:firstLine="0"/>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Der Mitarbeiter möchte sich zurzeit aus seiner aktuellen Funktion nicht weiterentwickeln.</w:t>
            </w:r>
          </w:p>
          <w:p>
            <w:pPr>
              <w:ind w:left="34" w:firstLine="0"/>
              <w:spacing w:before="120"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Der Mitarbeiter möchte eine andere Aufgabe übernehmen. Er strebt Folgendes an:</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kurzfristig: </w:t>
            </w:r>
          </w:p>
          <w:p>
            <w:pPr>
              <w:ind w:left="459" w:firstLine="284"/>
              <w:spacing w:before="120"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mittelfristig: </w:t>
            </w:r>
          </w:p>
          <w:p>
            <w:pPr>
              <w:ind w:left="459" w:firstLine="284"/>
              <w:spacing w:before="120"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langfristig: </w:t>
            </w:r>
          </w:p>
        </w:tc>
      </w:tr>
      <w:tr>
        <w:trPr>
          <w:tblHeader w:val="0"/>
          <w:cantSplit w:val="0"/>
          <w:trHeight w:val="2285" w:hRule="atLeast"/>
        </w:trPr>
        <w:tc>
          <w:tcPr>
            <w:tcW w:w="8787" w:type="dxa"/>
            <w:gridSpan w:val="2"/>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Potenzialeinschätzung durch die Führungskraft:</w:t>
            </w:r>
          </w:p>
          <w:p>
            <w:pPr>
              <w:ind w:left="34" w:firstLine="0"/>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w:t>
            </w:r>
            <w:r>
              <w:rPr>
                <w:rFonts w:eastAsia="Cambria" w:cs="Arial"/>
                <w:spacing w:val="-2" w:percent="97"/>
                <w:sz w:val="16"/>
                <w:szCs w:val="16"/>
              </w:rPr>
              <w:t>Der Mitarbeiter wird den zukünftigen Anforderungen seiner derzeitigen Funktion nur eingeschränkt gerecht werden können.</w:t>
            </w:r>
            <w:r>
              <w:rPr>
                <w:rFonts w:eastAsia="Cambria" w:cs="Arial"/>
                <w:sz w:val="16"/>
                <w:szCs w:val="16"/>
              </w:rPr>
            </w:r>
          </w:p>
          <w:p>
            <w:pPr>
              <w:ind w:left="34" w:firstLine="0"/>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Der Mitarbeiter kann seine derzeitige Funktion mit ihren zukünftigen Anforderungen bewältigen.</w:t>
            </w:r>
          </w:p>
          <w:p>
            <w:pPr>
              <w:ind w:left="34" w:firstLine="0"/>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Der Mitarbeiter kann komplexere Aufgaben auf derselben Strukturebene übernehmen.</w:t>
            </w:r>
          </w:p>
          <w:p>
            <w:pPr>
              <w:ind w:left="34" w:firstLine="0"/>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Der Mitarbeiter kann Aufgaben der nächsthöheren Strukturebene übernehmen.</w:t>
            </w:r>
          </w:p>
          <w:p>
            <w:pPr>
              <w:ind w:left="901" w:right="612" w:hanging="72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Erläuterung der Potenzialeinschätzung durch die Führungskraft und Konkretisierung der Entwicklungsziele:</w:t>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900" w:right="612" w:hanging="720"/>
              <w:spacing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08" w:hRule="atLeast"/>
        </w:trPr>
        <w:tc>
          <w:tcPr>
            <w:tcW w:w="8787" w:type="dxa"/>
            <w:gridSpan w:val="2"/>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13. Zukünftige Aufgaben und Tätigkeitsschwerpunkte</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16"/>
                <w:szCs w:val="16"/>
              </w:rPr>
              <w:t>Der Mitarbeiter wird im kommenden Jahr folgende Hauptaufgaben bearbeiten:</w:t>
            </w:r>
            <w:r>
              <w:rPr>
                <w:rFonts w:eastAsia="Cambria" w:cs="Arial"/>
                <w:sz w:val="20"/>
                <w:szCs w:val="24"/>
              </w:rPr>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(1)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(2)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(3)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(4) </w:t>
            </w:r>
          </w:p>
        </w:tc>
      </w:tr>
      <w:tr>
        <w:trPr>
          <w:tblHeader w:val="0"/>
          <w:cantSplit w:val="0"/>
          <w:trHeight w:val="508" w:hRule="atLeast"/>
        </w:trPr>
        <w:tc>
          <w:tcPr>
            <w:tcW w:w="8787" w:type="dxa"/>
            <w:gridSpan w:val="2"/>
            <w:vAlign w:val="center"/>
            <w:shd w:val="solid" w:color="E0EDCD" w:fill="auto" tmshd="256, 0, 13495776"/>
            <w:tcMar>
              <w:top w:w="0" w:type="dxa"/>
              <w:left w:w="108" w:type="dxa"/>
              <w:bottom w:w="0" w:type="dxa"/>
              <w:right w:w="108" w:type="dxa"/>
            </w:tcMar>
            <w:tcBorders>
              <w:top w:val="single" w:sz="12" w:space="0" w:color="262626" tmln="3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14. Zielvereinbarungen</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Folgende Ziele wurden festgelegt:</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(1)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(2)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(3)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(4) </w:t>
            </w:r>
          </w:p>
        </w:tc>
      </w:tr>
      <w:tr>
        <w:trPr>
          <w:tblHeader w:val="0"/>
          <w:cantSplit w:val="0"/>
          <w:trHeight w:val="510" w:hRule="atLeast"/>
        </w:trPr>
        <w:tc>
          <w:tcPr>
            <w:tcW w:w="8787" w:type="dxa"/>
            <w:gridSpan w:val="2"/>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 xml:space="preserve">15. Vereinbarung von Entwicklungs- und Fördermaßnahmen </w:t>
            </w:r>
          </w:p>
        </w:tc>
      </w:tr>
      <w:tr>
        <w:trPr>
          <w:tblHeader w:val="0"/>
          <w:cantSplit w:val="0"/>
          <w:trHeight w:val="510"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Der Mitarbeiter wird durch folgende Maßnahmen bei seiner Aufgabenerfüllung, Zielerreichung und Entwicklung unterstützt:</w:t>
            </w:r>
          </w:p>
        </w:tc>
      </w:tr>
      <w:tr>
        <w:trPr>
          <w:tblHeader w:val="0"/>
          <w:cantSplit w:val="0"/>
          <w:trHeight w:val="510" w:hRule="atLeast"/>
        </w:trPr>
        <w:tc>
          <w:tcPr>
            <w:tcW w:w="5810"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0070C0"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Entwicklungsmaßnahme</w:t>
            </w:r>
          </w:p>
        </w:tc>
        <w:tc>
          <w:tcPr>
            <w:tcW w:w="2977" w:type="dxa"/>
            <w:vAlign w:val="center"/>
            <w:shd w:val="none"/>
            <w:tcMar>
              <w:top w:w="0" w:type="dxa"/>
              <w:left w:w="108" w:type="dxa"/>
              <w:bottom w:w="0" w:type="dxa"/>
              <w:right w:w="108" w:type="dxa"/>
            </w:tcMar>
            <w:tcBorders>
              <w:top w:val="single" w:sz="2" w:space="0" w:color="DBDEE1" tmln="5, 20, 20, 0, 0"/>
              <w:left w:val="single" w:sz="4" w:space="0" w:color="0070C0"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Zeitraum</w:t>
            </w:r>
          </w:p>
        </w:tc>
      </w:tr>
      <w:tr>
        <w:trPr>
          <w:tblHeader w:val="0"/>
          <w:cantSplit w:val="0"/>
          <w:trHeight w:val="510" w:hRule="atLeast"/>
        </w:trPr>
        <w:tc>
          <w:tcPr>
            <w:tcW w:w="5810"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(1) </w:t>
            </w:r>
          </w:p>
        </w:tc>
        <w:tc>
          <w:tcPr>
            <w:tcW w:w="297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10" w:hRule="atLeast"/>
        </w:trPr>
        <w:tc>
          <w:tcPr>
            <w:tcW w:w="5810"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(2) </w:t>
            </w:r>
          </w:p>
        </w:tc>
        <w:tc>
          <w:tcPr>
            <w:tcW w:w="297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10" w:hRule="atLeast"/>
        </w:trPr>
        <w:tc>
          <w:tcPr>
            <w:tcW w:w="5810"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(3) </w:t>
            </w:r>
          </w:p>
        </w:tc>
        <w:tc>
          <w:tcPr>
            <w:tcW w:w="297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510" w:hRule="atLeast"/>
        </w:trPr>
        <w:tc>
          <w:tcPr>
            <w:tcW w:w="5810"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360" w:hanging="326"/>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(4) </w:t>
            </w:r>
          </w:p>
        </w:tc>
        <w:tc>
          <w:tcPr>
            <w:tcW w:w="2977"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683" w:hRule="atLeast"/>
        </w:trPr>
        <w:tc>
          <w:tcPr>
            <w:tcW w:w="8787" w:type="dxa"/>
            <w:gridSpan w:val="2"/>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Wir möchten zu Entwicklungsmaßnahmen von der Personalabteilung beraten werden:</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ja</w:t>
            </w:r>
          </w:p>
          <w:p>
            <w:pPr>
              <w:ind w:left="459" w:firstLine="284"/>
              <w:spacing w:before="120" w:after="12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24"/>
                <w:szCs w:val="24"/>
              </w:rPr>
              <w:t>☐</w:t>
            </w:r>
            <w:r>
              <w:rPr>
                <w:rFonts w:eastAsia="Cambria" w:cs="Arial"/>
                <w:sz w:val="16"/>
                <w:szCs w:val="16"/>
              </w:rPr>
              <w:t xml:space="preserve">  nein</w:t>
            </w:r>
            <w:r>
              <w:rPr>
                <w:rFonts w:eastAsia="Cambria" w:cs="Arial"/>
                <w:sz w:val="20"/>
                <w:szCs w:val="24"/>
              </w:rPr>
            </w:r>
          </w:p>
        </w:tc>
      </w:tr>
    </w:tbl>
    <w:p>
      <w:pPr>
        <w:spacing w:after="0"/>
      </w:pPr>
      <w:r/>
    </w:p>
    <w:tbl>
      <w:tblPr>
        <w:tblStyle w:val="TableNormal"/>
        <w:name w:val="Tabelle161"/>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0" w:hRule="auto"/>
        </w:trPr>
        <w:tc>
          <w:tcPr>
            <w:tcW w:w="8787" w:type="dxa"/>
            <w:shd w:val="solid" w:color="98B46C" w:fill="auto" tmshd="256, 0, 7124120"/>
            <w:tcMar>
              <w:top w:w="0" w:type="dxa"/>
              <w:left w:w="108" w:type="dxa"/>
              <w:bottom w:w="0" w:type="dxa"/>
              <w:right w:w="108"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85596603" protected="0"/>
          </w:tcPr>
          <w:p>
            <w:pPr>
              <w:ind w:firstLine="0"/>
              <w:spacing w:before="40" w:after="40" w:line="240" w:lineRule="exact"/>
              <w:tabs defTabSz="709">
                <w:tab w:val="left" w:pos="666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Malgun Gothic" w:cs="Basic Roman"/>
                <w:szCs w:val="22"/>
              </w:rPr>
            </w:pPr>
            <w:r>
              <w:rPr>
                <w:rFonts w:eastAsia="Malgun Gothic" w:cs="Basic Roman"/>
                <w:sz w:val="20"/>
                <w:szCs w:val="24"/>
              </w:rPr>
              <w:t>C: Austausch zu Führung und Zusammenarbeit</w:t>
            </w:r>
            <w:r>
              <w:rPr>
                <w:rFonts w:eastAsia="Malgun Gothic" w:cs="Basic Roman"/>
                <w:szCs w:val="22"/>
              </w:rPr>
            </w:r>
          </w:p>
        </w:tc>
      </w:tr>
    </w:tbl>
    <w:p>
      <w:pPr>
        <w:spacing w:after="0"/>
      </w:pPr>
      <w:r/>
    </w:p>
    <w:tbl>
      <w:tblPr>
        <w:tblStyle w:val="TableNormal"/>
        <w:name w:val="Tabelle162"/>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16. Verhaltens-Feedback</w:t>
            </w:r>
          </w:p>
        </w:tc>
      </w:tr>
      <w:tr>
        <w:trPr>
          <w:tblHeader w:val="0"/>
          <w:cantSplit w:val="0"/>
          <w:trHeight w:val="888"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 xml:space="preserve">Kurze Darstellung, wie die Zusammenarbeit und Führung − von beiden Seiten − empfunden wird: </w:t>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992"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Vorschläge und Vereinbarungen zur Verbesserung der Zusammenarbeit und Führung:</w:t>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0" w:line="260" w:lineRule="exact"/>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r>
        <w:trPr>
          <w:tblHeader w:val="0"/>
          <w:cantSplit w:val="0"/>
          <w:trHeight w:val="1077"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left="34" w:firstLine="0"/>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Kurze Darstellung, wie die Zusammenarbeit mit den Kollegen empfunden wird. Ggf. Vorschläge für Verbesserungsmöglichkeiten:</w:t>
            </w:r>
          </w:p>
          <w:p>
            <w:pPr>
              <w:ind w:left="360" w:hanging="326"/>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360" w:hanging="326"/>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360" w:hanging="326"/>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bl>
    <w:p>
      <w:r/>
    </w:p>
    <w:p>
      <w:r/>
    </w:p>
    <w:tbl>
      <w:tblPr>
        <w:tblStyle w:val="TableNormal"/>
        <w:name w:val="Tabelle163"/>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17. Bemerkungen des Mitarbeiters</w:t>
            </w:r>
          </w:p>
        </w:tc>
      </w:tr>
      <w:tr>
        <w:trPr>
          <w:tblHeader w:val="0"/>
          <w:cantSplit w:val="0"/>
          <w:trHeight w:val="722"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20"/>
                <w:szCs w:val="24"/>
              </w:rPr>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20"/>
                <w:szCs w:val="24"/>
              </w:rPr>
            </w:r>
          </w:p>
        </w:tc>
      </w:tr>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18. Bemerkungen des Vorgesetzten</w:t>
            </w:r>
          </w:p>
        </w:tc>
      </w:tr>
      <w:tr>
        <w:trPr>
          <w:tblHeader w:val="0"/>
          <w:cantSplit w:val="0"/>
          <w:trHeight w:val="722"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20"/>
                <w:szCs w:val="24"/>
              </w:rPr>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20"/>
                <w:szCs w:val="24"/>
              </w:rPr>
            </w:pPr>
            <w:r>
              <w:rPr>
                <w:rFonts w:eastAsia="Cambria" w:cs="Arial"/>
                <w:sz w:val="20"/>
                <w:szCs w:val="24"/>
              </w:rPr>
            </w:r>
          </w:p>
        </w:tc>
      </w:tr>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hanging="142"/>
              <w:spacing w:before="180" w:after="180"/>
              <w:tabs defTabSz="709">
                <w:tab w:val="center" w:pos="4536" w:leader="none"/>
                <w:tab w:val="right"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b/>
                <w:color w:val="00998A"/>
                <w:sz w:val="20"/>
                <w:szCs w:val="24"/>
              </w:rPr>
            </w:pPr>
            <w:r>
              <w:rPr>
                <w:rFonts w:eastAsia="Cambria" w:cs="Arial"/>
                <w:b/>
                <w:color w:val="00998A"/>
                <w:sz w:val="20"/>
                <w:szCs w:val="24"/>
              </w:rPr>
              <w:t>19. Dokumentation &amp; Unterschriften</w:t>
            </w:r>
          </w:p>
        </w:tc>
      </w:tr>
      <w:tr>
        <w:trPr>
          <w:tblHeader w:val="0"/>
          <w:cantSplit w:val="0"/>
          <w:trHeight w:val="4840"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1.</w:t>
              <w:tab/>
              <w:t>Das Formular wird entsprechend den im Gespräch besprochenen Inhalten ausgefüllt und unterschrieben.</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2.</w:t>
              <w:tab/>
              <w:t>Mit seiner Unterschrift bestätigt der Mitarbeiter,</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b/>
              <w:t>a)</w:t>
              <w:tab/>
              <w:t xml:space="preserve">dass er die Beurteilung und die damit zum Ausdruck gebrachten Einschätzungen und Erwartungen </w:t>
              <w:br w:type="textWrapping"/>
              <w:tab/>
              <w:tab/>
              <w:t>seiner Führungskraft zur Kenntnis genommen hat,</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b/>
              <w:t>b)</w:t>
              <w:tab/>
              <w:t>dass die Durchführung der dokumentierten Maßnahmen und Ziele verbindlich vereinbart wurde.</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ab/>
              <w:t xml:space="preserve">Mit seiner Unterschrift dokumentiert der Mitarbeiter </w:t>
            </w:r>
            <w:r>
              <w:rPr>
                <w:rFonts w:eastAsia="Cambria" w:cs="Arial"/>
                <w:b/>
                <w:sz w:val="16"/>
                <w:szCs w:val="16"/>
              </w:rPr>
              <w:t>nicht</w:t>
            </w:r>
            <w:r>
              <w:rPr>
                <w:rFonts w:eastAsia="Cambria" w:cs="Arial"/>
                <w:sz w:val="16"/>
                <w:szCs w:val="16"/>
              </w:rPr>
              <w:t xml:space="preserve"> sein Einverständnis mit der Beurteilung.</w:t>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firstLine="0"/>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24"/>
                <w:szCs w:val="24"/>
              </w:rPr>
              <w:t>☐</w:t>
            </w:r>
            <w:r>
              <w:rPr>
                <w:rFonts w:eastAsia="Cambria" w:cs="Arial"/>
                <w:sz w:val="16"/>
                <w:szCs w:val="16"/>
              </w:rPr>
              <w:t xml:space="preserve">  Eine Stellungnahme des Mitarbeiters zur Ergebniseinschätzung liegt bei.</w:t>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168" w:hanging="1134"/>
              <w:spacing w:after="120" w:line="260" w:lineRule="exact"/>
              <w:tabs defTabSz="709">
                <w:tab w:val="left" w:pos="439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color w:val="DBDEE1"/>
                <w:sz w:val="16"/>
                <w:szCs w:val="16"/>
              </w:rPr>
            </w:pPr>
            <w:r>
              <w:rPr>
                <w:rFonts w:eastAsia="Cambria" w:cs="Arial"/>
                <w:color w:val="DBDEE1"/>
                <w:sz w:val="16"/>
                <w:szCs w:val="16"/>
              </w:rPr>
              <w:t>__________________________________________________</w:t>
            </w:r>
          </w:p>
          <w:p>
            <w:pPr>
              <w:ind w:firstLine="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Datum</w:t>
              <w:tab/>
              <w:tab/>
              <w:tab/>
              <w:tab/>
              <w:tab/>
              <w:t>Unterschrift Mitarbeiter</w:t>
            </w:r>
          </w:p>
          <w:p>
            <w:pPr>
              <w:ind w:left="176" w:hanging="142"/>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76" w:hanging="142"/>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color w:val="DBDEE1"/>
                <w:sz w:val="16"/>
                <w:szCs w:val="16"/>
              </w:rPr>
            </w:pPr>
            <w:r>
              <w:rPr>
                <w:rFonts w:eastAsia="Cambria" w:cs="Arial"/>
                <w:color w:val="DBDEE1"/>
                <w:sz w:val="16"/>
                <w:szCs w:val="16"/>
              </w:rPr>
              <w:t>__________________________________________________</w:t>
            </w:r>
          </w:p>
          <w:p>
            <w:pPr>
              <w:ind w:left="176" w:hanging="142"/>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Datum</w:t>
              <w:tab/>
              <w:tab/>
              <w:tab/>
              <w:tab/>
              <w:tab/>
              <w:t>Unterschrift Vorgesetzter</w:t>
            </w:r>
          </w:p>
          <w:p>
            <w:pPr>
              <w:ind w:left="176" w:hanging="142"/>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76" w:hanging="142"/>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color w:val="DBDEE1"/>
                <w:sz w:val="16"/>
                <w:szCs w:val="16"/>
              </w:rPr>
            </w:pPr>
            <w:r>
              <w:rPr>
                <w:rFonts w:eastAsia="Cambria" w:cs="Arial"/>
                <w:color w:val="DBDEE1"/>
                <w:sz w:val="16"/>
                <w:szCs w:val="16"/>
              </w:rPr>
              <w:t>__________________________________________________</w:t>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t>Datum</w:t>
              <w:tab/>
              <w:tab/>
              <w:tab/>
              <w:t>Unterschrift nächsthöherer Vorgesetzter</w:t>
            </w:r>
          </w:p>
          <w:p>
            <w:pPr>
              <w:ind w:left="1168" w:hanging="1134"/>
              <w:spacing w:after="12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sz w:val="16"/>
                <w:szCs w:val="16"/>
              </w:rPr>
            </w:pPr>
            <w:r>
              <w:rPr>
                <w:rFonts w:eastAsia="Cambria" w:cs="Arial"/>
                <w:sz w:val="16"/>
                <w:szCs w:val="16"/>
              </w:rPr>
            </w:r>
          </w:p>
        </w:tc>
      </w:tr>
    </w:tbl>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pPr>
        <w:pStyle w:val="para2"/>
        <w:numPr>
          <w:ilvl w:val="1"/>
          <w:numId w:val="42"/>
        </w:numPr>
        <w:ind w:left="578" w:hanging="578"/>
      </w:pPr>
      <w:r>
        <w:br w:type="page"/>
      </w:r>
      <w:bookmarkStart w:id="210" w:name="_TOC002154"/>
      <w:r>
        <w:t>Vom Kritikgespräch zur Abmahnung</w:t>
      </w:r>
      <w:bookmarkEnd w:id="210"/>
      <w:r/>
    </w:p>
    <w:p>
      <w:r>
        <w:t>Der konstruktive Umgang mit Fehlern und Schwierigkeiten bildet die Grundlage für eine lernfördernde Unternehmenskultur. Dennoch gibt es viele Führungskräfte, die sich scheuen, Fehlverhalten oder nicht ausreichende Leistung offen anzusprechen. Die Bandbreite der Gründe dafür reicht von Angst vor Widerspruch oder emotionalen Reaktionen über ausgeprägtes Harmoniebedürfnis bis hin zu Befürchtungen, man könne den Mitarbeiter durch Kritik verletzen oder demotivieren. Dass sie ihm dadurch die Möglichkeit nehmen, sein fehlerhaftes Verhalten zu korrigieren, dazuzulernen und sich weiterzuentwickeln, ist ihnen oft nicht bewusst.</w:t>
      </w:r>
    </w:p>
    <w:p>
      <w:r>
        <w:t>In der Regel erfolgt ein Kritikgespräch, wenn sich das Verhalten des Mitarbeiters nach einem Feedback, in dem die zu beanstandenden Punkte verbunden mit anschaulichen, realisierbaren Veränderungswünschen thematisiert wurden, nicht oder nicht ausreichend verändert hat. Wesentliche Zielsetzungen eines Kritikgesprächs sind, dem Beschäftigten sein Fehlverhalten bzw. die nicht ausreichende Leistung sowie die Auswirkungen seines Verhaltens auf das Arbeitsergebnis oder beteiligte Personen deutlich vor Augen zu führen, seine Sichtweise zum Sachverhalt kennenzulernen und zu diskutieren sowie Lösungen zu erarbeiten, auf deren Basis konkrete verbindliche Vereinbarungen getroffen werden, die eine Wiederholung des Fehlverhaltens verhindern und die Angelegenheit aus der Welt schaffen sollen.</w:t>
      </w:r>
    </w:p>
    <w:p>
      <w:r>
        <w:t xml:space="preserve">In den meisten Fällen ist damit die Situation bereinigt. Sollte dies jedoch nicht der Fall sein, folgt ein sogenanntes 'verschärftes Kritikgespräch'. In diesem geht es neben dem anhaltenden Fehlverhalten auch um die Ernsthaftigkeit, mit der der Mitarbeiter die mit seinem Vorgesetzten getroffenen Vereinbarungen umsetzt. Gleichzeitig wird der Beschäftigte in diesem Gespräch über die Konsequenzen informiert, mit denen er bei anhaltendem Fehlverhalten zu rechnen hat. </w:t>
      </w:r>
    </w:p>
    <w:p>
      <w:r>
        <w:t>Angenommen, der Mitarbeiter hält sich auch danach noch nicht an die Vereinbarungen, so werden die angedrohten Konsequenzen realisiert. Je nach Schwere des Fehlverhaltens kommt es dann zu einer Ermahnung, ohne unmittelbare arbeitsrechtliche Folgen, oder zu einer Abmahnung, aufgrund welcher das beanstandete Verhalten im Wiederholungsfall zur Kündigung führen kann.</w:t>
      </w:r>
    </w:p>
    <w:p>
      <w:r>
        <w:t xml:space="preserve">Mitarbeitergespräche letzterer Art werden in der Regel im Beisein eines Zeugen – meist jemand aus der Personalabteilung – geführt. Auch sollte sich die Führungskraft vorab mit ihrem nächsthöheren Vorgesetzten abstimmen. Ziel eines Abmahnungsgesprächs ist es, dem Mitarbeiter unmissverständlich darzulegen, dass eine Fortsetzung seines Fehlverhaltens die Kündigung zur Folge haben wird. Im Gespräch wird dann das Verhalten, um das es geht, exakt und wertungsfrei beschrieben und die Kritikpunkte mit Daten, Zahlen, Fakten stichhaltig belegt. Im Anschluss daran wird die Abmahnung erteilt. Der Mitarbeiter erhält zwar auch dieses Mal die Möglichkeit, zum Sachverhalt Stellung zu nehmen und seine Sichtweise darzulegen, doch wird die Entscheidung nicht mehr revidiert. Abschließend werden zukünftig erwartete Verhaltensweisen explizit aufgezeigt und konkrete Vereinbarungen getroffen. Eine Kopie der Abmahnung sowie das Protokoll des Gesprächs werden in der Personalakte abgelegt; die Abmahnung selbst muss dem Mitarbeiter nachweisbar zugestellt werden. </w:t>
      </w:r>
    </w:p>
    <w:p>
      <w:r/>
    </w:p>
    <w:p>
      <w:pPr>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cols w:num="2" w:equalWidth="1" w:space="340"/>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pPr>
    </w:p>
    <w:p>
      <w:r/>
    </w:p>
    <w:p>
      <w:pPr>
        <w:pStyle w:val="para3"/>
        <w:numPr>
          <w:ilvl w:val="2"/>
          <w:numId w:val="42"/>
        </w:numPr>
        <w:ind w:left="737" w:hanging="737"/>
      </w:pPr>
      <w:r>
        <w:br w:type="page"/>
      </w:r>
      <w:bookmarkStart w:id="211" w:name="_TOC002155"/>
      <w:r>
        <w:t>Leitfäden und Formulare</w:t>
      </w:r>
      <w:bookmarkEnd w:id="211"/>
      <w:r/>
    </w:p>
    <w:p>
      <w:pPr>
        <w:pStyle w:val="para4"/>
        <w:numPr>
          <w:ilvl w:val="3"/>
          <w:numId w:val="42"/>
        </w:numPr>
        <w:ind w:left="864" w:hanging="864"/>
      </w:pPr>
      <w:bookmarkStart w:id="212" w:name="_TOC002156"/>
      <w:r>
        <w:t>Muster einer Ermahnung</w:t>
      </w:r>
      <w:bookmarkEnd w:id="212"/>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sz w:val="20"/>
          <w:szCs w:val="20"/>
        </w:rPr>
        <w:t xml:space="preserve">Herrn/Frau </w:t>
      </w:r>
      <w:r>
        <w:rPr>
          <w:rFonts w:ascii="Arial" w:hAnsi="Arial" w:eastAsia="Cambria" w:cs="Arial"/>
          <w:bCs/>
          <w:color w:val="00998A"/>
          <w:sz w:val="20"/>
          <w:szCs w:val="20"/>
        </w:rPr>
        <w:t>Name des Mitarbeiters</w:t>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color w:val="00998A"/>
          <w:sz w:val="20"/>
          <w:szCs w:val="20"/>
        </w:rPr>
        <w:t>Anschrift</w:t>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jc w:val="righ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color w:val="00998A"/>
          <w:sz w:val="20"/>
          <w:szCs w:val="20"/>
        </w:rPr>
        <w:t>Ort des Unternehmens</w:t>
      </w:r>
      <w:r>
        <w:rPr>
          <w:rFonts w:ascii="Arial" w:hAnsi="Arial" w:eastAsia="Cambria" w:cs="Arial"/>
          <w:bCs/>
          <w:sz w:val="20"/>
          <w:szCs w:val="20"/>
        </w:rPr>
        <w:t xml:space="preserve">, den </w:t>
      </w:r>
      <w:r>
        <w:rPr>
          <w:rFonts w:ascii="Arial" w:hAnsi="Arial" w:eastAsia="Cambria" w:cs="Arial"/>
          <w:bCs/>
          <w:color w:val="00998A"/>
          <w:sz w:val="20"/>
          <w:szCs w:val="20"/>
        </w:rPr>
        <w:t>Datum</w:t>
      </w: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bCs/>
          <w:sz w:val="20"/>
          <w:szCs w:val="20"/>
        </w:rPr>
      </w:pPr>
      <w:r>
        <w:rPr>
          <w:rFonts w:ascii="Arial" w:hAnsi="Arial" w:eastAsia="Cambria" w:cs="Arial"/>
          <w:b/>
          <w:bCs/>
          <w:sz w:val="20"/>
          <w:szCs w:val="20"/>
        </w:rPr>
        <w:t>Ermahnung</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Sehr geehrte Frau/Sehr geehrter</w:t>
      </w:r>
      <w:r>
        <w:rPr>
          <w:rFonts w:ascii="Arial" w:hAnsi="Arial" w:eastAsia="Cambria" w:cs="Arial"/>
          <w:bCs/>
          <w:color w:val="000000"/>
          <w:sz w:val="20"/>
          <w:szCs w:val="20"/>
        </w:rPr>
        <w:t xml:space="preserve"> Herr</w:t>
      </w:r>
      <w:r>
        <w:rPr>
          <w:rFonts w:ascii="Arial" w:hAnsi="Arial" w:eastAsia="Cambria" w:cs="Arial"/>
          <w:bCs/>
          <w:color w:val="262626"/>
          <w:sz w:val="20"/>
          <w:szCs w:val="20"/>
        </w:rPr>
        <w:t xml:space="preserve"> </w:t>
      </w:r>
      <w:r>
        <w:rPr>
          <w:rFonts w:ascii="Arial" w:hAnsi="Arial" w:eastAsia="Cambria" w:cs="Arial"/>
          <w:bCs/>
          <w:color w:val="00998A"/>
          <w:sz w:val="20"/>
          <w:szCs w:val="20"/>
        </w:rPr>
        <w:t>Name des Mitarbeiters</w:t>
      </w:r>
      <w:r>
        <w:rPr>
          <w:rFonts w:ascii="Arial" w:hAnsi="Arial" w:eastAsia="Cambria" w:cs="Arial"/>
          <w:bCs/>
          <w:color w:val="000000"/>
          <w:sz w:val="20"/>
          <w:szCs w:val="20"/>
        </w:rPr>
        <w:t>,</w:t>
      </w: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262626"/>
          <w:sz w:val="20"/>
          <w:szCs w:val="20"/>
        </w:rPr>
      </w:pPr>
      <w:r>
        <w:rPr>
          <w:rFonts w:ascii="Arial" w:hAnsi="Arial" w:eastAsia="Cambria" w:cs="Arial"/>
          <w:bCs/>
          <w:sz w:val="20"/>
          <w:szCs w:val="20"/>
        </w:rPr>
        <w:t xml:space="preserve">leider müssen wir Sie wegen folgenden Vorfalles ermahnen. Trotz wiederholter Anweisung durch Ihren Vorgesetzten haben Sie </w:t>
      </w:r>
      <w:r>
        <w:rPr>
          <w:rFonts w:ascii="Arial" w:hAnsi="Arial" w:eastAsia="Cambria" w:cs="Arial"/>
          <w:bCs/>
          <w:color w:val="00998A"/>
          <w:sz w:val="20"/>
          <w:szCs w:val="20"/>
        </w:rPr>
        <w:t>genaue und detaillierte nachvollziehbare Beschreibung des Vorfalls.</w:t>
      </w:r>
      <w:r>
        <w:rPr>
          <w:rFonts w:ascii="Arial" w:hAnsi="Arial" w:eastAsia="Cambria" w:cs="Arial"/>
          <w:bCs/>
          <w:color w:val="262626"/>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Wir erwarten von Ihnen, dass Sie sich künftig arbeitsvertragskonform verhalten und halten Sie dazu an, künftig die Anweisungen Ihres Vorgesetzten zu befolgen.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Sie haben die Möglichkeit, sich innerhalb einer Frist von drei Wochen zu dieser Ermahnung schriftlich zu äußern. Ihre Stellungnahme wird mit einer Kopie dieser Ermahnung zu Ihrer Personalakte genommen.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Mit freundlichen Grüßen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color w:val="00998A"/>
          <w:sz w:val="20"/>
          <w:szCs w:val="20"/>
        </w:rPr>
        <w:t>Unterschrift des Vorgesetzten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Diese Ermahnung habe ich heute erhalten. Ihren Inhalt habe ich zur Kenntnis genommen.</w:t>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1168" w:hanging="850"/>
        <w:spacing w:after="0" w:line="260" w:lineRule="exact"/>
        <w:tabs defTabSz="709">
          <w:tab w:val="left" w:pos="439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Arial"/>
          <w:color w:val="DBDEE1"/>
          <w:sz w:val="16"/>
          <w:szCs w:val="16"/>
        </w:rPr>
      </w:pPr>
      <w:r>
        <w:rPr>
          <w:rFonts w:eastAsia="Cambria" w:cs="Arial"/>
          <w:color w:val="DBDEE1"/>
          <w:sz w:val="16"/>
          <w:szCs w:val="16"/>
        </w:rPr>
        <w:t>_________________________________________________________________________</w:t>
      </w:r>
    </w:p>
    <w:p>
      <w:pPr>
        <w:ind w:left="176" w:firstLine="142"/>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Ort, Datum</w:t>
        <w:tab/>
        <w:tab/>
        <w:tab/>
        <w:tab/>
        <w:t>Unterschrift Mitarbeiter</w:t>
      </w:r>
    </w:p>
    <w:p>
      <w:r/>
    </w:p>
    <w:p>
      <w:pPr>
        <w:pStyle w:val="para4"/>
        <w:numPr>
          <w:ilvl w:val="3"/>
          <w:numId w:val="42"/>
        </w:numPr>
        <w:ind w:left="864" w:hanging="864"/>
      </w:pPr>
      <w:bookmarkStart w:id="213" w:name="_TOC002157"/>
      <w:r>
        <w:t>Muster einer Abmahnung</w:t>
      </w:r>
      <w:bookmarkEnd w:id="213"/>
      <w:r/>
    </w:p>
    <w:p>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sz w:val="20"/>
          <w:szCs w:val="20"/>
        </w:rPr>
        <w:t xml:space="preserve">Herrn/Frau </w:t>
      </w:r>
      <w:r>
        <w:rPr>
          <w:rFonts w:ascii="Arial" w:hAnsi="Arial" w:eastAsia="Cambria" w:cs="Arial"/>
          <w:bCs/>
          <w:color w:val="00998A"/>
          <w:sz w:val="20"/>
          <w:szCs w:val="20"/>
        </w:rPr>
        <w:t>Name des Mitarbeiters</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color w:val="00998A"/>
          <w:sz w:val="20"/>
          <w:szCs w:val="20"/>
        </w:rPr>
        <w:t>Anschrift</w:t>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4" w:right="318" w:firstLine="318"/>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color w:val="00998A"/>
          <w:sz w:val="20"/>
          <w:szCs w:val="20"/>
        </w:rPr>
        <w:t>Ort des Unternehmens</w:t>
      </w:r>
      <w:r>
        <w:rPr>
          <w:rFonts w:ascii="Arial" w:hAnsi="Arial" w:eastAsia="Cambria" w:cs="Arial"/>
          <w:bCs/>
          <w:sz w:val="20"/>
          <w:szCs w:val="20"/>
        </w:rPr>
        <w:t xml:space="preserve">, den </w:t>
      </w:r>
      <w:r>
        <w:rPr>
          <w:rFonts w:ascii="Arial" w:hAnsi="Arial" w:eastAsia="Cambria" w:cs="Arial"/>
          <w:bCs/>
          <w:color w:val="00998A"/>
          <w:sz w:val="20"/>
          <w:szCs w:val="20"/>
        </w:rPr>
        <w:t>Datum</w:t>
      </w: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bCs/>
          <w:sz w:val="20"/>
          <w:szCs w:val="20"/>
        </w:rPr>
      </w:pPr>
      <w:r>
        <w:rPr>
          <w:rFonts w:ascii="Arial" w:hAnsi="Arial" w:eastAsia="Cambria" w:cs="Arial"/>
          <w:b/>
          <w:bCs/>
          <w:sz w:val="20"/>
          <w:szCs w:val="20"/>
        </w:rPr>
        <w:t>Abmahnung</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Sehr geehrte Frau/Sehr geehrter</w:t>
      </w:r>
      <w:r>
        <w:rPr>
          <w:rFonts w:ascii="Arial" w:hAnsi="Arial" w:eastAsia="Cambria" w:cs="Arial"/>
          <w:bCs/>
          <w:color w:val="000000"/>
          <w:sz w:val="20"/>
          <w:szCs w:val="20"/>
        </w:rPr>
        <w:t xml:space="preserve"> Herr</w:t>
      </w:r>
      <w:r>
        <w:rPr>
          <w:rFonts w:ascii="Arial" w:hAnsi="Arial" w:eastAsia="Cambria" w:cs="Arial"/>
          <w:bCs/>
          <w:color w:val="262626"/>
          <w:sz w:val="20"/>
          <w:szCs w:val="20"/>
        </w:rPr>
        <w:t xml:space="preserve"> </w:t>
      </w:r>
      <w:r>
        <w:rPr>
          <w:rFonts w:ascii="Arial" w:hAnsi="Arial" w:eastAsia="Cambria" w:cs="Arial"/>
          <w:bCs/>
          <w:color w:val="00998A"/>
          <w:sz w:val="20"/>
          <w:szCs w:val="20"/>
        </w:rPr>
        <w:t>Name des Mitarbeiters</w:t>
      </w:r>
      <w:r>
        <w:rPr>
          <w:rFonts w:ascii="Arial" w:hAnsi="Arial" w:eastAsia="Cambria" w:cs="Arial"/>
          <w:bCs/>
          <w:color w:val="000000"/>
          <w:sz w:val="20"/>
          <w:szCs w:val="20"/>
        </w:rPr>
        <w:t>,</w:t>
      </w: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284"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 xml:space="preserve">obwohl wir Sie mit Schreiben vom </w:t>
      </w:r>
      <w:r>
        <w:rPr>
          <w:rFonts w:ascii="Arial" w:hAnsi="Arial" w:eastAsia="Cambria" w:cs="Arial"/>
          <w:bCs/>
          <w:color w:val="00998A"/>
          <w:sz w:val="20"/>
          <w:szCs w:val="20"/>
        </w:rPr>
        <w:t>Angabe des Datums</w:t>
      </w:r>
      <w:r>
        <w:rPr>
          <w:rFonts w:ascii="Arial" w:hAnsi="Arial" w:eastAsia="Cambria" w:cs="Arial"/>
          <w:bCs/>
          <w:sz w:val="20"/>
          <w:szCs w:val="20"/>
        </w:rPr>
        <w:t xml:space="preserve"> wegen </w:t>
      </w:r>
      <w:r>
        <w:rPr>
          <w:rFonts w:ascii="Arial" w:hAnsi="Arial" w:eastAsia="Cambria" w:cs="Arial"/>
          <w:bCs/>
          <w:color w:val="00998A"/>
          <w:sz w:val="20"/>
          <w:szCs w:val="20"/>
        </w:rPr>
        <w:t>Angabe des Grundes</w:t>
      </w:r>
      <w:r>
        <w:rPr>
          <w:rFonts w:ascii="Arial" w:hAnsi="Arial" w:eastAsia="Cambria" w:cs="Arial"/>
          <w:bCs/>
          <w:sz w:val="20"/>
          <w:szCs w:val="20"/>
        </w:rPr>
        <w:t xml:space="preserve"> ermahnt haben, haben Sie </w:t>
      </w:r>
      <w:r>
        <w:rPr>
          <w:rFonts w:ascii="Arial" w:hAnsi="Arial" w:eastAsia="Cambria" w:cs="Arial"/>
          <w:bCs/>
          <w:color w:val="00998A"/>
          <w:sz w:val="20"/>
          <w:szCs w:val="20"/>
        </w:rPr>
        <w:t>präzise Beschreibung und Beanstandung des Fehlverhaltens unter Angabe von Ort, Datum und Zeit</w:t>
      </w:r>
      <w:r>
        <w:rPr>
          <w:rFonts w:ascii="Arial" w:hAnsi="Arial" w:eastAsia="Cambria" w:cs="Arial"/>
          <w:bCs/>
          <w:sz w:val="20"/>
          <w:szCs w:val="20"/>
        </w:rPr>
        <w:t xml:space="preserve">. </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262626"/>
          <w:sz w:val="20"/>
          <w:szCs w:val="20"/>
        </w:rPr>
      </w:pPr>
      <w:r>
        <w:rPr>
          <w:rFonts w:ascii="Arial" w:hAnsi="Arial" w:eastAsia="Cambria" w:cs="Arial"/>
          <w:bCs/>
          <w:sz w:val="20"/>
          <w:szCs w:val="20"/>
        </w:rPr>
        <w:t xml:space="preserve">Wir fordern Sie auf, </w:t>
      </w:r>
      <w:r>
        <w:rPr>
          <w:rFonts w:ascii="Arial" w:hAnsi="Arial" w:eastAsia="Cambria" w:cs="Arial"/>
          <w:bCs/>
          <w:color w:val="00998A"/>
          <w:sz w:val="20"/>
          <w:szCs w:val="20"/>
        </w:rPr>
        <w:t>genaue Beschreibung des zukünftig richtigen Verhaltens</w:t>
      </w:r>
      <w:r>
        <w:rPr>
          <w:rFonts w:ascii="Arial" w:hAnsi="Arial" w:eastAsia="Cambria" w:cs="Arial"/>
          <w:bCs/>
          <w:sz w:val="20"/>
          <w:szCs w:val="20"/>
        </w:rPr>
        <w:t>.</w:t>
      </w:r>
      <w:r>
        <w:rPr>
          <w:rFonts w:ascii="Arial" w:hAnsi="Arial" w:eastAsia="Cambria" w:cs="Arial"/>
          <w:bCs/>
          <w:color w:val="262626"/>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Sollten Sie dieser ersten Aufforderung nicht Folge leisten, müssen Sie mit einer Kündigung Ihres Arbeitsverhältnisses rechnen.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Sie haben die Möglichkeit, sich innerhalb einer Frist von drei Wochen zu dieser Abmahnung schriftlich zu äußern. Ihre Stellungnahme wird mit einer Kopie dieser Abmahnung zu Ihrer Personalakte genommen.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Mit freundlichen Grüßen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color w:val="00998A"/>
          <w:sz w:val="20"/>
          <w:szCs w:val="20"/>
        </w:rPr>
      </w:pPr>
      <w:r>
        <w:rPr>
          <w:rFonts w:ascii="Arial" w:hAnsi="Arial" w:eastAsia="Cambria" w:cs="Arial"/>
          <w:bCs/>
          <w:color w:val="00998A"/>
          <w:sz w:val="20"/>
          <w:szCs w:val="20"/>
        </w:rPr>
        <w:t>Unterschriften</w:t>
      </w:r>
    </w:p>
    <w:p>
      <w:pPr>
        <w:ind w:left="318" w:right="318"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r>
    </w:p>
    <w:p>
      <w:pPr>
        <w:ind w:left="318" w:right="317" w:firstLine="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Cs/>
          <w:sz w:val="20"/>
          <w:szCs w:val="20"/>
        </w:rPr>
      </w:pPr>
      <w:r>
        <w:rPr>
          <w:rFonts w:ascii="Arial" w:hAnsi="Arial" w:eastAsia="Cambria" w:cs="Arial"/>
          <w:bCs/>
          <w:sz w:val="20"/>
          <w:szCs w:val="20"/>
        </w:rPr>
        <w:t>Diese Abmahnung habe ich heute erhalten. Ihren Inhalt habe ich zur Kenntnis genommen.</w:t>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4"/>
        </w:rPr>
      </w:pPr>
      <w:r>
        <w:rPr>
          <w:rFonts w:ascii="Arial" w:hAnsi="Arial" w:eastAsia="Cambria" w:cs="Arial"/>
          <w:sz w:val="20"/>
          <w:szCs w:val="24"/>
        </w:rPr>
      </w:r>
    </w:p>
    <w:p>
      <w:pPr>
        <w:ind w:left="358" w:hanging="40"/>
        <w:spacing w:after="0" w:line="30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Malgun Gothic" w:cs="Arial"/>
          <w:sz w:val="20"/>
          <w:szCs w:val="24"/>
        </w:rPr>
      </w:pPr>
      <w:r>
        <w:rPr>
          <w:rFonts w:ascii="Arial" w:hAnsi="Arial" w:eastAsia="Malgun Gothic" w:cs="Arial"/>
          <w:sz w:val="20"/>
          <w:szCs w:val="24"/>
        </w:rPr>
      </w:r>
    </w:p>
    <w:p>
      <w:pPr>
        <w:ind w:left="1168" w:hanging="850"/>
        <w:spacing w:after="0" w:line="260" w:lineRule="exact"/>
        <w:tabs defTabSz="709">
          <w:tab w:val="left" w:pos="439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Malgun Gothic" w:cs="Arial"/>
          <w:color w:val="DBDEE1"/>
          <w:sz w:val="16"/>
          <w:szCs w:val="16"/>
        </w:rPr>
      </w:pPr>
      <w:r>
        <w:rPr>
          <w:rFonts w:ascii="Arial" w:hAnsi="Arial" w:eastAsia="Malgun Gothic" w:cs="Arial"/>
          <w:color w:val="DBDEE1"/>
          <w:sz w:val="16"/>
          <w:szCs w:val="16"/>
        </w:rPr>
        <w:t>_________________________________________________________________________</w:t>
      </w:r>
    </w:p>
    <w:p>
      <w:pPr>
        <w:ind w:left="176" w:firstLine="142"/>
        <w:spacing w:after="0" w:line="26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Malgun Gothic" w:cs="Arial"/>
          <w:bCs/>
          <w:sz w:val="20"/>
          <w:szCs w:val="20"/>
        </w:rPr>
      </w:pPr>
      <w:r>
        <w:rPr>
          <w:rFonts w:ascii="Arial" w:hAnsi="Arial" w:eastAsia="Cambria" w:cs="Arial"/>
          <w:bCs/>
          <w:sz w:val="20"/>
          <w:szCs w:val="20"/>
        </w:rPr>
        <w:t>Ort, Datum</w:t>
      </w:r>
      <w:r>
        <w:rPr>
          <w:rFonts w:ascii="Arial" w:hAnsi="Arial" w:eastAsia="Malgun Gothic" w:cs="Arial"/>
          <w:bCs/>
          <w:sz w:val="20"/>
          <w:szCs w:val="20"/>
        </w:rPr>
        <w:tab/>
        <w:tab/>
        <w:tab/>
      </w:r>
      <w:r>
        <w:rPr>
          <w:rFonts w:ascii="Arial" w:hAnsi="Arial" w:eastAsia="Cambria" w:cs="Arial"/>
          <w:bCs/>
          <w:sz w:val="20"/>
          <w:szCs w:val="20"/>
        </w:rPr>
        <w:tab/>
      </w:r>
      <w:r>
        <w:rPr>
          <w:rFonts w:ascii="Arial" w:hAnsi="Arial" w:eastAsia="Malgun Gothic" w:cs="Arial"/>
          <w:bCs/>
          <w:sz w:val="20"/>
          <w:szCs w:val="20"/>
        </w:rPr>
        <w:t>Unterschrift Mitarbeiter</w:t>
      </w:r>
    </w:p>
    <w:p>
      <w:r/>
    </w:p>
    <w:p>
      <w:r/>
    </w:p>
    <w:p>
      <w:r/>
    </w:p>
    <w:p>
      <w:pPr>
        <w:pStyle w:val="para4"/>
        <w:numPr>
          <w:ilvl w:val="3"/>
          <w:numId w:val="42"/>
        </w:numPr>
        <w:ind w:left="864" w:hanging="864"/>
      </w:pPr>
      <w:bookmarkStart w:id="214" w:name="_TOC002158"/>
      <w:r>
        <w:t>Kritik-, Ermahnungs- oder Abmahnungsgespräch – Vorbereitungsbogen</w:t>
      </w:r>
      <w:bookmarkEnd w:id="214"/>
      <w:r/>
    </w:p>
    <w:p>
      <w:r/>
    </w:p>
    <w:tbl>
      <w:tblPr>
        <w:tblStyle w:val="TableNormal"/>
        <w:name w:val="Tabelle164"/>
        <w:tabOrder w:val="0"/>
        <w:jc w:val="left"/>
        <w:tblInd w:w="0" w:type="dxa"/>
        <w:tblW w:w="8787" w:type="dxa"/>
        <w:pPr>
          <w:spacing/>
          <w:jc w:val="left"/>
        </w:pPr>
        <w:tblLook w:val="0600" w:firstRow="0" w:lastRow="0" w:firstColumn="0" w:lastColumn="0" w:noHBand="1" w:noVBand="1"/>
      </w:tblPr>
      <w:tblGrid>
        <w:gridCol w:w="3537"/>
        <w:gridCol w:w="5250"/>
      </w:tblGrid>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0" w:type="dxa"/>
            <w:shd w:val="solid" w:color="E0EDCD" w:fill="auto" tmshd="256, 0, 13495776"/>
            <w:tcMar>
              <w:top w:w="0" w:type="dxa"/>
              <w:left w:w="108" w:type="dxa"/>
              <w:bottom w:w="0" w:type="dxa"/>
              <w:right w:w="108" w:type="dxa"/>
            </w:tcMar>
            <w:tcBorders>
              <w:top w:val="single" w:sz="16" w:space="0" w:color="AECF7C" tmln="4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82"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120"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Detaillierte Informationen zum Fehlverhalten</w:t>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Um welchen Sachverhalt geht es genau? Was konkret die sind Kritikpunkte?</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Was davon beruht auf meinen eigenen Beobachtungen? Und anhand welcher Beispiele, Daten, Zahlen oder Fakten kann ich es belegen bzw. beweisen? </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Was davon beruht auf Aussagen dritter Personen? Und anhand welcher Beispiele, Daten, Zahlen oder Fakten kann ich es belegen bzw. beweisen? </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228"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120"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Negative Auswirkungen des Fehlverhaltens</w:t>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Wie wirkt sich das Fehlverhalten ggf. auf die Arbeitsergebnisse des Mitarbeiters aus? </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wirkt sich das Fehlverhalten ggf. auf das Team bzw. auf die Kollegen des Mitarbeiters aus?</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wirkt sich das Fehlverhalten ggf. auf das Unternehmen aus?</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587" w:hRule="atLeas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wirkt sich das Fehlverhalten ggf. auf Kunden aus?</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bl>
    <w:p>
      <w:r/>
    </w:p>
    <w:tbl>
      <w:tblPr>
        <w:tblStyle w:val="TableNormal"/>
        <w:name w:val="Tabelle165"/>
        <w:tabOrder w:val="0"/>
        <w:jc w:val="left"/>
        <w:tblInd w:w="0" w:type="dxa"/>
        <w:tblW w:w="8787" w:type="dxa"/>
        <w:pPr>
          <w:spacing/>
          <w:jc w:val="left"/>
        </w:pPr>
        <w:tblLook w:val="0600" w:firstRow="0" w:lastRow="0" w:firstColumn="0" w:lastColumn="0" w:noHBand="1" w:noVBand="1"/>
      </w:tblPr>
      <w:tblGrid>
        <w:gridCol w:w="3537"/>
        <w:gridCol w:w="5250"/>
      </w:tblGrid>
      <w:tr>
        <w:trPr>
          <w:tblHeader w:val="0"/>
          <w:cantSplit w:val="0"/>
          <w:trHeight w:val="0" w:hRule="auto"/>
        </w:trPr>
        <w:tc>
          <w:tcPr>
            <w:tcW w:w="353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pStyle w:val="para39"/>
              <w:ind w:left="533" w:hanging="357"/>
              <w:spacing w:before="240" w:after="240" w:line="240" w:lineRule="exact"/>
              <w:contextualSpacing/>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Vorbereitungsaspekte</w:t>
            </w:r>
          </w:p>
        </w:tc>
        <w:tc>
          <w:tcPr>
            <w:tcW w:w="5250" w:type="dxa"/>
            <w:shd w:val="solid" w:color="E0EDCD" w:fill="auto" tmshd="256, 0, 13495776"/>
            <w:tcMar>
              <w:top w:w="0" w:type="dxa"/>
              <w:left w:w="108" w:type="dxa"/>
              <w:bottom w:w="0" w:type="dxa"/>
              <w:right w:w="108" w:type="dxa"/>
            </w:tcMar>
            <w:tcBorders>
              <w:top w:val="single" w:sz="16" w:space="0" w:color="AECF7C" tmln="4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240" w:after="24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Notizen zu den Leitfragen</w:t>
            </w:r>
          </w:p>
        </w:tc>
      </w:tr>
      <w:tr>
        <w:trPr>
          <w:tblHeader w:val="0"/>
          <w:cantSplit w:val="0"/>
          <w:trHeight w:val="82"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120"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Ziele, Maßnahmen, Konsequenzen</w:t>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Was sind meine eigenen Ziele für das bevorstehende Gespräch?</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Welches konkrete Verhalten erwarte ich zukünftig von dem Mitarbeiter?</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Maßnahmen und Lösungen möchte ich ihm vorschlagen?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Konsequenzen werde ich ggf. androhen?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82" w:hRule="atLeast"/>
        </w:trPr>
        <w:tc>
          <w:tcPr>
            <w:tcW w:w="8787" w:type="dxa"/>
            <w:gridSpan w:val="2"/>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176" w:firstLine="0"/>
              <w:spacing w:before="120" w:after="12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sz w:val="20"/>
                <w:szCs w:val="20"/>
              </w:rPr>
              <w:t>Einschätzung des Mitarbeiters</w:t>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Wie sind Leistungen und Arbeitsverhalten des Mitarbeiters bisher generell einzuschätzen?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Inwieweit gibt es bezüglich seines Fehlverhaltens bereits eine Vorgeschichte?</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Welche möglichen Ziele und Absichten wird der Mitarbeiter im bevorstehenden Gespräch verfolgen?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r>
        <w:trPr>
          <w:tblHeader w:val="0"/>
          <w:cantSplit w:val="0"/>
          <w:trHeight w:val="1474" w:hRule="exact"/>
        </w:trPr>
        <w:tc>
          <w:tcPr>
            <w:tcW w:w="3537" w:type="dxa"/>
            <w:vAlign w:val="center"/>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4" w:space="0" w:color="DBDEE1" tmln="10, 20, 20, 0, 0"/>
              <w:tl2br w:val="nil" w:sz="0" w:space="0" w:color="000000" tmln="20, 20, 20, 0, 0"/>
              <w:tr2bl w:val="nil" w:sz="0" w:space="0" w:color="000000" tmln="20, 20, 20, 0, 0"/>
            </w:tcBorders>
            <w:tmTcPr id="1785596603" protected="0"/>
          </w:tcPr>
          <w:p>
            <w:pPr>
              <w:ind w:left="176"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Mit welchen Reaktionen und Einwänden seitens des Mitarbeiters ist im Gespräch zu rechnen? Und wie will ich ggf. darauf reagieren?</w:t>
            </w:r>
          </w:p>
        </w:tc>
        <w:tc>
          <w:tcPr>
            <w:tcW w:w="5250" w:type="dxa"/>
            <w:vAlign w:val="center"/>
            <w:shd w:val="none"/>
            <w:tcMar>
              <w:top w:w="0" w:type="dxa"/>
              <w:left w:w="108" w:type="dxa"/>
              <w:bottom w:w="0" w:type="dxa"/>
              <w:right w:w="108" w:type="dxa"/>
            </w:tcMar>
            <w:tcBorders>
              <w:top w:val="single" w:sz="4" w:space="0" w:color="DBDEE1" tmln="10, 20, 20, 0, 0"/>
              <w:left w:val="single" w:sz="4" w:space="0" w:color="DBDEE1" tmln="1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300" w:lineRule="exact"/>
              <w:jc w:val="lef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rebuchet MS" w:hAnsi="Trebuchet MS" w:eastAsia="Cambria" w:cs="Arial"/>
                <w:szCs w:val="24"/>
              </w:rPr>
            </w:pPr>
            <w:r>
              <w:rPr>
                <w:rFonts w:ascii="Trebuchet MS" w:hAnsi="Trebuchet MS" w:eastAsia="Cambria" w:cs="Arial"/>
                <w:szCs w:val="24"/>
              </w:rPr>
            </w:r>
          </w:p>
        </w:tc>
      </w:tr>
    </w:tbl>
    <w:p>
      <w:r/>
    </w:p>
    <w:p>
      <w:pPr>
        <w:pStyle w:val="para4"/>
        <w:numPr>
          <w:ilvl w:val="3"/>
          <w:numId w:val="42"/>
        </w:numPr>
        <w:ind w:left="864" w:hanging="864"/>
      </w:pPr>
      <w:bookmarkStart w:id="215" w:name="_TOC002159"/>
      <w:r>
        <w:t>Leitfaden zum Kritikgespräch</w:t>
      </w:r>
      <w:bookmarkEnd w:id="215"/>
      <w:r/>
    </w:p>
    <w:p>
      <w:r/>
    </w:p>
    <w:tbl>
      <w:tblPr>
        <w:tblStyle w:val="TableNormal"/>
        <w:name w:val="Tabelle166"/>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A: Gesprächsvorbereitung</w:t>
            </w:r>
            <w:r>
              <w:rPr>
                <w:rFonts w:ascii="Arial" w:hAnsi="Arial" w:eastAsia="Cambria" w:cs="Arial"/>
                <w:b/>
                <w:sz w:val="20"/>
                <w:szCs w:val="20"/>
              </w:rPr>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Konkrete Kritikpunkte anhand von Informationen, Unterlagen, Daten, Fakten zusammenstellen.</w:t>
            </w:r>
          </w:p>
          <w:p>
            <w:pPr>
              <w:pStyle w:val="para40"/>
              <w:numPr>
                <w:ilvl w:val="0"/>
                <w:numId w:val="58"/>
              </w:numPr>
              <w:ind w:left="454" w:hanging="284"/>
              <w:spacing w:after="0"/>
            </w:pPr>
            <w:r>
              <w:t>Ggf. einen 'Vorbereitungsbogen für ein Kritikgespräch' nutzen.</w:t>
            </w:r>
          </w:p>
          <w:p>
            <w:pPr>
              <w:pStyle w:val="para40"/>
              <w:numPr>
                <w:ilvl w:val="0"/>
                <w:numId w:val="58"/>
              </w:numPr>
              <w:ind w:left="454" w:hanging="284"/>
              <w:spacing w:after="0"/>
            </w:pPr>
            <w:r>
              <w:t>Minimal- und Maximalziel für das Gespräch festlegen.</w:t>
            </w:r>
          </w:p>
          <w:p>
            <w:pPr>
              <w:pStyle w:val="para40"/>
              <w:numPr>
                <w:ilvl w:val="0"/>
                <w:numId w:val="58"/>
              </w:numPr>
              <w:ind w:left="454" w:hanging="284"/>
              <w:spacing w:after="0"/>
            </w:pPr>
            <w:r>
              <w:t>Vermutete Einwände und Argumente des Mitarbeiters sammeln.</w:t>
            </w:r>
          </w:p>
          <w:p>
            <w:pPr>
              <w:pStyle w:val="para40"/>
              <w:numPr>
                <w:ilvl w:val="0"/>
                <w:numId w:val="58"/>
              </w:numPr>
              <w:ind w:left="454" w:hanging="284"/>
              <w:spacing w:after="0"/>
            </w:pPr>
            <w:r>
              <w:t>Eigene Gegenargumente und Reaktionsmöglichkeiten durchspielen.</w:t>
            </w:r>
          </w:p>
          <w:p>
            <w:pPr>
              <w:pStyle w:val="para40"/>
              <w:numPr>
                <w:ilvl w:val="0"/>
                <w:numId w:val="58"/>
              </w:numPr>
              <w:ind w:left="454" w:hanging="284"/>
              <w:spacing w:after="0"/>
            </w:pPr>
            <w:r>
              <w:rPr>
                <w:rFonts w:eastAsia="Malgun Gothic"/>
              </w:rPr>
              <w:t>Den Mitarbeiter zum Gespräch bitten und ihn über Anlass, Zeitpunkt und Ort des Gesprächs informieren.</w:t>
            </w:r>
            <w:r/>
          </w:p>
        </w:tc>
      </w:tr>
    </w:tbl>
    <w:p>
      <w:r/>
    </w:p>
    <w:tbl>
      <w:tblPr>
        <w:tblStyle w:val="TableNormal"/>
        <w:name w:val="Tabelle167"/>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B: Gesprächsdurchführung</w:t>
            </w:r>
            <w:r>
              <w:rPr>
                <w:rFonts w:ascii="Arial" w:hAnsi="Arial" w:eastAsia="Cambria" w:cs="Arial"/>
                <w:b/>
                <w:sz w:val="20"/>
                <w:szCs w:val="20"/>
              </w:rPr>
            </w:r>
          </w:p>
        </w:tc>
      </w:tr>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firstLine="0"/>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1: Kontakt aufbauen</w:t>
            </w:r>
          </w:p>
        </w:tc>
      </w:tr>
      <w:tr>
        <w:trPr>
          <w:tblHeader w:val="0"/>
          <w:cantSplit w:val="0"/>
          <w:trHeight w:val="1082"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Begrüßen.</w:t>
            </w:r>
          </w:p>
          <w:p>
            <w:pPr>
              <w:pStyle w:val="para40"/>
              <w:numPr>
                <w:ilvl w:val="0"/>
                <w:numId w:val="58"/>
              </w:numPr>
              <w:ind w:left="454" w:hanging="284"/>
              <w:spacing w:after="0"/>
            </w:pPr>
            <w:r>
              <w:t>Sitzplatz und Getränk anbieten.</w:t>
            </w:r>
          </w:p>
          <w:p>
            <w:pPr>
              <w:pStyle w:val="para40"/>
              <w:numPr>
                <w:ilvl w:val="0"/>
                <w:numId w:val="58"/>
              </w:numPr>
              <w:ind w:left="454" w:hanging="284"/>
              <w:spacing w:after="0"/>
            </w:pPr>
            <w:r>
              <w:t>Positives Gesprächsklima schaffen.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39"/>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2: Rahmenbedingungen erläutern</w:t>
            </w:r>
          </w:p>
        </w:tc>
      </w:tr>
      <w:tr>
        <w:trPr>
          <w:tblHeader w:val="0"/>
          <w:cantSplit w:val="0"/>
          <w:trHeight w:val="705"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Gesprächsanlass und -ziel nennen.</w:t>
            </w:r>
          </w:p>
          <w:p>
            <w:pPr>
              <w:pStyle w:val="para40"/>
              <w:numPr>
                <w:ilvl w:val="0"/>
                <w:numId w:val="58"/>
              </w:numPr>
              <w:ind w:left="454" w:hanging="284"/>
              <w:spacing w:after="0"/>
            </w:pPr>
            <w:r>
              <w:t>Zeitrahmen festsetzen: 30-45 Minuten.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39"/>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3: Den Sachverhalt aus Sicht der Führungskraft bearbeiten</w:t>
            </w:r>
          </w:p>
        </w:tc>
      </w:tr>
      <w:tr>
        <w:trPr>
          <w:tblHeader w:val="0"/>
          <w:cantSplit w:val="0"/>
          <w:trHeight w:val="2430"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Das Fehlverhalten, um das es geht, exakt und wertungsfrei beschreiben und dabei die Kritikpunkte stichhaltig und nachvollziehbar begründen.</w:t>
            </w:r>
          </w:p>
          <w:p>
            <w:pPr>
              <w:pStyle w:val="para40"/>
              <w:numPr>
                <w:ilvl w:val="0"/>
                <w:numId w:val="58"/>
              </w:numPr>
              <w:ind w:left="454" w:hanging="284"/>
              <w:spacing w:after="0"/>
            </w:pPr>
            <w:r>
              <w:t>Deutlich machen, dass nicht die gesamte Person oder Leistung infrage gestellt wird, sondern nur ein bestimmtes Verhalten in einer bestimmten Situation.</w:t>
            </w:r>
          </w:p>
          <w:p>
            <w:pPr>
              <w:pStyle w:val="para40"/>
              <w:numPr>
                <w:ilvl w:val="0"/>
                <w:numId w:val="58"/>
              </w:numPr>
              <w:ind w:left="454" w:hanging="284"/>
              <w:spacing w:after="0"/>
            </w:pPr>
            <w:r>
              <w:t>Auswirkungen des Fehlverhaltens auf z.B. das Arbeitsergebnis oder beteiligte Personen wie Kollegen, Vorgesetzte, Kunden schildern.</w:t>
            </w:r>
          </w:p>
          <w:p>
            <w:pPr>
              <w:pStyle w:val="para40"/>
              <w:numPr>
                <w:ilvl w:val="0"/>
                <w:numId w:val="58"/>
              </w:numPr>
              <w:ind w:left="454" w:hanging="284"/>
              <w:spacing w:after="0"/>
            </w:pPr>
            <w:r>
              <w:t>Formulierungen wählen, die es dem Mitarbeiter ermöglichen, die Folgen seines Fehlverhaltens aus der Perspektive anderer Personen nachzuvollziehen.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4: Sichtweise des Mitarbeiters kennenlernen</w:t>
            </w:r>
            <w:r>
              <w:rPr>
                <w:rFonts w:ascii="Arial" w:hAnsi="Arial" w:eastAsia="Cambria" w:cs="Arial"/>
                <w:sz w:val="20"/>
                <w:szCs w:val="20"/>
              </w:rPr>
            </w:r>
          </w:p>
        </w:tc>
      </w:tr>
      <w:tr>
        <w:trPr>
          <w:tblHeader w:val="0"/>
          <w:cantSplit w:val="0"/>
          <w:trHeight w:val="1378"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Dem Mitarbeiter die Möglichkeit geben, zum Sachverhalt Stellung zu nehmen.</w:t>
            </w:r>
          </w:p>
          <w:p>
            <w:pPr>
              <w:pStyle w:val="para40"/>
              <w:numPr>
                <w:ilvl w:val="0"/>
                <w:numId w:val="58"/>
              </w:numPr>
              <w:ind w:left="454" w:hanging="284"/>
              <w:spacing w:after="0"/>
            </w:pPr>
            <w:r>
              <w:t>Nach den Ursachen des Fehlverhaltens fragen.</w:t>
            </w:r>
          </w:p>
          <w:p>
            <w:pPr>
              <w:pStyle w:val="para40"/>
              <w:numPr>
                <w:ilvl w:val="0"/>
                <w:numId w:val="58"/>
              </w:numPr>
              <w:ind w:left="454" w:hanging="284"/>
              <w:spacing w:after="0"/>
            </w:pPr>
            <w:r>
              <w:t>Unvoreingenommen zuhören und versuchen, die Sichtweise des Mitarbeiters nachzuvollziehen.</w:t>
            </w:r>
          </w:p>
          <w:p>
            <w:pPr>
              <w:pStyle w:val="para40"/>
              <w:numPr>
                <w:ilvl w:val="0"/>
                <w:numId w:val="58"/>
              </w:numPr>
              <w:ind w:left="454" w:hanging="284"/>
              <w:spacing w:after="0"/>
            </w:pPr>
            <w:r>
              <w:t>Aber: Bei Abwehrstrategien und Ausweichmanövern des Mitarbeiters angemessen reagieren und konsequent auf das Thema zurückführen.</w:t>
            </w:r>
          </w:p>
        </w:tc>
      </w:tr>
    </w:tbl>
    <w:p>
      <w:r/>
    </w:p>
    <w:p>
      <w:r>
        <w:br w:type="page"/>
      </w:r>
    </w:p>
    <w:tbl>
      <w:tblPr>
        <w:tblStyle w:val="TableNormal"/>
        <w:name w:val="Tabelle168"/>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5: Reflexion und Abweichungsanalyse</w:t>
            </w:r>
            <w:r>
              <w:rPr>
                <w:rFonts w:ascii="Arial" w:hAnsi="Arial" w:eastAsia="Cambria" w:cs="Arial"/>
                <w:sz w:val="20"/>
                <w:szCs w:val="20"/>
              </w:rPr>
            </w:r>
          </w:p>
        </w:tc>
      </w:tr>
      <w:tr>
        <w:trPr>
          <w:tblHeader w:val="0"/>
          <w:cantSplit w:val="0"/>
          <w:trHeight w:val="1104"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Die beiden Sichtweisen miteinander vergleichen; dabei übereinstimmende und abweichende Aspekte herausarbeiten.</w:t>
            </w:r>
          </w:p>
          <w:p>
            <w:pPr>
              <w:pStyle w:val="para40"/>
              <w:numPr>
                <w:ilvl w:val="0"/>
                <w:numId w:val="58"/>
              </w:numPr>
              <w:ind w:left="454" w:hanging="284"/>
              <w:spacing w:after="0"/>
            </w:pPr>
            <w:r>
              <w:t>Mögliche Unterscheide in der Wahrnehmung oder Missverständnisse klären.</w:t>
            </w:r>
          </w:p>
          <w:p>
            <w:pPr>
              <w:pStyle w:val="para40"/>
              <w:numPr>
                <w:ilvl w:val="0"/>
                <w:numId w:val="58"/>
              </w:numPr>
              <w:ind w:left="454" w:hanging="284"/>
              <w:spacing w:after="0"/>
            </w:pPr>
            <w:r>
              <w:t>Ursachen und Gründe für das Fehlverhalten herausarbeiten.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6: Lösungsfindung</w:t>
            </w:r>
            <w:r>
              <w:rPr>
                <w:rFonts w:ascii="Arial" w:hAnsi="Arial" w:eastAsia="Cambria" w:cs="Arial"/>
                <w:sz w:val="20"/>
                <w:szCs w:val="20"/>
              </w:rPr>
            </w:r>
          </w:p>
        </w:tc>
      </w:tr>
      <w:tr>
        <w:trPr>
          <w:tblHeader w:val="0"/>
          <w:cantSplit w:val="0"/>
          <w:trHeight w:val="2110"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Den Mitarbeiter anhalten, selbst Lösungsvorschläge zu machen.</w:t>
            </w:r>
          </w:p>
          <w:p>
            <w:pPr>
              <w:pStyle w:val="para40"/>
              <w:numPr>
                <w:ilvl w:val="0"/>
                <w:numId w:val="58"/>
              </w:numPr>
              <w:ind w:left="454" w:hanging="284"/>
              <w:spacing w:after="0"/>
            </w:pPr>
            <w:r>
              <w:t>Falls er keine hat oder machen möchte, die eigenen Erwartungen präzise benennen.</w:t>
            </w:r>
          </w:p>
          <w:p>
            <w:pPr>
              <w:pStyle w:val="para40"/>
              <w:numPr>
                <w:ilvl w:val="0"/>
                <w:numId w:val="58"/>
              </w:numPr>
              <w:ind w:left="454" w:hanging="284"/>
              <w:spacing w:after="0"/>
            </w:pPr>
            <w:r>
              <w:t>Bei mehreren Lösungsmöglichkeiten die Vorschläge diskutieren und nach einem Konsens suchen, den beide Seiten akzeptieren.</w:t>
            </w:r>
          </w:p>
          <w:p>
            <w:pPr>
              <w:pStyle w:val="para40"/>
              <w:numPr>
                <w:ilvl w:val="0"/>
                <w:numId w:val="58"/>
              </w:numPr>
              <w:ind w:left="454" w:hanging="284"/>
              <w:spacing w:after="0"/>
            </w:pPr>
            <w:r>
              <w:t>Überprüfen, inwieweit die Führungskraft den Mitarbeiter bei der Umsetzung der Vereinbarungen unterstützen kann.</w:t>
            </w:r>
          </w:p>
          <w:p>
            <w:pPr>
              <w:pStyle w:val="para40"/>
              <w:numPr>
                <w:ilvl w:val="0"/>
                <w:numId w:val="58"/>
              </w:numPr>
              <w:ind w:left="454" w:hanging="284"/>
              <w:spacing w:after="0"/>
            </w:pPr>
            <w:r>
              <w:t>Kontrolle des zukünftigen Verhaltens deutlich ankündigen.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000000" tmln="10, 20, 20, 0, 0"/>
              <w:left w:val="single" w:sz="16" w:space="0" w:color="AECF7C" tmln="4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7: Gespräch positiv beenden</w:t>
            </w:r>
            <w:r>
              <w:rPr>
                <w:rFonts w:ascii="Arial" w:hAnsi="Arial" w:eastAsia="Cambria" w:cs="Arial"/>
                <w:sz w:val="20"/>
                <w:szCs w:val="20"/>
              </w:rPr>
            </w:r>
          </w:p>
        </w:tc>
      </w:tr>
      <w:tr>
        <w:trPr>
          <w:tblHeader w:val="0"/>
          <w:cantSplit w:val="0"/>
          <w:trHeight w:val="794" w:hRule="atLeast"/>
        </w:trPr>
        <w:tc>
          <w:tcPr>
            <w:tcW w:w="8787" w:type="dxa"/>
            <w:shd w:val="none"/>
            <w:tcMar>
              <w:top w:w="113" w:type="dxa"/>
              <w:left w:w="108" w:type="dxa"/>
              <w:bottom w:w="113" w:type="dxa"/>
              <w:right w:w="108" w:type="dxa"/>
            </w:tcMar>
            <w:tcBorders>
              <w:top w:val="single" w:sz="4" w:space="0" w:color="000000"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Gesprächsergebnisse und Vereinbarungen zusammenfassen.</w:t>
            </w:r>
          </w:p>
          <w:p>
            <w:pPr>
              <w:pStyle w:val="para40"/>
              <w:numPr>
                <w:ilvl w:val="0"/>
                <w:numId w:val="58"/>
              </w:numPr>
              <w:ind w:left="454" w:hanging="284"/>
              <w:spacing w:after="0"/>
            </w:pPr>
            <w:r>
              <w:t>Den Nutzen betonen, den der Mitarbeiter durch die Verhaltensänderung haben wird.</w:t>
            </w:r>
          </w:p>
          <w:p>
            <w:pPr>
              <w:pStyle w:val="para40"/>
              <w:numPr>
                <w:ilvl w:val="0"/>
                <w:numId w:val="58"/>
              </w:numPr>
              <w:ind w:left="454" w:hanging="284"/>
              <w:spacing w:after="0"/>
            </w:pPr>
            <w:r>
              <w:t>Termin für ein Folgegespräch vereinbaren, das die Überprüfung des vereinbarten Verhaltens zum Inhalt hat.</w:t>
            </w:r>
          </w:p>
          <w:p>
            <w:pPr>
              <w:pStyle w:val="para40"/>
              <w:numPr>
                <w:ilvl w:val="0"/>
                <w:numId w:val="58"/>
              </w:numPr>
              <w:ind w:left="454" w:hanging="284"/>
              <w:spacing w:after="0"/>
            </w:pPr>
            <w:r>
              <w:t>Für die konstruktive Zusammenarbeit danken.</w:t>
            </w:r>
          </w:p>
          <w:p>
            <w:pPr>
              <w:pStyle w:val="para40"/>
              <w:numPr>
                <w:ilvl w:val="0"/>
                <w:numId w:val="58"/>
              </w:numPr>
              <w:ind w:left="454" w:hanging="284"/>
              <w:spacing w:after="0"/>
            </w:pPr>
            <w:r>
              <w:t>Verabschieden.</w:t>
            </w:r>
          </w:p>
        </w:tc>
      </w:tr>
    </w:tbl>
    <w:p>
      <w:r/>
    </w:p>
    <w:tbl>
      <w:tblPr>
        <w:tblStyle w:val="TableNormal"/>
        <w:name w:val="Tabelle169"/>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AECF7C" w:fill="auto" tmshd="256, 0, 817963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C: Gesprächsnachbereitung</w:t>
            </w:r>
            <w:r>
              <w:rPr>
                <w:rFonts w:ascii="Arial" w:hAnsi="Arial" w:eastAsia="Cambria" w:cs="Arial"/>
                <w:b/>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Überprüfungstermin ins Zeitplansystem eintragen.</w:t>
            </w:r>
          </w:p>
          <w:p>
            <w:pPr>
              <w:pStyle w:val="para40"/>
              <w:numPr>
                <w:ilvl w:val="0"/>
                <w:numId w:val="58"/>
              </w:numPr>
              <w:ind w:left="454" w:hanging="284"/>
              <w:spacing w:after="0"/>
            </w:pPr>
            <w:r>
              <w:t>Eigene gegebene Zusagen einhalten und Aktivitäten zeitnah umsetzen.</w:t>
            </w:r>
          </w:p>
          <w:p>
            <w:pPr>
              <w:pStyle w:val="para40"/>
              <w:numPr>
                <w:ilvl w:val="0"/>
                <w:numId w:val="58"/>
              </w:numPr>
              <w:ind w:left="454" w:hanging="284"/>
              <w:spacing w:after="0"/>
            </w:pPr>
            <w:r>
              <w:t>Beobachten, inwieweit dem Mitarbeiter die Umsetzung der getroffenen Vereinbarungen gelingt.</w:t>
            </w:r>
          </w:p>
          <w:p>
            <w:pPr>
              <w:pStyle w:val="para40"/>
              <w:numPr>
                <w:ilvl w:val="0"/>
                <w:numId w:val="58"/>
              </w:numPr>
              <w:ind w:left="454" w:hanging="284"/>
              <w:spacing w:after="0"/>
            </w:pPr>
            <w:r>
              <w:t>Beobachtung</w:t>
            </w:r>
            <w:r>
              <w:rPr>
                <w:rFonts w:eastAsia="Malgun Gothic"/>
              </w:rPr>
              <w:t>sprotokoll führen und Fortschritte wie erneutes Fehlverhalten dokumentieren.</w:t>
            </w:r>
            <w:r/>
          </w:p>
        </w:tc>
      </w:tr>
    </w:tbl>
    <w:p>
      <w:r/>
    </w:p>
    <w:p>
      <w:pPr>
        <w:pStyle w:val="para4"/>
        <w:numPr>
          <w:ilvl w:val="3"/>
          <w:numId w:val="42"/>
        </w:numPr>
        <w:ind w:left="864" w:hanging="864"/>
      </w:pPr>
      <w:r>
        <w:br w:type="page"/>
      </w:r>
      <w:bookmarkStart w:id="216" w:name="_TOC002160"/>
      <w:r>
        <w:t>Leitfaden zum Abmahnungsgespräch</w:t>
      </w:r>
      <w:bookmarkEnd w:id="216"/>
      <w:r/>
    </w:p>
    <w:p>
      <w:r/>
    </w:p>
    <w:tbl>
      <w:tblPr>
        <w:tblStyle w:val="TableNormal"/>
        <w:name w:val="Tabelle170"/>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A: Gesprächsvorbereitung</w:t>
            </w:r>
            <w:r>
              <w:rPr>
                <w:rFonts w:ascii="Arial" w:hAnsi="Arial" w:eastAsia="Cambria" w:cs="Arial"/>
                <w:b/>
                <w:sz w:val="20"/>
                <w:szCs w:val="20"/>
              </w:rPr>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Sachverhalt minutiös recherchieren, eindeutige Beweise zusammenstellen.</w:t>
            </w:r>
          </w:p>
          <w:p>
            <w:pPr>
              <w:pStyle w:val="para40"/>
              <w:numPr>
                <w:ilvl w:val="0"/>
                <w:numId w:val="58"/>
              </w:numPr>
              <w:ind w:left="454" w:hanging="284"/>
              <w:spacing w:after="0"/>
            </w:pPr>
            <w:r>
              <w:t>Rücksprache und Abstimmung mit dem nächsthöheren Vorgesetzten.</w:t>
            </w:r>
          </w:p>
          <w:p>
            <w:pPr>
              <w:pStyle w:val="para40"/>
              <w:numPr>
                <w:ilvl w:val="0"/>
                <w:numId w:val="58"/>
              </w:numPr>
              <w:ind w:left="454" w:hanging="284"/>
              <w:spacing w:after="0"/>
            </w:pPr>
            <w:r>
              <w:t>Wegen der arbeitsrechtlichen Folgen die Personalabteilung oder einen Fachanwalt für Arbeitsrecht einbinden.</w:t>
            </w:r>
          </w:p>
          <w:p>
            <w:pPr>
              <w:pStyle w:val="para40"/>
              <w:numPr>
                <w:ilvl w:val="0"/>
                <w:numId w:val="58"/>
              </w:numPr>
              <w:ind w:left="454" w:hanging="284"/>
              <w:spacing w:after="0"/>
            </w:pPr>
            <w:r>
              <w:t>Minimal- und Maximalziel für das Gespräch festlegen.</w:t>
            </w:r>
          </w:p>
          <w:p>
            <w:pPr>
              <w:pStyle w:val="para40"/>
              <w:numPr>
                <w:ilvl w:val="0"/>
                <w:numId w:val="58"/>
              </w:numPr>
              <w:ind w:left="454" w:hanging="284"/>
              <w:spacing w:after="0"/>
            </w:pPr>
            <w:r>
              <w:t>Vermutete Einwände und Argumente des Mitarbeiters sammeln.</w:t>
            </w:r>
          </w:p>
          <w:p>
            <w:pPr>
              <w:pStyle w:val="para40"/>
              <w:numPr>
                <w:ilvl w:val="0"/>
                <w:numId w:val="58"/>
              </w:numPr>
              <w:ind w:left="454" w:hanging="284"/>
              <w:spacing w:after="0"/>
            </w:pPr>
            <w:r>
              <w:t>Eigene Gegenargumente und Reaktionsmöglichkeiten durchspielen.</w:t>
            </w:r>
          </w:p>
          <w:p>
            <w:pPr>
              <w:pStyle w:val="para40"/>
              <w:numPr>
                <w:ilvl w:val="0"/>
                <w:numId w:val="58"/>
              </w:numPr>
              <w:ind w:left="454" w:hanging="284"/>
              <w:spacing w:after="0"/>
            </w:pPr>
            <w:r>
              <w:t>Schriftliche Abmahnung vorbereiten.</w:t>
            </w:r>
          </w:p>
          <w:p>
            <w:pPr>
              <w:pStyle w:val="para40"/>
              <w:numPr>
                <w:ilvl w:val="0"/>
                <w:numId w:val="58"/>
              </w:numPr>
              <w:ind w:left="454" w:hanging="284"/>
              <w:spacing w:after="0"/>
            </w:pPr>
            <w:r>
              <w:t>Eine neutrale Person als Zeugen zum Gesprächstermin bitten; empfehlenswert ist jemand aus der Personalabteilung.</w:t>
            </w:r>
          </w:p>
          <w:p>
            <w:pPr>
              <w:pStyle w:val="para40"/>
              <w:numPr>
                <w:ilvl w:val="0"/>
                <w:numId w:val="58"/>
              </w:numPr>
              <w:ind w:left="454" w:hanging="284"/>
              <w:spacing w:after="0"/>
            </w:pPr>
            <w:r>
              <w:t>Den Mitarbeiter kurzfristig zum Gespräch bitten und über Anlass, Zeitpunkt und Ort des Gesprächs informieren.</w:t>
            </w:r>
          </w:p>
        </w:tc>
      </w:tr>
    </w:tbl>
    <w:p>
      <w:r/>
    </w:p>
    <w:tbl>
      <w:tblPr>
        <w:tblStyle w:val="TableNormal"/>
        <w:name w:val="Tabelle171"/>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AECF7C" w:fill="auto" tmshd="256, 0, 817963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B: Gesprächsdurchführung</w:t>
            </w:r>
            <w:r>
              <w:rPr>
                <w:rFonts w:ascii="Arial" w:hAnsi="Arial" w:eastAsia="Cambria" w:cs="Arial"/>
                <w:b/>
                <w:sz w:val="20"/>
                <w:szCs w:val="20"/>
              </w:rPr>
            </w:r>
          </w:p>
        </w:tc>
      </w:tr>
      <w:tr>
        <w:trPr>
          <w:tblHeader w:val="0"/>
          <w:cantSplit w:val="0"/>
          <w:trHeight w:val="212"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firstLine="0"/>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1: Gespräch eröffnen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Den Mitarbeiter kurz und sachlich begrüßen.</w:t>
            </w:r>
          </w:p>
          <w:p>
            <w:pPr>
              <w:pStyle w:val="para40"/>
              <w:numPr>
                <w:ilvl w:val="0"/>
                <w:numId w:val="58"/>
              </w:numPr>
              <w:ind w:left="454" w:hanging="284"/>
              <w:spacing w:after="0"/>
            </w:pPr>
            <w:r>
              <w:t>Sitzplätze anbieten und ggf. den weiteren Gesprächspartner vorstellen.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39"/>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2: Rahmenbedingungen erläutern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Gesprächszweck nennen.</w:t>
            </w:r>
          </w:p>
          <w:p>
            <w:pPr>
              <w:pStyle w:val="para40"/>
              <w:numPr>
                <w:ilvl w:val="0"/>
                <w:numId w:val="58"/>
              </w:numPr>
              <w:ind w:left="454" w:hanging="284"/>
              <w:spacing w:after="0"/>
            </w:pPr>
            <w:r>
              <w:t>Zeitrahmen festsetzen: ca. 20 Minuten.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57" w:hanging="39"/>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Schritt 3: Den Sachverhalt aus Sicht der Führungskraft bearbeiten</w:t>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Das Fehlverhalten, um das es geht, exakt und wertungsfrei beschreiben und dabei die Kritikpunkte mit Daten, Zahlen, Fakten stichhaltig beweisen.</w:t>
            </w:r>
          </w:p>
          <w:p>
            <w:pPr>
              <w:pStyle w:val="para40"/>
              <w:numPr>
                <w:ilvl w:val="0"/>
                <w:numId w:val="58"/>
              </w:numPr>
              <w:ind w:left="454" w:hanging="284"/>
              <w:spacing w:after="0"/>
            </w:pPr>
            <w:r>
              <w:t>Die Abmahnung erteilen und diese Entscheidung begründen.</w:t>
            </w:r>
          </w:p>
          <w:p>
            <w:pPr>
              <w:pStyle w:val="para40"/>
              <w:numPr>
                <w:ilvl w:val="0"/>
                <w:numId w:val="58"/>
              </w:numPr>
              <w:ind w:left="454" w:hanging="284"/>
              <w:spacing w:after="0"/>
            </w:pPr>
            <w:r>
              <w:t>Die Auswirkungen der Abmahnung erläutern: Bei fortgesetztem Fehlverhalten hat der Mitarbeiter mit Konsequenzen bis hin zur Kündigung zu rechnen.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nil" w:sz="0" w:space="0" w:color="DBDEE1" tmln="2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4: Den Mitarbeiter Stellung nehmen lassen</w:t>
            </w:r>
            <w:r>
              <w:rPr>
                <w:rFonts w:ascii="Arial" w:hAnsi="Arial" w:eastAsia="Cambria" w:cs="Arial"/>
                <w:sz w:val="20"/>
                <w:szCs w:val="20"/>
              </w:rPr>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Dem Mitarbeiter die Möglichkeit geben, zum Sachverhalt Stellung zu nehmen und seine Sichtweise darzulegen.</w:t>
            </w:r>
          </w:p>
          <w:p>
            <w:pPr>
              <w:pStyle w:val="para40"/>
              <w:numPr>
                <w:ilvl w:val="0"/>
                <w:numId w:val="58"/>
              </w:numPr>
              <w:ind w:left="454" w:hanging="284"/>
              <w:spacing w:after="0"/>
            </w:pPr>
            <w:r>
              <w:t>Neue Begründungen zulassen, aber zeitraubendes Austauschen längst bekannter Argumente unterbinden.</w:t>
            </w:r>
          </w:p>
          <w:p>
            <w:pPr>
              <w:pStyle w:val="para40"/>
              <w:numPr>
                <w:ilvl w:val="0"/>
                <w:numId w:val="58"/>
              </w:numPr>
              <w:ind w:left="454" w:hanging="284"/>
              <w:spacing w:after="0"/>
            </w:pPr>
            <w:r>
              <w:t>Dem Mitarbeiter verdeutlichen, dass die Entscheidung nicht mehr revidiert wird.</w:t>
            </w:r>
          </w:p>
        </w:tc>
      </w:tr>
    </w:tbl>
    <w:p>
      <w:r/>
    </w:p>
    <w:p>
      <w:r>
        <w:br w:type="page"/>
      </w:r>
    </w:p>
    <w:tbl>
      <w:tblPr>
        <w:tblStyle w:val="TableNormal"/>
        <w:name w:val="Tabelle172"/>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5: Vereinbarungen treffen</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Das zukünftig erwartete Verhalten unmissverständlich aufzeigen.</w:t>
            </w:r>
          </w:p>
          <w:p>
            <w:pPr>
              <w:pStyle w:val="para40"/>
              <w:numPr>
                <w:ilvl w:val="0"/>
                <w:numId w:val="58"/>
              </w:numPr>
              <w:ind w:left="454" w:hanging="284"/>
              <w:spacing w:after="0"/>
            </w:pPr>
            <w:r>
              <w:t>Festlegen, was unternommen werden kann, damit es nicht noch einmal zu dem Fehlverhalten kommt.</w:t>
            </w:r>
          </w:p>
          <w:p>
            <w:pPr>
              <w:pStyle w:val="para40"/>
              <w:numPr>
                <w:ilvl w:val="0"/>
                <w:numId w:val="58"/>
              </w:numPr>
              <w:ind w:left="454" w:hanging="284"/>
              <w:spacing w:after="0"/>
            </w:pPr>
            <w:r>
              <w:t>Überprüfen, inwieweit die Führungskraft den Mitarbeiter bei der Umsetzung der Vereinbarungen unterstützen kann.</w:t>
            </w:r>
          </w:p>
          <w:p>
            <w:pPr>
              <w:pStyle w:val="para40"/>
              <w:numPr>
                <w:ilvl w:val="0"/>
                <w:numId w:val="58"/>
              </w:numPr>
              <w:ind w:left="454" w:hanging="284"/>
              <w:spacing w:after="0"/>
            </w:pPr>
            <w:r>
              <w:t>Verbindliche Vereinbarungen treffen, zeitlich terminieren und schriftlich fixieren.</w:t>
            </w:r>
          </w:p>
          <w:p>
            <w:pPr>
              <w:pStyle w:val="para40"/>
              <w:numPr>
                <w:ilvl w:val="0"/>
                <w:numId w:val="58"/>
              </w:numPr>
              <w:ind w:left="454" w:hanging="284"/>
              <w:spacing w:after="0"/>
            </w:pPr>
            <w:r>
              <w:t>Kontrolle des zukünftigen Verhaltens ankündigen.</w:t>
            </w:r>
          </w:p>
        </w:tc>
      </w:tr>
      <w:tr>
        <w:trPr>
          <w:tblHeader w:val="0"/>
          <w:cantSplit w:val="0"/>
          <w:trHeight w:val="508" w:hRule="atLeast"/>
        </w:trPr>
        <w:tc>
          <w:tcPr>
            <w:tcW w:w="8787" w:type="dxa"/>
            <w:vAlign w:val="center"/>
            <w:shd w:val="solid" w:color="E0EDCD" w:fill="auto" tmshd="256, 0, 13495776"/>
            <w:tcMar>
              <w:top w:w="0" w:type="dxa"/>
              <w:left w:w="108" w:type="dxa"/>
              <w:bottom w:w="0" w:type="dxa"/>
              <w:right w:w="108" w:type="dxa"/>
            </w:tcMar>
            <w:tcBorders>
              <w:top w:val="single" w:sz="4" w:space="0" w:color="000000" tmln="10, 20, 20, 0, 0"/>
              <w:left w:val="single" w:sz="16" w:space="0" w:color="AECF7C" tmln="40, 20, 20, 0, 0"/>
              <w:bottom w:val="single" w:sz="4" w:space="0" w:color="000000" tmln="10, 20, 20, 0, 0"/>
              <w:right w:val="single" w:sz="16" w:space="0" w:color="AECF7C" tmln="40, 20, 20, 0, 0"/>
              <w:tl2br w:val="nil" w:sz="0" w:space="0" w:color="000000" tmln="20, 20, 20, 0, 0"/>
              <w:tr2bl w:val="nil" w:sz="0" w:space="0" w:color="000000" tmln="20, 20, 20, 0, 0"/>
            </w:tcBorders>
            <w:tmTcPr id="1785596603" protected="0"/>
          </w:tcPr>
          <w:p>
            <w:pPr>
              <w:ind w:firstLine="318"/>
              <w:spacing w:before="180" w:after="18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b/>
                <w:color w:val="00998A"/>
                <w:sz w:val="20"/>
                <w:szCs w:val="20"/>
              </w:rPr>
              <w:t>Schritt 6: Gespräch beenden</w:t>
            </w:r>
            <w:r>
              <w:rPr>
                <w:rFonts w:ascii="Arial" w:hAnsi="Arial" w:eastAsia="Cambria" w:cs="Arial"/>
                <w:sz w:val="20"/>
                <w:szCs w:val="20"/>
              </w:rPr>
            </w:r>
          </w:p>
        </w:tc>
      </w:tr>
      <w:tr>
        <w:trPr>
          <w:tblHeader w:val="0"/>
          <w:cantSplit w:val="0"/>
          <w:trHeight w:val="567" w:hRule="atLeast"/>
        </w:trPr>
        <w:tc>
          <w:tcPr>
            <w:tcW w:w="8787" w:type="dxa"/>
            <w:shd w:val="none"/>
            <w:tcMar>
              <w:top w:w="113" w:type="dxa"/>
              <w:left w:w="108" w:type="dxa"/>
              <w:bottom w:w="113" w:type="dxa"/>
              <w:right w:w="108" w:type="dxa"/>
            </w:tcMar>
            <w:tcBorders>
              <w:top w:val="single" w:sz="4" w:space="0" w:color="000000"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Gesprächsergebnisse und Vereinbarungen zusammenfassen.</w:t>
            </w:r>
          </w:p>
          <w:p>
            <w:pPr>
              <w:pStyle w:val="para40"/>
              <w:numPr>
                <w:ilvl w:val="0"/>
                <w:numId w:val="58"/>
              </w:numPr>
              <w:ind w:left="454" w:hanging="284"/>
              <w:spacing w:after="0"/>
            </w:pPr>
            <w:r>
              <w:t>Termin für ein Folgegespräch vereinbaren, das die Überprüfung des vereinbarten Verhaltens zum Inhalt hat.</w:t>
            </w:r>
          </w:p>
          <w:p>
            <w:pPr>
              <w:pStyle w:val="para40"/>
              <w:numPr>
                <w:ilvl w:val="0"/>
                <w:numId w:val="58"/>
              </w:numPr>
              <w:ind w:left="454" w:hanging="284"/>
              <w:spacing w:after="0"/>
            </w:pPr>
            <w:r>
              <w:t xml:space="preserve">Darauf hinweisen, dass die Abmahnung sowie das Protokoll dieses Gesprächs in </w:t>
              <w:tab/>
              <w:t>der Personalakte abgelegt und dem Mitarbeiter überdies schriftlich zugehen wird.</w:t>
            </w:r>
          </w:p>
          <w:p>
            <w:pPr>
              <w:pStyle w:val="para40"/>
              <w:numPr>
                <w:ilvl w:val="0"/>
                <w:numId w:val="58"/>
              </w:numPr>
              <w:ind w:left="454" w:hanging="284"/>
              <w:spacing w:after="0"/>
            </w:pPr>
            <w:r>
              <w:t>Freundliche Verabschiedung, verbunden mit dem Hinweis, dass man nur ungern weitere arbeitsrechtliche Konsequenzen einleiten würde.</w:t>
            </w:r>
          </w:p>
        </w:tc>
      </w:tr>
    </w:tbl>
    <w:p>
      <w:r/>
    </w:p>
    <w:tbl>
      <w:tblPr>
        <w:tblStyle w:val="TableNormal"/>
        <w:name w:val="Tabelle173"/>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227" w:hRule="atLeast"/>
        </w:trPr>
        <w:tc>
          <w:tcPr>
            <w:tcW w:w="8787" w:type="dxa"/>
            <w:vAlign w:val="center"/>
            <w:shd w:val="solid" w:color="98B46C" w:fill="auto" tmshd="256, 0, 7124120"/>
            <w:tcMar>
              <w:top w:w="0" w:type="dxa"/>
              <w:left w:w="108" w:type="dxa"/>
              <w:bottom w:w="0" w:type="dxa"/>
              <w:right w:w="108" w:type="dxa"/>
            </w:tcMar>
            <w:tcBorders>
              <w:top w:val="single" w:sz="16" w:space="0" w:color="AECF7C" tmln="40, 20, 20, 0, 0"/>
              <w:left w:val="single" w:sz="16" w:space="0" w:color="AECF7C" tmln="40, 20, 20, 0, 0"/>
              <w:bottom w:val="nil" w:sz="0" w:space="0" w:color="DBDEE1" tmln="2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60" w:line="240" w:lineRule="exact"/>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sz w:val="20"/>
                <w:szCs w:val="20"/>
              </w:rPr>
            </w:pPr>
            <w:r>
              <w:rPr>
                <w:rFonts w:ascii="Arial" w:hAnsi="Arial" w:eastAsia="Cambria" w:cs="Arial"/>
                <w:b/>
                <w:color w:val="000000"/>
                <w:sz w:val="20"/>
                <w:szCs w:val="20"/>
              </w:rPr>
              <w:t>C: Gesprächsnachbereitung</w:t>
            </w:r>
            <w:r>
              <w:rPr>
                <w:rFonts w:ascii="Arial" w:hAnsi="Arial" w:eastAsia="Cambria" w:cs="Arial"/>
                <w:b/>
                <w:sz w:val="20"/>
                <w:szCs w:val="20"/>
              </w:rPr>
            </w:r>
          </w:p>
        </w:tc>
      </w:tr>
      <w:tr>
        <w:trPr>
          <w:tblHeader w:val="0"/>
          <w:cantSplit w:val="0"/>
          <w:trHeight w:val="567" w:hRule="atLeast"/>
        </w:trPr>
        <w:tc>
          <w:tcPr>
            <w:tcW w:w="8787" w:type="dxa"/>
            <w:vAlign w:val="center"/>
            <w:shd w:val="none"/>
            <w:tcMar>
              <w:top w:w="113" w:type="dxa"/>
              <w:left w:w="108" w:type="dxa"/>
              <w:bottom w:w="113" w:type="dxa"/>
              <w:right w:w="108" w:type="dxa"/>
            </w:tcMar>
            <w:tcBorders>
              <w:top w:val="nil" w:sz="0" w:space="0" w:color="DBDEE1" tmln="2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pStyle w:val="para40"/>
              <w:numPr>
                <w:ilvl w:val="0"/>
                <w:numId w:val="58"/>
              </w:numPr>
              <w:ind w:left="454" w:hanging="284"/>
              <w:spacing w:after="0"/>
            </w:pPr>
            <w:r>
              <w:t>Abmahnung schriftlich formulieren und eine Kopie in der Personalakte ablegen.</w:t>
            </w:r>
          </w:p>
          <w:p>
            <w:pPr>
              <w:pStyle w:val="para40"/>
              <w:numPr>
                <w:ilvl w:val="0"/>
                <w:numId w:val="58"/>
              </w:numPr>
              <w:ind w:left="454" w:hanging="284"/>
              <w:spacing w:after="0"/>
            </w:pPr>
            <w:r>
              <w:t>Veranlassen, dass das Original dem Mitarbeiter zugeht; der Zugang des Schreibens muss nachweisbar sein.</w:t>
            </w:r>
          </w:p>
          <w:p>
            <w:pPr>
              <w:pStyle w:val="para40"/>
              <w:numPr>
                <w:ilvl w:val="0"/>
                <w:numId w:val="58"/>
              </w:numPr>
              <w:ind w:left="454" w:hanging="284"/>
              <w:spacing w:after="0"/>
            </w:pPr>
            <w:r>
              <w:t>Überprüfungstermin ins Zeitplansystem eintragen.</w:t>
            </w:r>
          </w:p>
          <w:p>
            <w:pPr>
              <w:pStyle w:val="para40"/>
              <w:numPr>
                <w:ilvl w:val="0"/>
                <w:numId w:val="58"/>
              </w:numPr>
              <w:ind w:left="454" w:hanging="284"/>
              <w:spacing w:after="0"/>
            </w:pPr>
            <w:r>
              <w:t>Eigene gegebene Zusagen einhalten und Aktivitäten zeitnah umsetzen.</w:t>
            </w:r>
          </w:p>
          <w:p>
            <w:pPr>
              <w:pStyle w:val="para40"/>
              <w:numPr>
                <w:ilvl w:val="0"/>
                <w:numId w:val="58"/>
              </w:numPr>
              <w:ind w:left="454" w:hanging="284"/>
              <w:spacing w:after="0"/>
            </w:pPr>
            <w:r>
              <w:t>Beobachten, inwieweit dem Mitarbeiter die Umsetzung der getroffenen Vereinbarungen gelingt.</w:t>
            </w:r>
          </w:p>
          <w:p>
            <w:pPr>
              <w:pStyle w:val="para40"/>
              <w:numPr>
                <w:ilvl w:val="0"/>
                <w:numId w:val="58"/>
              </w:numPr>
              <w:ind w:left="454" w:hanging="284"/>
              <w:spacing w:after="0"/>
            </w:pPr>
            <w:r>
              <w:t>Beobachtungsprotokoll führen und Fortschritte – insbesondere aber erneutes Fehlverhalten präzi</w:t>
            </w:r>
            <w:r>
              <w:rPr>
                <w:rFonts w:eastAsia="Malgun Gothic"/>
              </w:rPr>
              <w:t>se dokumentieren.</w:t>
            </w:r>
            <w:r/>
          </w:p>
        </w:tc>
      </w:tr>
    </w:tbl>
    <w:p>
      <w:r/>
    </w:p>
    <w:p>
      <w:pPr>
        <w:pStyle w:val="para3"/>
        <w:numPr>
          <w:ilvl w:val="2"/>
          <w:numId w:val="42"/>
        </w:numPr>
        <w:ind w:left="737" w:hanging="737"/>
      </w:pPr>
      <w:r>
        <w:br w:type="page"/>
      </w:r>
      <w:bookmarkStart w:id="217" w:name="_TOC002161"/>
      <w:r>
        <w:t>Übungen</w:t>
      </w:r>
      <w:bookmarkEnd w:id="217"/>
      <w:r/>
    </w:p>
    <w:p>
      <w:pPr>
        <w:pStyle w:val="para4"/>
        <w:numPr>
          <w:ilvl w:val="3"/>
          <w:numId w:val="42"/>
        </w:numPr>
        <w:ind w:left="864" w:hanging="864"/>
      </w:pPr>
      <w:bookmarkStart w:id="218" w:name="_TOC002162"/>
      <w:r>
        <w:t>Mitarbeitergespräch – Eigenes Fallbeispiel</w:t>
      </w:r>
      <w:bookmarkEnd w:id="218"/>
      <w:r/>
    </w:p>
    <w:tbl>
      <w:tblPr>
        <w:tblStyle w:val="TableNormal"/>
        <w:name w:val="Tabelle174"/>
        <w:tabOrder w:val="0"/>
        <w:jc w:val="left"/>
        <w:tblInd w:w="0" w:type="dxa"/>
        <w:tblW w:w="8781" w:type="dxa"/>
        <w:pPr>
          <w:spacing/>
          <w:jc w:val="left"/>
        </w:pPr>
        <w:tblLook w:val="0600" w:firstRow="0" w:lastRow="0" w:firstColumn="0" w:lastColumn="0" w:noHBand="1" w:noVBand="1"/>
      </w:tblPr>
      <w:tblGrid>
        <w:gridCol w:w="8781"/>
      </w:tblGrid>
      <w:tr>
        <w:trPr>
          <w:tblHeader w:val="0"/>
          <w:cantSplit w:val="0"/>
          <w:trHeight w:val="567" w:hRule="atLeast"/>
        </w:trPr>
        <w:tc>
          <w:tcPr>
            <w:tcW w:w="8781"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A:</w:t>
              <w:tab/>
              <w:t>Konkrete Beschreibung einer Situation aus Ihrem Arbeitsalltag als Gesprächsgrundlage</w:t>
            </w:r>
          </w:p>
        </w:tc>
      </w:tr>
      <w:tr>
        <w:trPr>
          <w:tblHeader w:val="0"/>
          <w:cantSplit w:val="0"/>
          <w:trHeight w:val="2605" w:hRule="atLeas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567" w:hRule="atLeast"/>
        </w:trPr>
        <w:tc>
          <w:tcPr>
            <w:tcW w:w="8781"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B:</w:t>
              <w:tab/>
              <w:t>Leitfaden zur Vorbereitung des Gesprächs</w:t>
            </w:r>
          </w:p>
        </w:tc>
      </w:tr>
      <w:tr>
        <w:trPr>
          <w:tblHeader w:val="0"/>
          <w:cantSplit w:val="0"/>
          <w:trHeight w:val="1644" w:hRule="exac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00998A"/>
                <w:sz w:val="20"/>
                <w:szCs w:val="20"/>
              </w:rPr>
            </w:pPr>
            <w:r>
              <w:rPr>
                <w:rFonts w:ascii="Arial" w:hAnsi="Arial" w:eastAsia="Cambria" w:cs="Arial"/>
                <w:sz w:val="20"/>
                <w:szCs w:val="20"/>
              </w:rPr>
              <w:t>1. Welche Gründe könnten für das Verhalten des Mitarbeiters/der Mitarbeiterin bestimmend sein?</w:t>
            </w:r>
            <w:r>
              <w:rPr>
                <w:rFonts w:ascii="Arial" w:hAnsi="Arial" w:eastAsia="Cambria" w:cs="Arial"/>
                <w:color w:val="00998A"/>
                <w:sz w:val="20"/>
                <w:szCs w:val="20"/>
              </w:rPr>
            </w:r>
          </w:p>
        </w:tc>
      </w:tr>
      <w:tr>
        <w:trPr>
          <w:tblHeader w:val="0"/>
          <w:cantSplit w:val="0"/>
          <w:trHeight w:val="1644" w:hRule="exac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2. Welche Minimal- bzw. Maximalzielsetzung habe ich für dieses Gespräch?</w:t>
            </w:r>
          </w:p>
        </w:tc>
      </w:tr>
      <w:tr>
        <w:trPr>
          <w:tblHeader w:val="0"/>
          <w:cantSplit w:val="0"/>
          <w:trHeight w:val="1644" w:hRule="exac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3. Welche Informationen will ich erhalten/geben?</w:t>
            </w:r>
          </w:p>
        </w:tc>
      </w:tr>
      <w:tr>
        <w:trPr>
          <w:tblHeader w:val="0"/>
          <w:cantSplit w:val="0"/>
          <w:trHeight w:val="1644" w:hRule="exac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4. Welche Fragen möchte ich stellen?</w:t>
            </w:r>
          </w:p>
        </w:tc>
      </w:tr>
      <w:tr>
        <w:trPr>
          <w:tblHeader w:val="0"/>
          <w:cantSplit w:val="0"/>
          <w:trHeight w:val="1644" w:hRule="exact"/>
        </w:trPr>
        <w:tc>
          <w:tcPr>
            <w:tcW w:w="8781"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5. Welche Vorgehensweise will ich vorschlagen bzw. welche Ziele vereinbaren?</w:t>
            </w:r>
          </w:p>
        </w:tc>
      </w:tr>
    </w:tbl>
    <w:p>
      <w:r/>
    </w:p>
    <w:p>
      <w:r>
        <w:br w:type="page"/>
      </w:r>
    </w:p>
    <w:tbl>
      <w:tblPr>
        <w:tblStyle w:val="TableNormal"/>
        <w:name w:val="Tabelle175"/>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C:</w:t>
              <w:tab/>
              <w:t>Gesprächsdurchführung</w:t>
            </w:r>
          </w:p>
        </w:tc>
      </w:tr>
      <w:tr>
        <w:trPr>
          <w:tblHeader w:val="0"/>
          <w:cantSplit w:val="0"/>
          <w:trHeight w:val="2649"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tc>
      </w:tr>
      <w:tr>
        <w:trPr>
          <w:tblHeader w:val="0"/>
          <w:cantSplit w:val="0"/>
          <w:trHeight w:val="1774"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1. Mit welchem Aufhänger will ich ins Gespräch einsteigen?</w:t>
            </w:r>
          </w:p>
        </w:tc>
      </w:tr>
      <w:tr>
        <w:trPr>
          <w:tblHeader w:val="0"/>
          <w:cantSplit w:val="0"/>
          <w:trHeight w:val="1774"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2. Wie will ich meine Zielsetzung für das Gespräch konkret formulieren?</w:t>
            </w:r>
          </w:p>
        </w:tc>
      </w:tr>
      <w:tr>
        <w:trPr>
          <w:tblHeader w:val="0"/>
          <w:cantSplit w:val="0"/>
          <w:trHeight w:val="6804"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Weitere Notizen:</w:t>
            </w:r>
          </w:p>
        </w:tc>
      </w:tr>
    </w:tbl>
    <w:p>
      <w:r/>
    </w:p>
    <w:p>
      <w:pPr>
        <w:pStyle w:val="para4"/>
        <w:numPr>
          <w:ilvl w:val="3"/>
          <w:numId w:val="42"/>
        </w:numPr>
        <w:ind w:left="864" w:hanging="864"/>
      </w:pPr>
      <w:r>
        <w:br w:type="page"/>
      </w:r>
      <w:bookmarkStart w:id="219" w:name="_TOC002163"/>
      <w:r>
        <w:t>Übung: Mitarbeitergespräch – Kritik 1</w:t>
      </w:r>
      <w:bookmarkEnd w:id="219"/>
      <w:r/>
    </w:p>
    <w:p>
      <w:r/>
    </w:p>
    <w:tbl>
      <w:tblPr>
        <w:tblStyle w:val="TableNormal"/>
        <w:name w:val="Tabelle176"/>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A:</w:t>
              <w:tab/>
              <w:t>Situationsbeschreibung: 'Ironische Bemerkungen'</w:t>
            </w:r>
          </w:p>
        </w:tc>
      </w:tr>
      <w:tr>
        <w:trPr>
          <w:tblHeader w:val="0"/>
          <w:cantSplit w:val="0"/>
          <w:trHeight w:val="2605"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Vor drei Monaten wurden Sie zum/zur Teamleiter/-in befördert. Frau Wider, eine Ihrer neuen Mitarbeiterinnen und ehemalige Kollegin, mit der Sie sich auch duzen, scheint dies noch nicht ganz realisiert zu haben. In Teamsitzungen lässt sie häufiger respektlose ironische Bemerkungen fallen wie: „Als Du noch auf unserer Seite warst, hattest Du aber eine andere Meinung zum Thema Überstunden“ oder „Na, wenn die neue Chefin/der neue Chef das sagt, … müssen wir das wohl so machen …“. </w:t>
            </w:r>
          </w:p>
          <w:p>
            <w:pPr>
              <w:ind w:firstLine="0"/>
              <w:spacing w:after="6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firstLine="0"/>
              <w:spacing w:after="6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Nach einer besonders unangenehmen Attacke dieser Art beschließen Sie, dies nicht länger so laufen zu lassen und mit Frau Wider ein klärendes Gespräch zu führen. Sie kommt gleich zu dem Termin, um den Sie sie gebeten haben. </w:t>
            </w:r>
          </w:p>
        </w:tc>
      </w:tr>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B:</w:t>
              <w:tab/>
              <w:t>Notizen zur Vorbereitung des Gesprächs</w:t>
            </w:r>
          </w:p>
        </w:tc>
      </w:tr>
      <w:tr>
        <w:trPr>
          <w:tblHeader w:val="0"/>
          <w:cantSplit w:val="0"/>
          <w:trHeight w:val="9243"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00998A"/>
                <w:sz w:val="20"/>
                <w:szCs w:val="20"/>
              </w:rPr>
            </w:pPr>
            <w:r>
              <w:rPr>
                <w:rFonts w:ascii="Arial" w:hAnsi="Arial" w:eastAsia="Cambria" w:cs="Arial"/>
                <w:color w:val="00998A"/>
                <w:sz w:val="20"/>
                <w:szCs w:val="20"/>
              </w:rPr>
            </w:r>
          </w:p>
        </w:tc>
      </w:tr>
    </w:tbl>
    <w:p>
      <w:pPr>
        <w:pStyle w:val="para4"/>
        <w:numPr>
          <w:ilvl w:val="3"/>
          <w:numId w:val="42"/>
        </w:numPr>
        <w:ind w:left="864" w:hanging="864"/>
      </w:pPr>
      <w:bookmarkStart w:id="220" w:name="_TOC002164"/>
      <w:r>
        <w:t>Übung: Mitarbeitergespräch – Kritik 2</w:t>
      </w:r>
      <w:bookmarkEnd w:id="220"/>
      <w:r/>
    </w:p>
    <w:p>
      <w:r/>
    </w:p>
    <w:tbl>
      <w:tblPr>
        <w:tblStyle w:val="TableNormal"/>
        <w:name w:val="Tabelle177"/>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A:</w:t>
              <w:tab/>
              <w:t>Situationsbeschreibung: 'Kollegenschmäh'</w:t>
            </w:r>
          </w:p>
        </w:tc>
      </w:tr>
      <w:tr>
        <w:trPr>
          <w:tblHeader w:val="0"/>
          <w:cantSplit w:val="0"/>
          <w:trHeight w:val="2605"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Sie sind als Teamleiter/-in erst seit Kurzem im Unternehmen. Von Kollegen und Mitarbeitern wird Ihnen zugetragen, dass Frau Meier, eine Ihrer Sales-Nachwuchskräfte, angeblich mehrfach in Kundengesprächen schlecht über Kollegen/-innen gesprochen hat. Insbesondere jüngere Kollegen/-innen hat sie dabei im Visier.</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firstLine="0"/>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Nach sorgfältiger Überlegung haben Sie sich entschlossen, der Sache auf den Grund zu gehen und ein klärendes Gespräch mit der Betreffenden zu führen. </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7F7F7F"/>
                <w:sz w:val="20"/>
                <w:szCs w:val="20"/>
              </w:rPr>
            </w:pPr>
            <w:r>
              <w:rPr>
                <w:rFonts w:eastAsia="Cambria" w:cs="Arial"/>
                <w:bCs/>
                <w:color w:val="7F7F7F"/>
                <w:sz w:val="16"/>
                <w:szCs w:val="16"/>
                <w:lang w:val="de-ch"/>
              </w:rPr>
              <w:t>[Nach: Petz, Michael: Führen – Fördern – Coachen. Wie man Mitarbeiter zum Erfolg führt. Wien/Frankfurt am Main: 2001</w:t>
            </w:r>
            <w:r>
              <w:rPr>
                <w:rFonts w:eastAsia="Cambria" w:cs="Arial"/>
                <w:bCs/>
                <w:color w:val="7F7F7F"/>
                <w:sz w:val="16"/>
                <w:szCs w:val="16"/>
                <w:vertAlign w:val="superscript"/>
                <w:lang w:val="de-ch"/>
              </w:rPr>
              <w:t>3</w:t>
            </w:r>
            <w:r>
              <w:rPr>
                <w:rFonts w:eastAsia="Cambria" w:cs="Arial"/>
                <w:bCs/>
                <w:color w:val="7F7F7F"/>
                <w:sz w:val="16"/>
                <w:szCs w:val="16"/>
                <w:lang w:val="de-ch"/>
              </w:rPr>
              <w:t>, S. 100]</w:t>
            </w:r>
            <w:r>
              <w:rPr>
                <w:rFonts w:ascii="Arial" w:hAnsi="Arial" w:eastAsia="Cambria" w:cs="Arial"/>
                <w:color w:val="7F7F7F"/>
                <w:sz w:val="20"/>
                <w:szCs w:val="20"/>
              </w:rPr>
            </w:r>
          </w:p>
        </w:tc>
      </w:tr>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B:</w:t>
              <w:tab/>
              <w:t>Notizen zur Vorbereitung des Gesprächs</w:t>
            </w:r>
          </w:p>
        </w:tc>
      </w:tr>
      <w:tr>
        <w:trPr>
          <w:tblHeader w:val="0"/>
          <w:cantSplit w:val="0"/>
          <w:trHeight w:val="9243"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00998A"/>
                <w:sz w:val="20"/>
                <w:szCs w:val="20"/>
              </w:rPr>
            </w:pPr>
            <w:r>
              <w:rPr>
                <w:rFonts w:ascii="Arial" w:hAnsi="Arial" w:eastAsia="Cambria" w:cs="Arial"/>
                <w:color w:val="00998A"/>
                <w:sz w:val="20"/>
                <w:szCs w:val="20"/>
              </w:rPr>
            </w:r>
          </w:p>
        </w:tc>
      </w:tr>
    </w:tbl>
    <w:p>
      <w:pPr>
        <w:pStyle w:val="para4"/>
        <w:numPr>
          <w:ilvl w:val="3"/>
          <w:numId w:val="42"/>
        </w:numPr>
        <w:ind w:left="864" w:hanging="864"/>
      </w:pPr>
      <w:bookmarkStart w:id="221" w:name="_TOC002165"/>
      <w:r>
        <w:t>Übung: Mitarbeitergespräch – Abmahnung 1</w:t>
      </w:r>
      <w:bookmarkEnd w:id="221"/>
      <w:r/>
    </w:p>
    <w:p>
      <w:r/>
    </w:p>
    <w:tbl>
      <w:tblPr>
        <w:tblStyle w:val="TableNormal"/>
        <w:name w:val="Tabelle178"/>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A:</w:t>
              <w:tab/>
              <w:t>Situationsbeschreibung: 'Segeln'</w:t>
            </w:r>
          </w:p>
        </w:tc>
      </w:tr>
      <w:tr>
        <w:trPr>
          <w:tblHeader w:val="0"/>
          <w:cantSplit w:val="0"/>
          <w:trHeight w:val="2605"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Herr Windig ist ein kompetenter, freundlicher Mitarbeiter. Seine Leistungen sind ausgezeichnet und auch in die Arbeitsgruppe ist er gut integriert. Allerdings kommt Herr Windig seit einigen Monaten regelmäßig zu spät an seinen Arbeitsplatz. Als begeisterter Segler ist er in den wärmeren Monaten am Wochenende am Meer. Fast immer erscheint er am Montagmorgen etwa 30 Minuten zu spät zur Arbeit. Seine Kollegen reagieren zunehmend verärgert, zwei haben sich bereits bei Ihnen beschwert.</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Eine mündliche Ermahnung hatten Sie Herrn Windig bereits erteilt. Danach hat sich sein Verhalten kurzfristig verbessert, am heutigen Montag ist er allerdings wieder das zweite Mal in Folge nicht pünktlich erschienen. Sie entscheiden, Herrn Windig eine Abmahnung zu erteilen. Das entsprechende Gespräch steht gleich bevor.</w:t>
            </w:r>
          </w:p>
        </w:tc>
      </w:tr>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B:</w:t>
              <w:tab/>
              <w:t>Notizen zur Vorbereitung des Gesprächs</w:t>
            </w:r>
          </w:p>
        </w:tc>
      </w:tr>
      <w:tr>
        <w:trPr>
          <w:tblHeader w:val="0"/>
          <w:cantSplit w:val="0"/>
          <w:trHeight w:val="8909"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00998A"/>
                <w:sz w:val="20"/>
                <w:szCs w:val="20"/>
              </w:rPr>
            </w:pPr>
            <w:r>
              <w:rPr>
                <w:rFonts w:ascii="Arial" w:hAnsi="Arial" w:eastAsia="Cambria" w:cs="Arial"/>
                <w:color w:val="00998A"/>
                <w:sz w:val="20"/>
                <w:szCs w:val="20"/>
              </w:rPr>
            </w:r>
          </w:p>
        </w:tc>
      </w:tr>
    </w:tbl>
    <w:p>
      <w:r/>
    </w:p>
    <w:p>
      <w:pPr>
        <w:pStyle w:val="para4"/>
        <w:numPr>
          <w:ilvl w:val="3"/>
          <w:numId w:val="42"/>
        </w:numPr>
        <w:ind w:left="864" w:hanging="864"/>
      </w:pPr>
      <w:r>
        <w:br w:type="page"/>
      </w:r>
      <w:bookmarkStart w:id="222" w:name="_TOC002166"/>
      <w:r>
        <w:t>Übung: Mitarbeitergespräch – Abmahnung 2</w:t>
      </w:r>
      <w:bookmarkEnd w:id="222"/>
      <w:r/>
    </w:p>
    <w:p>
      <w:r/>
    </w:p>
    <w:tbl>
      <w:tblPr>
        <w:tblStyle w:val="TableNormal"/>
        <w:name w:val="Tabelle179"/>
        <w:tabOrder w:val="0"/>
        <w:jc w:val="left"/>
        <w:tblInd w:w="0" w:type="dxa"/>
        <w:tblW w:w="8787" w:type="dxa"/>
        <w:pPr>
          <w:spacing/>
          <w:jc w:val="left"/>
        </w:pPr>
        <w:tblLook w:val="0600" w:firstRow="0" w:lastRow="0" w:firstColumn="0" w:lastColumn="0" w:noHBand="1" w:noVBand="1"/>
      </w:tblPr>
      <w:tblGrid>
        <w:gridCol w:w="8787"/>
      </w:tblGrid>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16" w:space="0" w:color="AECF7C" tmln="4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A:</w:t>
              <w:tab/>
              <w:t>Situationsbeschreibung: 'Rauchverbot'</w:t>
            </w:r>
          </w:p>
        </w:tc>
      </w:tr>
      <w:tr>
        <w:trPr>
          <w:tblHeader w:val="0"/>
          <w:cantSplit w:val="0"/>
          <w:trHeight w:val="2605"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12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 xml:space="preserve">Da Ihr Unternehmen mit explosiven Stoffen arbeitet, ist in der Hausordnung festgelegt, dass in allen Räumen des Betriebes ein generelles Rauchverbot herrscht, das von jedem Mitarbeiter zu beachten ist. Dennoch haben Sie vor zwei Wochen einen Ihrer Meister, Herrn Schwaden, dabei ertappt, wie er im Lager heimlich eine Zigarette rauchte. Streng machten Sie ihn auf die Gefahren seiner Handlung aufmerksam und nannten ihm auch die möglichen Folgen, falls sich sein Fehlverhalten wiederhole. Da sich Herr Schwaden einsichtig zeigte und sich überdies sofort entschuldigte, beließen Sie es bei dieser Ermahnung. </w:t>
            </w:r>
          </w:p>
          <w:p>
            <w:pPr>
              <w:ind w:firstLine="0"/>
              <w:spacing w:after="0" w:line="240" w:lineRule="auto"/>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r>
          </w:p>
          <w:p>
            <w:pPr>
              <w:ind w:firstLine="0"/>
              <w:spacing w:after="12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sz w:val="20"/>
                <w:szCs w:val="20"/>
              </w:rPr>
            </w:pPr>
            <w:r>
              <w:rPr>
                <w:rFonts w:ascii="Arial" w:hAnsi="Arial" w:eastAsia="Cambria" w:cs="Arial"/>
                <w:sz w:val="20"/>
                <w:szCs w:val="20"/>
              </w:rPr>
              <w:t>Heute zu Beginn der Frühschicht haben Sie ihn wieder beim Rauchen gesehen. Nun ist eine Abmahnung unumgänglich. Das entsprechende Gespräch mit Herrn Schwaden steht gleich bevor.</w:t>
            </w:r>
          </w:p>
        </w:tc>
      </w:tr>
      <w:tr>
        <w:trPr>
          <w:tblHeader w:val="0"/>
          <w:cantSplit w:val="0"/>
          <w:trHeight w:val="567" w:hRule="atLeast"/>
        </w:trPr>
        <w:tc>
          <w:tcPr>
            <w:tcW w:w="8787" w:type="dxa"/>
            <w:vAlign w:val="center"/>
            <w:shd w:val="solid" w:color="E0EDCD" w:fill="auto" tmshd="256, 0, 13495776"/>
            <w:tcMar>
              <w:top w:w="0" w:type="dxa"/>
              <w:left w:w="108" w:type="dxa"/>
              <w:bottom w:w="0" w:type="dxa"/>
              <w:right w:w="108" w:type="dxa"/>
            </w:tcMar>
            <w:tcBorders>
              <w:top w:val="single" w:sz="4" w:space="0" w:color="DBDEE1" tmln="10, 20, 20, 0, 0"/>
              <w:left w:val="single" w:sz="16" w:space="0" w:color="AECF7C" tmln="40, 20, 20, 0, 0"/>
              <w:bottom w:val="single" w:sz="4" w:space="0" w:color="DBDEE1" tmln="10, 20, 20, 0, 0"/>
              <w:right w:val="single" w:sz="16" w:space="0" w:color="AECF7C" tmln="40, 20, 20, 0, 0"/>
              <w:tl2br w:val="nil" w:sz="0" w:space="0" w:color="000000" tmln="20, 20, 20, 0, 0"/>
              <w:tr2bl w:val="nil" w:sz="0" w:space="0" w:color="000000" tmln="20, 20, 20, 0, 0"/>
            </w:tcBorders>
            <w:tmTcPr id="1785596603" protected="0"/>
          </w:tcPr>
          <w:p>
            <w:pPr>
              <w:ind w:left="318" w:hanging="284"/>
              <w:spacing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b/>
                <w:color w:val="00998A"/>
                <w:sz w:val="20"/>
                <w:szCs w:val="20"/>
              </w:rPr>
            </w:pPr>
            <w:r>
              <w:rPr>
                <w:rFonts w:ascii="Arial" w:hAnsi="Arial" w:eastAsia="Cambria" w:cs="Arial"/>
                <w:b/>
                <w:color w:val="00998A"/>
                <w:sz w:val="20"/>
                <w:szCs w:val="20"/>
              </w:rPr>
              <w:t>B:</w:t>
              <w:tab/>
              <w:t>Notizen zur Vorbereitung des Gesprächs</w:t>
            </w:r>
          </w:p>
        </w:tc>
      </w:tr>
      <w:tr>
        <w:trPr>
          <w:tblHeader w:val="0"/>
          <w:cantSplit w:val="0"/>
          <w:trHeight w:val="8740" w:hRule="atLeast"/>
        </w:trPr>
        <w:tc>
          <w:tcPr>
            <w:tcW w:w="8787" w:type="dxa"/>
            <w:shd w:val="none"/>
            <w:tcMar>
              <w:top w:w="0" w:type="dxa"/>
              <w:left w:w="108" w:type="dxa"/>
              <w:bottom w:w="0" w:type="dxa"/>
              <w:right w:w="108" w:type="dxa"/>
            </w:tcMar>
            <w:tcBorders>
              <w:top w:val="single" w:sz="4" w:space="0" w:color="DBDEE1" tmln="10, 20, 20, 0, 0"/>
              <w:left w:val="single" w:sz="16" w:space="0" w:color="AECF7C" tmln="40, 20, 20, 0, 0"/>
              <w:bottom w:val="single" w:sz="16" w:space="0" w:color="AECF7C" tmln="40, 20, 20, 0, 0"/>
              <w:right w:val="single" w:sz="16" w:space="0" w:color="AECF7C" tmln="40, 20, 20, 0, 0"/>
              <w:tl2br w:val="nil" w:sz="0" w:space="0" w:color="000000" tmln="20, 20, 20, 0, 0"/>
              <w:tr2bl w:val="nil" w:sz="0" w:space="0" w:color="000000" tmln="20, 20, 20, 0, 0"/>
            </w:tcBorders>
            <w:tmTcPr id="1785596603" protected="0"/>
          </w:tcPr>
          <w:p>
            <w:pPr>
              <w:ind w:firstLine="0"/>
              <w:spacing w:before="60" w:after="0"/>
              <w:tabs defTabSz="70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Arial" w:hAnsi="Arial" w:eastAsia="Cambria" w:cs="Arial"/>
                <w:color w:val="00998A"/>
                <w:sz w:val="20"/>
                <w:szCs w:val="20"/>
              </w:rPr>
            </w:pPr>
            <w:r>
              <w:rPr>
                <w:rFonts w:ascii="Arial" w:hAnsi="Arial" w:eastAsia="Cambria" w:cs="Arial"/>
                <w:color w:val="00998A"/>
                <w:sz w:val="20"/>
                <w:szCs w:val="20"/>
              </w:rPr>
            </w:r>
          </w:p>
        </w:tc>
      </w:tr>
    </w:tbl>
    <w:p>
      <w:r/>
    </w:p>
    <w:sectPr>
      <w:footnotePr>
        <w:pos w:val="pageBottom"/>
        <w:numFmt w:val="decimal"/>
        <w:numStart w:val="1"/>
        <w:numRestart w:val="continuous"/>
      </w:footnotePr>
      <w:endnotePr>
        <w:pos w:val="docEnd"/>
        <w:numFmt w:val="decimal"/>
        <w:numStart w:val="1"/>
        <w:numRestart w:val="continuous"/>
      </w:endnotePr>
      <w:type w:val="continuous"/>
      <w:pgSz w:h="16838" w:w="11906"/>
      <w:pgMar w:left="1984" w:top="1418" w:right="1134" w:bottom="1418" w:header="709" w:footer="709"/>
      <w:paperSrc w:first="0" w:other="0" a="0" b="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ourier New">
    <w:charset w:val="00"/>
    <w:family w:val="auto"/>
    <w:pitch w:val="default"/>
  </w:font>
  <w:font w:name="Tahoma">
    <w:charset w:val="00"/>
    <w:family w:val="auto"/>
    <w:pitch w:val="default"/>
  </w:font>
  <w:font w:name="Arial">
    <w:charset w:val="00"/>
    <w:family w:val="auto"/>
    <w:pitch w:val="default"/>
  </w:font>
  <w:font w:name="Cambria">
    <w:charset w:val="00"/>
    <w:family w:val="swiss"/>
    <w:pitch w:val="default"/>
  </w:font>
  <w:font w:name="Times">
    <w:charset w:val="00"/>
    <w:family w:val="roman"/>
    <w:pitch w:val="default"/>
  </w:font>
  <w:font w:name="Helvetica Neue">
    <w:charset w:val="00"/>
    <w:family w:val="roman"/>
    <w:pitch w:val="default"/>
  </w:font>
  <w:font w:name="Malgun Gothic">
    <w:charset w:val="00"/>
    <w:family w:val="auto"/>
    <w:pitch w:val="default"/>
  </w:font>
  <w:font w:name="Trebuchet M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rPr>
        <w:noProof/>
      </w:rPr>
      <mc:AlternateContent>
        <mc:Choice Requires="wps">
          <w:drawing>
            <wp:anchor distT="0" distB="0" distL="114300" distR="114300" simplePos="0" relativeHeight="25165926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25" name="Text Box 42"/>
              <wp:cNvGraphicFramePr/>
              <a:graphic xmlns:a="http://schemas.openxmlformats.org/drawingml/2006/main">
                <a:graphicData uri="http://schemas.microsoft.com/office/word/2010/wordprocessingShape">
                  <wps:wsp>
                    <wps:cNvSpPr>
                      <a:spLocks noSelect="1"/>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Text Box 42" o:spid="_x0000_s3073" style="position:absolute;margin-left:82.50pt;margin-top:-2.90pt;width:369.95pt;height:30.80pt;z-index:251659265;mso-wrap-distance-left:9.00pt;mso-wrap-distance-top:0.00pt;mso-wrap-distance-right:9.00pt;mso-wrap-distance-bottom:0.00pt;mso-wrap-style:square" stroked="f" filled="f">
              <w10:wrap type="none" anchorx="text" anchory="text"/>
            </v:rect>
          </w:pict>
        </mc:Fallback>
      </mc:AlternateContent>
    </w:r>
    <w:r>
      <w:rPr>
        <w:noProof/>
      </w:rPr>
      <mc:AlternateContent>
        <mc:Choice Requires="wps">
          <w:drawing>
            <wp:anchor distT="0" distB="0" distL="114300" distR="114300" simplePos="0" relativeHeight="251659266"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26" name="Text Box 41"/>
              <wp:cNvGraphicFramePr/>
              <a:graphic xmlns:a="http://schemas.openxmlformats.org/drawingml/2006/main">
                <a:graphicData uri="http://schemas.microsoft.com/office/word/2010/wordprocessingShape">
                  <wps:wsp>
                    <wps:cNvSpPr>
                      <a:spLocks noSelect="1"/>
                    </wps:cNvSpPr>
                    <wps:spPr>
                      <a:xfrm>
                        <a:off x="0" y="0"/>
                        <a:ext cx="4698365" cy="391160"/>
                      </a:xfrm>
                      <a:prstGeom prst="rect">
                        <a:avLst/>
                      </a:prstGeom>
                      <a:noFill/>
                      <a:ln>
                        <a:noFill/>
                      </a:ln>
                    </wps:spPr>
                    <wps:txbx>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105</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4" style="position:absolute;margin-left:82.50pt;margin-top:-2.90pt;width:369.95pt;height:30.80pt;z-index:251659266;mso-wrap-distance-left:9.00pt;mso-wrap-distance-top:0.00pt;mso-wrap-distance-right:9.00pt;mso-wrap-distance-bottom:0.00pt;mso-wrap-style:square" stroked="f" filled="f" o:insetmode="custom">
              <w10:wrap type="none" anchorx="text" anchory="text"/>
              <v:textbox inset="7.2pt,3.6pt,7.2pt,3.6pt">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105</w:t>
                      <w:fldChar w:fldCharType="end"/>
                    </w:r>
                    <w:r>
                      <w:rPr>
                        <w:sz w:val="36"/>
                      </w:rPr>
                    </w:r>
                  </w:p>
                </w:txbxContent>
              </v:textbox>
            </v:rect>
          </w:pict>
        </mc:Fallback>
      </mc:AlternateContent>
    </w:r>
    <w:r>
      <w:rPr>
        <w:noProof/>
      </w:rPr>
      <w:drawing>
        <wp:anchor distT="0" distB="0" distL="114300" distR="114300" simplePos="0" relativeHeight="251659267"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27"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Grafik 14"/>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noProof/>
      </w:rPr>
      <w:drawing>
        <wp:anchor distT="0" distB="0" distL="114300" distR="114300" simplePos="0" relativeHeight="251659268"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28" name="Grafi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Grafik 79"/>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rPr>
        <w:noProof/>
      </w:rPr>
      <mc:AlternateContent>
        <mc:Choice Requires="wps">
          <w:drawing>
            <wp:anchor distT="0" distB="0" distL="114300" distR="114300" simplePos="0" relativeHeight="251659271"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31" name="Rechteck4"/>
              <wp:cNvGraphicFramePr/>
              <a:graphic xmlns:a="http://schemas.openxmlformats.org/drawingml/2006/main">
                <a:graphicData uri="http://schemas.microsoft.com/office/word/2010/wordprocessingShape">
                  <wps:wsp>
                    <wps:cNvSpPr>
                      <a:spLocks noSelect="1"/>
                    </wps:cNvSpPr>
                    <wps:spPr>
                      <a:xfrm>
                        <a:off x="0" y="0"/>
                        <a:ext cx="4698365" cy="391160"/>
                      </a:xfrm>
                      <a:prstGeom prst="rect">
                        <a:avLst/>
                      </a:prstGeom>
                      <a:noFill/>
                      <a:ln>
                        <a:noFill/>
                      </a:ln>
                    </wps:spPr>
                    <wps:bodyPr spcFirstLastPara="1" vertOverflow="clip" horzOverflow="clip" lIns="91440" tIns="45720" rIns="91440" bIns="45720" upright="1">
                      <a:noAutofit/>
                    </wps:bodyPr>
                  </wps:wsp>
                </a:graphicData>
              </a:graphic>
            </wp:anchor>
          </w:drawing>
        </mc:Choice>
        <mc:Fallback>
          <w:pict>
            <v:rect id="Rechteck4" o:spid="_x0000_s9217" style="position:absolute;margin-left:82.50pt;margin-top:-2.90pt;width:369.95pt;height:30.80pt;z-index:251659271;mso-wrap-distance-left:9.00pt;mso-wrap-distance-top:0.00pt;mso-wrap-distance-right:9.00pt;mso-wrap-distance-bottom:0.00pt;mso-wrap-style:square" stroked="f" filled="f">
              <w10:wrap type="none" anchorx="text" anchory="text"/>
            </v:rect>
          </w:pict>
        </mc:Fallback>
      </mc:AlternateContent>
    </w:r>
    <w:r>
      <w:rPr>
        <w:noProof/>
      </w:rPr>
      <mc:AlternateContent>
        <mc:Choice Requires="wps">
          <w:drawing>
            <wp:anchor distT="0" distB="0" distL="114300" distR="114300" simplePos="0" relativeHeight="251659272"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32" name="Rechteck3"/>
              <wp:cNvGraphicFramePr/>
              <a:graphic xmlns:a="http://schemas.openxmlformats.org/drawingml/2006/main">
                <a:graphicData uri="http://schemas.microsoft.com/office/word/2010/wordprocessingShape">
                  <wps:wsp>
                    <wps:cNvSpPr>
                      <a:spLocks noSelect="1"/>
                    </wps:cNvSpPr>
                    <wps:spPr>
                      <a:xfrm>
                        <a:off x="0" y="0"/>
                        <a:ext cx="4698365" cy="391160"/>
                      </a:xfrm>
                      <a:prstGeom prst="rect">
                        <a:avLst/>
                      </a:prstGeom>
                      <a:noFill/>
                      <a:ln>
                        <a:noFill/>
                      </a:ln>
                    </wps:spPr>
                    <wps:txbx>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Rechteck3" o:spid="_x0000_s9218" style="position:absolute;margin-left:82.50pt;margin-top:-2.90pt;width:369.95pt;height:30.80pt;z-index:251659272;mso-wrap-distance-left:9.00pt;mso-wrap-distance-top:0.00pt;mso-wrap-distance-right:9.00pt;mso-wrap-distance-bottom:0.00pt;mso-wrap-style:square" stroked="f" filled="f" o:insetmode="custom">
              <w10:wrap type="none" anchorx="text" anchory="text"/>
              <v:textbox inset="7.2pt,3.6pt,7.2pt,3.6pt">
                <w:txbxContent>
                  <w:p>
                    <w:pPr>
                      <w:pStyle w:val="para14"/>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w:t>
                      <w:fldChar w:fldCharType="end"/>
                    </w:r>
                    <w:r>
                      <w:rPr>
                        <w:sz w:val="36"/>
                      </w:rPr>
                    </w:r>
                  </w:p>
                </w:txbxContent>
              </v:textbox>
            </v:rect>
          </w:pict>
        </mc:Fallback>
      </mc:AlternateContent>
    </w:r>
    <w:r>
      <w:rPr>
        <w:noProof/>
      </w:rPr>
      <w:drawing>
        <wp:anchor distT="0" distB="0" distL="114300" distR="114300" simplePos="0" relativeHeight="251659273"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33" name="Grafik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Grafik218"/>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noProof/>
      </w:rPr>
      <w:drawing>
        <wp:anchor distT="0" distB="0" distL="114300" distR="114300" simplePos="0" relativeHeight="251659274"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34" name="Grafik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Grafik220"/>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360"/>
    </w:pP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spacing w:after="0" w:line="240" w:lineRule="auto"/>
      <w:jc w:val="left"/>
      <w:tabs defTabSz="708">
        <w:tab w:val="center" w:pos="5726" w:leader="none"/>
        <w:tab w:val="right" w:pos="8674"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rPr>
        <w:color w:val="auto"/>
        <w:sz w:val="18"/>
      </w:rPr>
    </w:pPr>
    <w:r>
      <w:rPr>
        <w:color w:val="auto"/>
        <w:sz w:val="18"/>
      </w:rPr>
      <w:tab/>
      <w:t>Dokumentation Mitarbeiter-Führung</w:t>
      <w:tab/>
      <w:t>Dr. Gerhard H. Peise</w:t>
      <w:tab/>
      <w:t xml:space="preserve"> </w:t>
    </w:r>
    <w:r>
      <w:rPr>
        <w:color w:val="auto"/>
        <w:sz w:val="18"/>
      </w:rPr>
      <w:fldChar w:fldCharType="begin"/>
      <w:instrText xml:space="preserve"> PAGE </w:instrText>
      <w:fldChar w:fldCharType="separate"/>
      <w:t>i</w:t>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56"/>
      <w:tabs defTabSz="708">
        <w:tab w:val="left" w:pos="2268" w:leader="none"/>
        <w:tab w:val="clear" w:pos="4536" w:leader="none"/>
        <w:tab w:val="right" w:pos="8674" w:leader="none"/>
        <w:tab w:val="right" w:pos="8787" w:leader="none"/>
        <w:tab w:val="clear" w:pos="9072"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b/>
    </w:r>
    <w:r>
      <w:fldChar w:fldCharType="begin"/>
      <w:instrText xml:space="preserve"> PAGE </w:instrText>
      <w:fldChar w:fldCharType="separate"/>
      <w:t>ii</w:t>
      <w:fldChar w:fldCharType="end"/>
    </w:r>
    <w:r>
      <w:tab/>
      <w:t>Dr. Gerhard H. Peise</w:t>
      <w:tab/>
      <w:t>Dokumentation Mitarbeiter-Führung</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spacing w:after="0" w:line="240" w:lineRule="auto"/>
      <w:jc w:val="left"/>
      <w:tabs defTabSz="708">
        <w:tab w:val="center" w:pos="5726" w:leader="none"/>
        <w:tab w:val="right" w:pos="8674"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rPr>
        <w:color w:val="auto"/>
        <w:szCs w:val="20"/>
      </w:rPr>
    </w:pPr>
    <w:r>
      <w:rPr>
        <w:color w:val="auto"/>
        <w:szCs w:val="20"/>
      </w:rPr>
      <w:tab/>
      <w:t>Dokumentation Mitarbeiter-Führung</w:t>
      <w:tab/>
      <w:t>Dr. Gerhard H. Peise</w:t>
      <w:tab/>
      <w:t xml:space="preserve"> </w:t>
    </w:r>
    <w:r>
      <w:rPr>
        <w:color w:val="auto"/>
        <w:szCs w:val="20"/>
      </w:rPr>
      <w:fldChar w:fldCharType="begin"/>
      <w:instrText xml:space="preserve"> PAGE </w:instrText>
      <w:fldChar w:fldCharType="separate"/>
      <w:t>i</w:t>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ind w:right="56"/>
      <w:tabs defTabSz="708">
        <w:tab w:val="center" w:pos="4422" w:leader="none"/>
        <w:tab w:val="clear" w:pos="4536" w:leader="none"/>
        <w:tab w:val="right" w:pos="8787" w:leader="none"/>
        <w:tab w:val="clear" w:pos="9072"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spacing w:after="0" w:line="240" w:lineRule="auto"/>
      <w:jc w:val="left"/>
      <w:tabs defTabSz="708">
        <w:tab w:val="left" w:pos="5102" w:leader="none"/>
        <w:tab w:val="right" w:pos="8787"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rPr>
        <w:color w:val="auto"/>
        <w:sz w:val="18"/>
      </w:rPr>
    </w:pPr>
    <w:r>
      <w:rPr>
        <w:color w:val="auto"/>
        <w:sz w:val="18"/>
      </w:rPr>
      <w:tab/>
      <w:t>Dokumentation Mitarbeiter-Führung</w:t>
      <w:tab/>
      <w:t>Dr. Gerhard H. Peise</w:t>
      <w:tab/>
      <w:t xml:space="preserve">S. </w:t>
    </w:r>
    <w:r>
      <w:rPr>
        <w:color w:val="auto"/>
        <w:sz w:val="18"/>
      </w:rPr>
      <w:fldChar w:fldCharType="begin"/>
      <w:instrText xml:space="preserve"> PAGE </w:instrText>
      <w:fldChar w:fldCharType="separate"/>
      <w:t>97</w:t>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spacing w:after="0" w:line="240" w:lineRule="auto"/>
      <w:jc w:val="left"/>
      <w:tabs defTabSz="708">
        <w:tab w:val="left" w:pos="1701" w:leader="none"/>
        <w:tab w:val="right" w:pos="8787"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rPr>
        <w:color w:val="auto"/>
        <w:sz w:val="18"/>
      </w:rPr>
    </w:pPr>
    <w:r>
      <w:rPr>
        <w:color w:val="auto"/>
        <w:sz w:val="18"/>
      </w:rPr>
      <w:tab/>
      <w:t xml:space="preserve">S. </w:t>
    </w:r>
    <w:r>
      <w:rPr>
        <w:color w:val="auto"/>
        <w:sz w:val="18"/>
      </w:rPr>
      <w:fldChar w:fldCharType="begin"/>
      <w:instrText xml:space="preserve"> PAGE </w:instrText>
      <w:fldChar w:fldCharType="separate"/>
      <w:t>98</w:t>
      <w:fldChar w:fldCharType="end"/>
    </w:r>
    <w:r>
      <w:rPr>
        <w:color w:val="auto"/>
        <w:sz w:val="18"/>
      </w:rPr>
      <w:tab/>
      <w:t>Dr. Gerhard H. Peise</w:t>
      <w:tab/>
      <w:t>Dokumentation Mitarbeiter-Führung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33">
    <w:p>
      <w:pPr>
        <w:pStyle w:val="para27"/>
        <w:ind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eastAsia="Cambria" w:cs="Basic Roman"/>
          <w:sz w:val="16"/>
          <w:szCs w:val="16"/>
        </w:rPr>
      </w:pPr>
      <w:r>
        <w:rPr>
          <w:rStyle w:val="char31"/>
          <w:rFonts w:eastAsia="Cambria" w:cs="Basic Roman"/>
          <w:sz w:val="22"/>
          <w:szCs w:val="22"/>
        </w:rPr>
      </w:r>
      <w:r>
        <w:rPr>
          <w:rStyle w:val="char31"/>
          <w:rFonts w:eastAsia="Cambria" w:cs="Basic Roman"/>
          <w:sz w:val="22"/>
          <w:szCs w:val="22"/>
        </w:rPr>
        <w:footnoteRef/>
      </w:r>
      <w:r>
        <w:rPr>
          <w:rFonts w:eastAsia="Cambria" w:cs="Basic Roman"/>
        </w:rPr>
        <w:t xml:space="preserve"> </w:t>
      </w:r>
      <w:r>
        <w:rPr>
          <w:rFonts w:eastAsia="Cambria" w:cs="Basic Roman"/>
          <w:sz w:val="16"/>
          <w:szCs w:val="16"/>
        </w:rPr>
        <w:t>R. Tannenbaum &amp; W. H. Schmidt, 1958, How to choose a leadership pattern. Harvard Business Review, 36, S. 95-102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noProof/>
      </w:rPr>
      <w:drawing>
        <wp:anchor distT="0" distB="0" distL="114300" distR="114300" simplePos="0" relativeHeight="251659269"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29"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Grafik 15"/>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noProof/>
      </w:rPr>
      <w:drawing>
        <wp:anchor distT="0" distB="0" distL="114300" distR="114300" simplePos="0" relativeHeight="251659270"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30" name="Grafi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Grafik 80"/>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"1" \n </w:instrText>
      <w:fldChar w:fldCharType="separate"/>
      <w:t>Vorlagenverweis: Kein passender Text gefunden</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"1" \n </w:instrText>
      <w:fldChar w:fldCharType="separate"/>
      <w:t>Vorlagenverweis: Kein passender Text gefunden</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noProof/>
      </w:rPr>
      <w:drawing>
        <wp:anchor distT="0" distB="0" distL="114300" distR="114300" simplePos="0" relativeHeight="251659275"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35" name="Grafik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Grafik219"/>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noProof/>
      </w:rPr>
      <w:drawing>
        <wp:anchor distT="0" distB="0" distL="114300" distR="114300" simplePos="0" relativeHeight="251659276"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36" name="Grafik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Grafik221"/>
                  <pic:cNvPicPr>
                    <a:picLocks noChangeAspect="1"/>
                  </pic:cNvPicPr>
                </pic:nvPicPr>
                <pic:blipFill>
                  <a:blip r:embed="rId1">
                    <a:colorize val="10" sat="100" blend="0">
                      <a:clrTo>
                        <a:srgbClr val="7F7F7F"/>
                      </a:clrTo>
                    </a:colorize>
                  </a:blip>
                  <a:stretch>
                    <a:fillRect/>
                  </a:stretch>
                </pic:blipFill>
                <pic:spPr>
                  <a:xfrm>
                    <a:off x="0" y="0"/>
                    <a:ext cx="7562850" cy="723900"/>
                  </a:xfrm>
                  <a:prstGeom prst="rect">
                    <a:avLst/>
                  </a:prstGeom>
                  <a:noFill/>
                  <a:ln w="12700">
                    <a:noFill/>
                  </a:ln>
                </pic:spPr>
              </pic:pic>
            </a:graphicData>
          </a:graphic>
        </wp:anchor>
      </w:drawing>
    </w: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"1" \n </w:instrText>
      <w:fldChar w:fldCharType="separate"/>
      <w:t>Vorlagenverweis: Kein passender Text gefunden</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rStyle w:val="char20"/>
        <w:rFonts w:ascii="Tahoma" w:hAnsi="Tahoma" w:eastAsia="Tahoma" w:cs="Tahoma"/>
        <w:color w:val="00998A"/>
        <w:kern w:val="1"/>
        <w:sz w:val="18"/>
        <w:szCs w:val="18"/>
      </w:rPr>
    </w:r>
    <w:r>
      <w:rPr>
        <w:rStyle w:val="char20"/>
        <w:rFonts w:ascii="Tahoma" w:hAnsi="Tahoma" w:eastAsia="Tahoma" w:cs="Tahoma"/>
        <w:color w:val="00998A"/>
        <w:kern w:val="1"/>
        <w:sz w:val="18"/>
        <w:szCs w:val="18"/>
      </w:rPr>
      <w:fldChar w:fldCharType="begin"/>
      <w:instrText xml:space="preserve"> STYLEREF "1" \n </w:instrText>
      <w:fldChar w:fldCharType="separate"/>
      <w:t>Vorlagenverweis: Kein passender Text gefunden</w:t>
      <w:fldChar w:fldCharType="end"/>
    </w:r>
    <w:r>
      <w:rPr>
        <w:rStyle w:val="char20"/>
        <w:rFonts w:ascii="Tahoma" w:hAnsi="Tahoma" w:eastAsia="Tahoma" w:cs="Tahoma"/>
        <w:kern w:val="1"/>
        <w:sz w:val="18"/>
        <w:szCs w:val="18"/>
      </w:rPr>
      <w:t xml:space="preserve"> </w:t>
    </w:r>
    <w:r>
      <w:rPr>
        <w:rStyle w:val="char20"/>
        <w:rFonts w:ascii="Tahoma" w:hAnsi="Tahoma" w:eastAsia="Tahoma" w:cs="Tahoma"/>
        <w:color w:val="00998A"/>
        <w:kern w:val="1"/>
        <w:sz w:val="20"/>
        <w:szCs w:val="18"/>
      </w:rPr>
      <w:t>|</w:t>
    </w:r>
    <w:r>
      <w:rPr>
        <w:rStyle w:val="char20"/>
        <w:rFonts w:ascii="Tahoma" w:hAnsi="Tahoma" w:eastAsia="Tahoma" w:cs="Tahoma"/>
        <w:kern w:val="1"/>
        <w:sz w:val="20"/>
        <w:szCs w:val="18"/>
      </w:rPr>
      <w:t xml:space="preserve"> </w:t>
    </w:r>
    <w:r/>
    <w:r>
      <w:fldChar w:fldCharType="begin"/>
      <w:instrText xml:space="preserve"> STYLEREF "1"  </w:instrText>
      <w:fldChar w:fldCharType="separate"/>
      <w:t>Vorlagenverweis: Kein passender Text gefunden</w:t>
      <w:fldChar w:fldCharType="end"/>
    </w:r>
    <w:r>
      <w:rPr>
        <w:color w:val="717D87"/>
      </w:rP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color w:val="717D87"/>
      </w:rP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color w:val="717D87"/>
      </w:rP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color w:val="717D87"/>
      </w:rP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rPr>
        <w:color w:val="717D87"/>
      </w:rPr>
    </w:pPr>
    <w:r>
      <w:rPr>
        <w:color w:val="717D87"/>
      </w:rP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left"/>
      <w:tabs defTabSz="708">
        <w:tab w:val="center" w:pos="4536" w:leader="none"/>
        <w:tab w:val="clear" w:pos="9072"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
      <w:rPr>
        <w:rStyle w:val="char20"/>
        <w:rFonts w:ascii="Tahoma" w:hAnsi="Tahoma" w:eastAsia="Tahoma" w:cs="Tahoma"/>
        <w:color w:val="auto"/>
        <w:kern w:val="1"/>
        <w:sz w:val="18"/>
        <w:szCs w:val="18"/>
      </w:rPr>
    </w:r>
    <w:r>
      <w:rPr>
        <w:rStyle w:val="char20"/>
        <w:rFonts w:ascii="Tahoma" w:hAnsi="Tahoma" w:eastAsia="Tahoma" w:cs="Tahoma"/>
        <w:color w:val="auto"/>
        <w:kern w:val="1"/>
        <w:sz w:val="18"/>
        <w:szCs w:val="18"/>
      </w:rPr>
      <w:fldChar w:fldCharType="begin"/>
      <w:instrText xml:space="preserve"> STYLEREF "1" \n </w:instrText>
      <w:fldChar w:fldCharType="separate"/>
      <w:t>4</w:t>
      <w:fldChar w:fldCharType="end"/>
    </w:r>
    <w:r>
      <w:rPr>
        <w:rStyle w:val="char20"/>
        <w:rFonts w:ascii="Tahoma" w:hAnsi="Tahoma" w:eastAsia="Tahoma" w:cs="Tahoma"/>
        <w:color w:val="auto"/>
        <w:kern w:val="1"/>
        <w:sz w:val="18"/>
        <w:szCs w:val="18"/>
      </w:rPr>
      <w:t xml:space="preserve"> </w:t>
    </w:r>
    <w:r>
      <w:rPr>
        <w:rStyle w:val="char20"/>
        <w:rFonts w:ascii="Tahoma" w:hAnsi="Tahoma" w:eastAsia="Tahoma" w:cs="Tahoma"/>
        <w:color w:val="auto"/>
        <w:kern w:val="1"/>
        <w:sz w:val="20"/>
        <w:szCs w:val="18"/>
      </w:rPr>
      <w:t>|</w:t>
    </w:r>
    <w:r>
      <w:rPr>
        <w:rStyle w:val="char20"/>
        <w:rFonts w:ascii="Tahoma" w:hAnsi="Tahoma" w:eastAsia="Tahoma" w:cs="Tahoma"/>
        <w:color w:val="auto"/>
        <w:kern w:val="1"/>
        <w:sz w:val="20"/>
        <w:szCs w:val="18"/>
      </w:rPr>
      <w:t xml:space="preserve"> </w:t>
    </w:r>
    <w:r/>
    <w:r>
      <w:fldChar w:fldCharType="begin"/>
      <w:instrText xml:space="preserve"> STYLEREF "1"  </w:instrText>
      <w:fldChar w:fldCharType="separate"/>
      <w:t>Mitarbeitergespräche</w:t>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right="-2"/>
      <w:spacing/>
      <w:jc w:val="right"/>
      <w:tabs defTabSz="708">
        <w:tab w:val="center" w:pos="4536" w:leader="none"/>
        <w:tab w:val="clear" w:pos="9072"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rPr>
        <w:sz w:val="20"/>
        <w:szCs w:val="20"/>
      </w:rPr>
    </w:pPr>
    <w:r>
      <w:rPr>
        <w:rStyle w:val="char20"/>
        <w:rFonts w:ascii="Tahoma" w:hAnsi="Tahoma" w:eastAsia="Tahoma" w:cs="Tahoma"/>
        <w:color w:val="auto"/>
        <w:kern w:val="1"/>
        <w:sz w:val="20"/>
        <w:szCs w:val="20"/>
      </w:rPr>
    </w:r>
    <w:r>
      <w:rPr>
        <w:rStyle w:val="char20"/>
        <w:rFonts w:ascii="Tahoma" w:hAnsi="Tahoma" w:eastAsia="Tahoma" w:cs="Tahoma"/>
        <w:color w:val="auto"/>
        <w:kern w:val="1"/>
        <w:sz w:val="20"/>
        <w:szCs w:val="20"/>
      </w:rPr>
      <w:fldChar w:fldCharType="begin"/>
      <w:instrText xml:space="preserve"> STYLEREF "1" \n </w:instrText>
      <w:fldChar w:fldCharType="separate"/>
      <w:t>4</w:t>
      <w:fldChar w:fldCharType="end"/>
    </w:r>
    <w:r>
      <w:rPr>
        <w:rStyle w:val="char20"/>
        <w:rFonts w:ascii="Tahoma" w:hAnsi="Tahoma" w:eastAsia="Tahoma" w:cs="Tahoma"/>
        <w:color w:val="auto"/>
        <w:kern w:val="1"/>
        <w:sz w:val="20"/>
        <w:szCs w:val="20"/>
      </w:rPr>
      <w:t xml:space="preserve"> </w:t>
    </w:r>
    <w:r>
      <w:rPr>
        <w:rStyle w:val="char20"/>
        <w:rFonts w:ascii="Tahoma" w:hAnsi="Tahoma" w:eastAsia="Tahoma" w:cs="Tahoma"/>
        <w:color w:val="auto"/>
        <w:kern w:val="1"/>
        <w:sz w:val="20"/>
        <w:szCs w:val="20"/>
      </w:rPr>
      <w:t>|</w:t>
    </w:r>
    <w:r>
      <w:rPr>
        <w:rStyle w:val="char20"/>
        <w:rFonts w:ascii="Tahoma" w:hAnsi="Tahoma" w:eastAsia="Tahoma" w:cs="Tahoma"/>
        <w:color w:val="auto"/>
        <w:kern w:val="1"/>
        <w:sz w:val="20"/>
        <w:szCs w:val="20"/>
      </w:rPr>
      <w:t xml:space="preserve"> </w:t>
    </w:r>
    <w:r/>
    <w:r>
      <w:fldChar w:fldCharType="begin"/>
      <w:instrText xml:space="preserve"> STYLEREF "1"  </w:instrText>
      <w:fldChar w:fldCharType="separate"/>
      <w:t>Mitarbeitergespräche</w:t>
      <w:fldChar w:fldCharType="end"/>
    </w:r>
    <w:r>
      <w:rPr>
        <w:sz w:val="20"/>
        <w:szCs w:val="20"/>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tmUseOutlineLevel val="0"/>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tmUseOutlineLevel val="0"/>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8">
    <w:multiLevelType w:val="hybridMultilevel"/>
    <w:name w:val="Nummerierungsliste 19"/>
    <w:lvl w:ilvl="0">
      <w:numFmt w:val="bullet"/>
      <w:suff w:val="tab"/>
      <w:lvlText w:val=""/>
      <w:lvlJc w:val="left"/>
      <w:pPr>
        <w:ind w:left="1069" w:hanging="0"/>
      </w:pPr>
      <w:rPr>
        <w:rFonts w:ascii="Wingdings" w:hAnsi="Wingdings"/>
        <w:color w:val="00998A"/>
        <w:sz w:val="18"/>
        <w:vertAlign w:val="baseline"/>
      </w:rPr>
    </w:lvl>
    <w:lvl w:ilvl="1">
      <w:numFmt w:val="bullet"/>
      <w:suff w:val="tab"/>
      <w:lvlText w:val=""/>
      <w:lvlJc w:val="left"/>
      <w:pPr>
        <w:ind w:left="1789" w:hanging="0"/>
      </w:pPr>
      <w:rPr>
        <w:rFonts w:ascii="Wingdings" w:hAnsi="Wingdings"/>
        <w:color w:val="717D87"/>
        <w:sz w:val="14"/>
      </w:rPr>
    </w:lvl>
    <w:lvl w:ilvl="2">
      <w:numFmt w:val="bullet"/>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tmUseOutlineLevel val="0"/>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tmUseOutlineLevel val="0"/>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tmUseOutlineLevel val="0"/>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tmUseOutlineLevel val="0"/>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pStyle w:val="para7"/>
      <w:suff w:val="tab"/>
      <w:lvlText w:val="%1.%2.%3.%4.%5.%6.%7"/>
      <w:lvlJc w:val="left"/>
      <w:pPr>
        <w:ind w:left="0" w:hanging="0"/>
      </w:pPr>
    </w:lvl>
    <w:lvl w:ilvl="7">
      <w:start w:val="1"/>
      <w:numFmt w:val="decimal"/>
      <w:pStyle w:val="para8"/>
      <w:suff w:val="tab"/>
      <w:lvlText w:val="%1.%2.%3.%4.%5.%6.%7.%8"/>
      <w:lvlJc w:val="left"/>
      <w:pPr>
        <w:ind w:left="0" w:hanging="0"/>
      </w:pPr>
    </w:lvl>
    <w:lvl w:ilvl="8">
      <w:start w:val="1"/>
      <w:numFmt w:val="decimal"/>
      <w:pStyle w:val="para9"/>
      <w:suff w:val="tab"/>
      <w:lvlText w:val="%1.%2.%3.%4.%5.%6.%7.%8.%9"/>
      <w:lvlJc w:val="left"/>
      <w:pPr>
        <w:ind w:left="0" w:hanging="0"/>
      </w:pPr>
    </w:lvl>
    <w:tmUseOutlineLevel val="1"/>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tmUseOutlineLevel val="0"/>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4">
    <w:multiLevelType w:val="singleLevel"/>
    <w:name w:val="Bullet 13"/>
    <w:lvl w:ilvl="0">
      <w:start w:val="1"/>
      <w:numFmt w:val="ordinal"/>
      <w:suff w:val="tab"/>
      <w:lvlText w:val="%1"/>
      <w:lvlJc w:val="left"/>
      <w:pPr>
        <w:ind w:left="0" w:hanging="0"/>
      </w:pPr>
    </w:lvl>
    <w:tmUseOutlineLevel val="0"/>
  </w:abstractNum>
  <w:abstractNum w:abstractNumId="55">
    <w:multiLevelType w:val="singleLevel"/>
    <w:name w:val="Bullet 12"/>
    <w:lvl w:ilvl="0">
      <w:start w:val="1"/>
      <w:numFmt w:val="decimal"/>
      <w:suff w:val="tab"/>
      <w:lvlText w:val="%1."/>
      <w:lvlJc w:val="left"/>
      <w:pPr>
        <w:ind w:left="0" w:hanging="0"/>
      </w:pPr>
    </w:lvl>
    <w:tmUseOutlineLevel val="0"/>
  </w:abstractNum>
  <w:abstractNum w:abstractNumId="56">
    <w:multiLevelType w:val="singleLevel"/>
    <w:name w:val="Bullet 16"/>
    <w:lvl w:ilvl="0">
      <w:start w:val="1"/>
      <w:numFmt w:val="ordinal"/>
      <w:suff w:val="tab"/>
      <w:lvlText w:val="%1"/>
      <w:lvlJc w:val="left"/>
      <w:pPr>
        <w:ind w:left="0" w:hanging="0"/>
      </w:pPr>
    </w:lvl>
    <w:tmUseOutlineLevel val="0"/>
  </w:abstractNum>
  <w:abstractNum w:abstractNumId="57">
    <w:multiLevelType w:val="singleLevel"/>
    <w:name w:val="Bullet 57"/>
    <w:lvl w:ilvl="0">
      <w:numFmt w:val="bullet"/>
      <w:pStyle w:val="para33"/>
      <w:suff w:val="tab"/>
      <w:lvlText w:val=""/>
      <w:lvlJc w:val="left"/>
      <w:pPr>
        <w:ind w:left="0" w:hanging="0"/>
      </w:pPr>
      <w:rPr>
        <w:rFonts w:ascii="Wingdings" w:hAnsi="Wingdings" w:eastAsia="Wingdings" w:cs="Wingdings"/>
        <w:sz w:val="22"/>
      </w:rPr>
    </w:lvl>
    <w:tmUseOutlineLevel val="0"/>
  </w:abstractNum>
  <w:abstractNum w:abstractNumId="58">
    <w:multiLevelType w:val="hybridMultilevel"/>
    <w:name w:val="Bullet 58"/>
    <w:lvl w:ilvl="0">
      <w:numFmt w:val="bullet"/>
      <w:pStyle w:val="para34"/>
      <w:suff w:val="tab"/>
      <w:lvlText w:val=""/>
      <w:lvlJc w:val="left"/>
      <w:pPr>
        <w:ind w:left="0" w:hanging="0"/>
      </w:pPr>
      <w:rPr>
        <w:rFonts w:ascii="Wingdings" w:hAnsi="Wingdings" w:eastAsia="Wingdings" w:cs="Wingdings"/>
        <w:color w:val="00998A"/>
      </w:rPr>
    </w:lvl>
    <w:lvl w:ilvl="1">
      <w:numFmt w:val="bullet"/>
      <w:suff w:val="tab"/>
      <w:lvlText w:val=""/>
      <w:lvlJc w:val="left"/>
      <w:pPr>
        <w:ind w:left="141" w:hanging="0"/>
      </w:pPr>
      <w:rPr>
        <w:rFonts w:ascii="Wingdings" w:hAnsi="Wingdings" w:eastAsia="Wingdings" w:cs="Wingdings"/>
        <w:color w:val="00998A"/>
      </w:rPr>
    </w:lvl>
    <w:lvl w:ilvl="2">
      <w:numFmt w:val="bullet"/>
      <w:suff w:val="tab"/>
      <w:lvlText w:val=""/>
      <w:lvlJc w:val="left"/>
      <w:pPr>
        <w:ind w:left="283" w:hanging="0"/>
      </w:pPr>
      <w:rPr>
        <w:rFonts w:ascii="Wingdings" w:hAnsi="Wingdings" w:eastAsia="Wingdings" w:cs="Wingdings"/>
        <w:color w:val="00998A"/>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w:numFmt w:val="none"/>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tmUseOutlineLevel val="0"/>
  </w:abstractNum>
  <w:abstractNum w:abstractNumId="59">
    <w:multiLevelType w:val="singleLevel"/>
    <w:name w:val="Bullet 59"/>
    <w:lvl w:ilvl="0">
      <w:start w:val="1"/>
      <w:numFmt w:val="decimal"/>
      <w:suff w:val="tab"/>
      <w:lvlText w:val="%1."/>
      <w:lvlJc w:val="left"/>
      <w:pPr>
        <w:ind w:left="0" w:hanging="0"/>
      </w:pPr>
    </w:lvl>
    <w:tmUseOutlineLevel val="0"/>
  </w:abstractNum>
  <w:abstractNum w:abstractNumId="60">
    <w:multiLevelType w:val="singleLevel"/>
    <w:name w:val="Bullet 60"/>
    <w:lvl w:ilvl="0">
      <w:numFmt w:val="bullet"/>
      <w:pStyle w:val="para41"/>
      <w:suff w:val="tab"/>
      <w:lvlText w:val="·"/>
      <w:lvlJc w:val="left"/>
      <w:pPr>
        <w:ind w:left="0" w:hanging="0"/>
      </w:pPr>
      <w:rPr>
        <w:rFonts w:ascii="Symbol" w:hAnsi="Symbol"/>
        <w:color w:val="007F7F"/>
        <w:sz w:val="36"/>
      </w:rPr>
    </w:lvl>
    <w:tmUseOutlineLevel val="0"/>
  </w:abstractNum>
  <w:abstractNum w:abstractNumId="61">
    <w:multiLevelType w:val="singleLevel"/>
    <w:name w:val="Bullet 61"/>
    <w:lvl w:ilvl="0">
      <w:numFmt w:val="bullet"/>
      <w:suff w:val="tab"/>
      <w:lvlText w:val="-"/>
      <w:lvlJc w:val="left"/>
      <w:pPr>
        <w:ind w:left="0" w:hanging="0"/>
      </w:pPr>
      <w:rPr>
        <w:rFonts w:ascii="Tahoma" w:hAnsi="Tahoma" w:eastAsia="Arial" w:cs="Tahoma"/>
      </w:rPr>
    </w:lvl>
    <w:tmUseOutlineLevel val="0"/>
  </w:abstractNum>
  <w:abstractNum w:abstractNumId="62">
    <w:multiLevelType w:val="singleLevel"/>
    <w:name w:val="Bullet 62"/>
    <w:lvl w:ilvl="0">
      <w:numFmt w:val="bullet"/>
      <w:suff w:val="tab"/>
      <w:lvlText w:val="•"/>
      <w:lvlJc w:val="left"/>
      <w:pPr>
        <w:ind w:left="0" w:hanging="0"/>
      </w:pPr>
      <w:rPr>
        <w:b w:val="0"/>
        <w:u w:color="auto" w:val="single"/>
      </w:rPr>
    </w:lvl>
    <w:tmUseOutlineLevel val="0"/>
  </w:abstractNum>
  <w:abstractNum w:abstractNumId="63">
    <w:multiLevelType w:val="singleLevel"/>
    <w:name w:val="Bullet 63"/>
    <w:lvl w:ilvl="0">
      <w:numFmt w:val="bullet"/>
      <w:suff w:val="tab"/>
      <w:lvlText w:val="o"/>
      <w:lvlJc w:val="left"/>
      <w:pPr>
        <w:ind w:left="0" w:hanging="0"/>
      </w:pPr>
      <w:rPr>
        <w:rFonts w:ascii="Courier New" w:hAnsi="Courier New"/>
      </w:rPr>
    </w:lvl>
    <w:tmUseOutlineLevel val="0"/>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tmUseOutlineLevel val="0"/>
  </w:abstractNum>
  <w:abstractNum w:abstractNumId="65">
    <w:multiLevelType w:val="singleLevel"/>
    <w:name w:val="Bullet 65"/>
    <w:lvl w:ilvl="0">
      <w:start w:val="1"/>
      <w:numFmt w:val="decimal"/>
      <w:suff w:val="tab"/>
      <w:lvlText w:val="%1"/>
      <w:lvlJc w:val="left"/>
      <w:pPr>
        <w:ind w:left="0" w:hanging="0"/>
      </w:pPr>
    </w:lvl>
    <w:tmUseOutlineLevel val="0"/>
  </w:abstractNum>
  <w:abstractNum w:abstractNumId="66">
    <w:multiLevelType w:val="singleLevel"/>
    <w:name w:val="Bullet 66"/>
    <w:lvl w:ilvl="0">
      <w:start w:val="1"/>
      <w:numFmt w:val="decimal"/>
      <w:suff w:val="tab"/>
      <w:lvlText w:val="%1"/>
      <w:lvlJc w:val="left"/>
      <w:pPr>
        <w:ind w:left="0" w:hanging="0"/>
      </w:pPr>
    </w:lvl>
    <w:tmUseOutlineLevel val="0"/>
  </w:abstractNum>
  <w:abstractNum w:abstractNumId="67">
    <w:multiLevelType w:val="singleLevel"/>
    <w:name w:val="Bullet 67"/>
    <w:lvl w:ilvl="0">
      <w:numFmt w:val="bullet"/>
      <w:suff w:val="tab"/>
      <w:lvlText w:val="·"/>
      <w:lvlJc w:val="left"/>
      <w:pPr>
        <w:ind w:left="0" w:hanging="0"/>
      </w:pPr>
      <w:rPr>
        <w:rFonts w:ascii="Symbol" w:hAnsi="Symbol"/>
        <w:sz w:val="18"/>
        <w:szCs w:val="18"/>
      </w:rPr>
    </w:lvl>
    <w:tmUseOutlineLevel val="0"/>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tmUseOutlineLevel val="0"/>
  </w:abstractNum>
  <w:abstractNum w:abstractNumId="69">
    <w:multiLevelType w:val="singleLevel"/>
    <w:name w:val="Bullet 69"/>
    <w:lvl w:ilvl="0">
      <w:start w:val="1"/>
      <w:numFmt w:val="lowerLetter"/>
      <w:suff w:val="tab"/>
      <w:lvlText w:val="%1)"/>
      <w:lvlJc w:val="left"/>
      <w:pPr>
        <w:ind w:left="0" w:hanging="0"/>
      </w:pPr>
    </w:lvl>
    <w:tmUseOutlineLevel val="0"/>
  </w:abstractNum>
  <w:abstractNum w:abstractNumId="70">
    <w:multiLevelType w:val="singleLevel"/>
    <w:name w:val="Bullet 70"/>
    <w:lvl w:ilvl="0">
      <w:start w:val="2"/>
      <w:numFmt w:val="lowerLetter"/>
      <w:suff w:val="tab"/>
      <w:lvlText w:val="%1)"/>
      <w:lvlJc w:val="left"/>
      <w:pPr>
        <w:ind w:left="0" w:hanging="0"/>
      </w:pPr>
    </w:lvl>
    <w:tmUseOutlineLevel val="0"/>
  </w:abstractNum>
  <w:abstractNum w:abstractNumId="71">
    <w:multiLevelType w:val="singleLevel"/>
    <w:name w:val="Bullet 71"/>
    <w:lvl w:ilvl="0">
      <w:start w:val="3"/>
      <w:numFmt w:val="lowerLetter"/>
      <w:suff w:val="tab"/>
      <w:lvlText w:val="%1)"/>
      <w:lvlJc w:val="left"/>
      <w:pPr>
        <w:ind w:left="0" w:hanging="0"/>
      </w:pPr>
    </w:lvl>
    <w:tmUseOutlineLevel val="0"/>
  </w:abstractNum>
  <w:abstractNum w:abstractNumId="72">
    <w:multiLevelType w:val="singleLevel"/>
    <w:name w:val="Bullet 72"/>
    <w:lvl w:ilvl="0">
      <w:start w:val="4"/>
      <w:numFmt w:val="lowerLetter"/>
      <w:suff w:val="tab"/>
      <w:lvlText w:val="%1)"/>
      <w:lvlJc w:val="left"/>
      <w:pPr>
        <w:ind w:left="0" w:hanging="0"/>
      </w:pPr>
    </w:lvl>
    <w:tmUseOutlineLevel val="0"/>
  </w:abstractNum>
  <w:abstractNum w:abstractNumId="73">
    <w:multiLevelType w:val="singleLevel"/>
    <w:name w:val="Bullet 73"/>
    <w:lvl w:ilvl="0">
      <w:start w:val="1"/>
      <w:numFmt w:val="lowerLetter"/>
      <w:suff w:val="tab"/>
      <w:lvlText w:val="%1"/>
      <w:lvlJc w:val="left"/>
      <w:pPr>
        <w:ind w:left="0" w:hanging="0"/>
      </w:pPr>
    </w:lvl>
    <w:tmUseOutlineLevel val="0"/>
  </w:abstractNum>
  <w:abstractNum w:abstractNumId="74">
    <w:multiLevelType w:val="singleLevel"/>
    <w:name w:val="Bullet 74"/>
    <w:lvl w:ilvl="0">
      <w:start w:val="0"/>
      <w:numFmt w:val="decimal"/>
      <w:suff w:val="tab"/>
      <w:lvlText w:val="%1"/>
      <w:lvlJc w:val="left"/>
      <w:pPr>
        <w:ind w:left="0" w:hanging="0"/>
      </w:pPr>
    </w:lvl>
    <w:tmUseOutlineLevel val="0"/>
  </w:abstractNum>
  <w:abstractNum w:abstractNumId="75">
    <w:multiLevelType w:val="singleLevel"/>
    <w:name w:val="Bullet 75"/>
    <w:lvl w:ilvl="0">
      <w:start w:val="1"/>
      <w:numFmt w:val="lowerRoman"/>
      <w:suff w:val="tab"/>
      <w:lvlText w:val="%1"/>
      <w:lvlJc w:val="left"/>
      <w:pPr>
        <w:ind w:left="0" w:hanging="0"/>
      </w:pPr>
    </w:lvl>
    <w:tmUseOutlineLevel val="0"/>
  </w:abstractNum>
  <w:abstractNum w:abstractNumId="76">
    <w:multiLevelType w:val="singleLevel"/>
    <w:name w:val="Bullet 76"/>
    <w:lvl w:ilvl="0">
      <w:start w:val="1"/>
      <w:numFmt w:val="ordinal"/>
      <w:suff w:val="tab"/>
      <w:lvlText w:val="%1"/>
      <w:lvlJc w:val="left"/>
      <w:pPr>
        <w:ind w:left="0" w:hanging="0"/>
      </w:pPr>
    </w:lvl>
    <w:tmUseOutlineLevel val="0"/>
  </w:abstractNum>
  <w:abstractNum w:abstractNumId="77">
    <w:multiLevelType w:val="singleLevel"/>
    <w:name w:val="Bullet 77"/>
    <w:lvl w:ilvl="0">
      <w:start w:val="1"/>
      <w:numFmt w:val="ordinal"/>
      <w:suff w:val="tab"/>
      <w:lvlText w:val="%1"/>
      <w:lvlJc w:val="left"/>
      <w:pPr>
        <w:ind w:left="0" w:hanging="0"/>
      </w:pPr>
    </w:lvl>
    <w:tmUseOutlineLevel val="0"/>
  </w:abstractNum>
  <w:abstractNum w:abstractNumId="78">
    <w:multiLevelType w:val="singleLevel"/>
    <w:name w:val="Bullet 78"/>
    <w:lvl w:ilvl="0">
      <w:start w:val="1"/>
      <w:numFmt w:val="decimal"/>
      <w:suff w:val="tab"/>
      <w:lvlText w:val="%1"/>
      <w:lvlJc w:val="left"/>
      <w:pPr>
        <w:ind w:left="0" w:hanging="0"/>
      </w:pPr>
    </w:lvl>
    <w:tmUseOutlineLevel val="0"/>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80">
    <w:multiLevelType w:val="singleLevel"/>
    <w:name w:val="Bullet 80"/>
    <w:lvl w:ilvl="0">
      <w:start w:val="1"/>
      <w:numFmt w:val="ordinal"/>
      <w:suff w:val="tab"/>
      <w:lvlText w:val="%1"/>
      <w:lvlJc w:val="left"/>
      <w:pPr>
        <w:ind w:left="0" w:hanging="0"/>
      </w:pPr>
    </w:lvl>
    <w:tmUseOutlineLevel val="0"/>
  </w:abstractNum>
  <w:abstractNum w:abstractNumId="81">
    <w:multiLevelType w:val="singleLevel"/>
    <w:name w:val="Bullet 81"/>
    <w:lvl w:ilvl="0">
      <w:start w:val="1"/>
      <w:numFmt w:val="ordinal"/>
      <w:suff w:val="tab"/>
      <w:lvlText w:val="%1"/>
      <w:lvlJc w:val="left"/>
      <w:pPr>
        <w:ind w:left="0" w:hanging="0"/>
      </w:pPr>
    </w:lvl>
    <w:tmUseOutlineLevel val="0"/>
  </w:abstractNum>
  <w:abstractNum w:abstractNumId="82">
    <w:multiLevelType w:val="singleLevel"/>
    <w:name w:val="Bullet 82"/>
    <w:lvl w:ilvl="0">
      <w:start w:val="1"/>
      <w:numFmt w:val="ordinal"/>
      <w:suff w:val="tab"/>
      <w:lvlText w:val="%1"/>
      <w:lvlJc w:val="left"/>
      <w:pPr>
        <w:ind w:left="0" w:hanging="0"/>
      </w:pPr>
    </w:lvl>
    <w:tmUseOutlineLevel val="0"/>
  </w:abstractNum>
  <w:abstractNum w:abstractNumId="83">
    <w:multiLevelType w:val="singleLevel"/>
    <w:name w:val="Bullet 83"/>
    <w:lvl w:ilvl="0">
      <w:start w:val="1"/>
      <w:numFmt w:val="ordinal"/>
      <w:suff w:val="tab"/>
      <w:lvlText w:val="%1"/>
      <w:lvlJc w:val="left"/>
      <w:pPr>
        <w:ind w:left="0" w:hanging="0"/>
      </w:pPr>
    </w:lvl>
    <w:tmUseOutlineLevel val="0"/>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tmUseOutlineLevel val="0"/>
  </w:abstractNum>
  <w:abstractNum w:abstractNumId="85">
    <w:multiLevelType w:val="singleLevel"/>
    <w:name w:val="Bullet 85"/>
    <w:lvl w:ilvl="0">
      <w:start w:val="1"/>
      <w:numFmt w:val="decimal"/>
      <w:suff w:val="tab"/>
      <w:lvlText w:val="%1."/>
      <w:lvlJc w:val="left"/>
      <w:pPr>
        <w:ind w:left="0" w:hanging="0"/>
      </w:pPr>
    </w:lvl>
    <w:tmUseOutlineLevel val="0"/>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tmUseOutlineLevel val="0"/>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88">
    <w:multiLevelType w:val="singleLevel"/>
    <w:name w:val="Bullet 88"/>
    <w:lvl w:ilvl="0">
      <w:start w:val="1"/>
      <w:numFmt w:val="decimal"/>
      <w:suff w:val="tab"/>
      <w:lvlText w:val="%1."/>
      <w:lvlJc w:val="left"/>
      <w:pPr>
        <w:ind w:left="0" w:hanging="0"/>
      </w:pPr>
    </w:lvl>
    <w:tmUseOutlineLevel val="0"/>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tmUseOutlineLevel val="0"/>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tmUseOutlineLevel val="0"/>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rPr>
    </w:lvl>
    <w:tmUseOutlineLevel val="0"/>
  </w:abstractNum>
  <w:abstractNum w:abstractNumId="92">
    <w:multiLevelType w:val="singleLevel"/>
    <w:name w:val="Bullet 92"/>
    <w:lvl w:ilvl="0">
      <w:start w:val="1"/>
      <w:numFmt w:val="ordinal"/>
      <w:suff w:val="tab"/>
      <w:lvlText w:val="%1"/>
      <w:lvlJc w:val="left"/>
      <w:pPr>
        <w:ind w:left="0" w:hanging="0"/>
      </w:pPr>
    </w:lvl>
    <w:tmUseOutlineLevel val="0"/>
  </w:abstractNum>
  <w:abstractNum w:abstractNumId="93">
    <w:multiLevelType w:val="singleLevel"/>
    <w:name w:val="Bullet 93"/>
    <w:lvl w:ilvl="0">
      <w:numFmt w:val="bullet"/>
      <w:suff w:val="tab"/>
      <w:lvlText w:val="·"/>
      <w:lvlJc w:val="left"/>
      <w:pPr>
        <w:ind w:left="0" w:hanging="0"/>
      </w:pPr>
      <w:rPr>
        <w:rFonts w:ascii="Symbol" w:hAnsi="Symbol"/>
      </w:rPr>
    </w:lvl>
    <w:tmUseOutlineLevel val="0"/>
  </w:abstractNum>
  <w:abstractNum w:abstractNumId="94">
    <w:multiLevelType w:val="singleLevel"/>
    <w:name w:val="Bullet 94"/>
    <w:lvl w:ilvl="0">
      <w:numFmt w:val="bullet"/>
      <w:suff w:val="tab"/>
      <w:lvlText w:val="-"/>
      <w:lvlJc w:val="left"/>
      <w:pPr>
        <w:ind w:left="0" w:hanging="0"/>
      </w:pPr>
      <w:rPr>
        <w:rFonts w:ascii="Tahoma" w:hAnsi="Tahoma" w:eastAsia="Arial" w:cs="Tahoma"/>
      </w:rPr>
    </w:lvl>
    <w:tmUseOutlineLevel val="0"/>
  </w:abstractNum>
  <w:abstractNum w:abstractNumId="95">
    <w:multiLevelType w:val="singleLevel"/>
    <w:name w:val="Bullet 95"/>
    <w:lvl w:ilvl="0">
      <w:start w:val="1"/>
      <w:numFmt w:val="ordinal"/>
      <w:suff w:val="tab"/>
      <w:lvlText w:val="%1"/>
      <w:lvlJc w:val="left"/>
      <w:pPr>
        <w:ind w:left="0" w:hanging="0"/>
      </w:pPr>
    </w:lvl>
    <w:tmUseOutlineLevel val="0"/>
  </w:abstractNum>
  <w:abstractNum w:abstractNumId="96">
    <w:multiLevelType w:val="singleLevel"/>
    <w:name w:val="Bullet 54"/>
    <w:lvl w:ilvl="0">
      <w:numFmt w:val="bullet"/>
      <w:suff w:val="tab"/>
      <w:lvlText w:val=""/>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97">
    <w:multiLevelType w:val="singleLevel"/>
    <w:name w:val="Bullet 97"/>
    <w:lvl w:ilvl="0">
      <w:numFmt w:val="bullet"/>
      <w:suff w:val="tab"/>
      <w:lvlText w:val=""/>
      <w:lvlJc w:val="left"/>
      <w:pPr>
        <w:ind w:left="0" w:hanging="0"/>
      </w:pPr>
      <w:rPr>
        <w:rFonts w:ascii="Wingdings" w:hAnsi="Wingdings" w:eastAsia="Wingdings" w:cs="Wingdings"/>
      </w:rPr>
    </w:lvl>
    <w:tmUseOutlineLevel val="0"/>
  </w:abstractNum>
  <w:abstractNum w:abstractNumId="98">
    <w:multiLevelType w:val="singleLevel"/>
    <w:name w:val="Bullet 98"/>
    <w:lvl w:ilvl="0">
      <w:start w:val="1"/>
      <w:numFmt w:val="lowerLetter"/>
      <w:suff w:val="tab"/>
      <w:lvlText w:val="%1)"/>
      <w:lvlJc w:val="left"/>
      <w:pPr>
        <w:ind w:left="0" w:hanging="0"/>
      </w:pPr>
    </w:lvl>
    <w:tmUseOutlineLevel val="0"/>
  </w:abstractNum>
  <w:abstractNum w:abstractNumId="99">
    <w:multiLevelType w:val="singleLevel"/>
    <w:name w:val="Bullet 99"/>
    <w:lvl w:ilvl="0">
      <w:numFmt w:val="bullet"/>
      <w:suff w:val="tab"/>
      <w:lvlText w:val=" "/>
      <w:lvlJc w:val="left"/>
      <w:pPr>
        <w:ind w:left="0" w:hanging="0"/>
      </w:pPr>
    </w:lvl>
    <w:tmUseOutlineLevel val="0"/>
  </w:abstractNum>
  <w:abstractNum w:abstractNumId="100">
    <w:multiLevelType w:val="singleLevel"/>
    <w:name w:val="Bullet 100"/>
    <w:lvl w:ilvl="0">
      <w:numFmt w:val="bullet"/>
      <w:suff w:val="tab"/>
      <w:lvlText w:val=""/>
      <w:lvlJc w:val="left"/>
      <w:pPr>
        <w:ind w:left="0" w:hanging="0"/>
      </w:pPr>
      <w:rPr>
        <w:rFonts w:ascii="Wingdings" w:hAnsi="Wingdings"/>
        <w:color w:val="717D87"/>
        <w:sz w:val="14"/>
      </w:rPr>
    </w:lvl>
    <w:tmUseOutlineLevel val="0"/>
  </w:abstractNum>
  <w:abstractNum w:abstractNumId="101">
    <w:multiLevelType w:val="singleLevel"/>
    <w:name w:val="Bullet 101"/>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102">
    <w:multiLevelType w:val="singleLevel"/>
    <w:name w:val="Bullet 102"/>
    <w:lvl w:ilvl="0">
      <w:start w:val="1"/>
      <w:numFmt w:val="ordinal"/>
      <w:suff w:val="tab"/>
      <w:lvlText w:val="%1"/>
      <w:lvlJc w:val="left"/>
      <w:pPr>
        <w:ind w:left="0" w:hanging="0"/>
      </w:pPr>
    </w:lvl>
    <w:tmUseOutlineLevel val="0"/>
  </w:abstractNum>
  <w:abstractNum w:abstractNumId="103">
    <w:multiLevelType w:val="singleLevel"/>
    <w:name w:val="Bullet 103"/>
    <w:lvl w:ilvl="0">
      <w:start w:val="1"/>
      <w:numFmt w:val="ordinal"/>
      <w:suff w:val="tab"/>
      <w:lvlText w:val="%1"/>
      <w:lvlJc w:val="left"/>
      <w:pPr>
        <w:ind w:left="0" w:hanging="0"/>
      </w:pPr>
    </w:lvl>
    <w:tmUseOutlineLevel val="0"/>
  </w:abstractNum>
  <w:abstractNum w:abstractNumId="104">
    <w:multiLevelType w:val="singleLevel"/>
    <w:name w:val="Bullet 104"/>
    <w:lvl w:ilvl="0">
      <w:start w:val="1"/>
      <w:numFmt w:val="ordinal"/>
      <w:suff w:val="tab"/>
      <w:lvlText w:val="%1"/>
      <w:lvlJc w:val="left"/>
      <w:pPr>
        <w:ind w:left="0" w:hanging="0"/>
      </w:pPr>
    </w:lvl>
    <w:tmUseOutlineLevel val="0"/>
  </w:abstractNum>
  <w:abstractNum w:abstractNumId="105">
    <w:multiLevelType w:val="singleLevel"/>
    <w:name w:val="Bullet 105"/>
    <w:lvl w:ilvl="0">
      <w:start w:val="1"/>
      <w:numFmt w:val="decimal"/>
      <w:suff w:val="tab"/>
      <w:lvlText w:val="%1."/>
      <w:lvlJc w:val="left"/>
      <w:pPr>
        <w:ind w:left="0" w:hanging="0"/>
      </w:pPr>
    </w:lvl>
    <w:tmUseOutlineLevel val="0"/>
  </w:abstractNum>
  <w:abstractNum w:abstractNumId="106">
    <w:multiLevelType w:val="singleLevel"/>
    <w:name w:val="Bullet 106"/>
    <w:lvl w:ilvl="0">
      <w:numFmt w:val="bullet"/>
      <w:suff w:val="tab"/>
      <w:lvlText w:val=""/>
      <w:lvlJc w:val="left"/>
      <w:pPr>
        <w:ind w:left="0" w:hanging="0"/>
      </w:pPr>
      <w:rPr>
        <w:rFonts w:ascii="Wingdings" w:hAnsi="Wingdings" w:eastAsia="Wingdings" w:cs="Wingdings"/>
      </w:rPr>
    </w:lvl>
    <w:tmUseOutlineLevel val="0"/>
  </w:abstractNum>
  <w:abstractNum w:abstractNumId="107">
    <w:multiLevelType w:val="singleLevel"/>
    <w:name w:val="Bullet 107"/>
    <w:lvl w:ilvl="0">
      <w:numFmt w:val="bullet"/>
      <w:suff w:val="tab"/>
      <w:lvlText w:val="·"/>
      <w:lvlJc w:val="left"/>
      <w:pPr>
        <w:ind w:left="0" w:hanging="0"/>
      </w:pPr>
      <w:rPr>
        <w:rFonts w:ascii="Symbol" w:hAnsi="Symbol"/>
      </w:rPr>
    </w:lvl>
    <w:tmUseOutlineLevel val="0"/>
  </w:abstractNum>
  <w:abstractNum w:abstractNumId="108">
    <w:multiLevelType w:val="singleLevel"/>
    <w:name w:val="Bullet 108"/>
    <w:lvl w:ilvl="0">
      <w:numFmt w:val="bullet"/>
      <w:suff w:val="tab"/>
      <w:lvlText w:val="-"/>
      <w:lvlJc w:val="left"/>
      <w:pPr>
        <w:ind w:left="0" w:hanging="0"/>
      </w:pPr>
      <w:rPr>
        <w:rFonts w:ascii="Tahoma" w:hAnsi="Tahoma" w:eastAsia="Arial" w:cs="Tahoma"/>
      </w:rPr>
    </w:lvl>
    <w:tmUseOutlineLevel val="0"/>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110">
    <w:multiLevelType w:val="singleLevel"/>
    <w:name w:val="Bullet 110"/>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111">
    <w:multiLevelType w:val="singleLevel"/>
    <w:name w:val="Bullet 111"/>
    <w:lvl w:ilvl="0">
      <w:start w:val="1"/>
      <w:numFmt w:val="decimal"/>
      <w:suff w:val="tab"/>
      <w:lvlText w:val="%1."/>
      <w:lvlJc w:val="left"/>
      <w:pPr>
        <w:ind w:left="0" w:hanging="0"/>
      </w:pPr>
    </w:lvl>
    <w:tmUseOutlineLevel val="0"/>
  </w:abstractNum>
  <w:abstractNum w:abstractNumId="112">
    <w:multiLevelType w:val="singleLevel"/>
    <w:name w:val="Bullet 112"/>
    <w:lvl w:ilvl="0">
      <w:start w:val="1"/>
      <w:numFmt w:val="decimal"/>
      <w:suff w:val="tab"/>
      <w:lvlText w:val="%1."/>
      <w:lvlJc w:val="left"/>
      <w:pPr>
        <w:ind w:left="0" w:hanging="0"/>
      </w:pPr>
    </w:lvl>
    <w:tmUseOutlineLevel val="0"/>
  </w:abstractNum>
  <w:abstractNum w:abstractNumId="113">
    <w:multiLevelType w:val="singleLevel"/>
    <w:name w:val="Bullet 113"/>
    <w:lvl w:ilvl="0">
      <w:start w:val="1"/>
      <w:numFmt w:val="decimal"/>
      <w:suff w:val="tab"/>
      <w:lvlText w:val="%1."/>
      <w:lvlJc w:val="left"/>
      <w:pPr>
        <w:ind w:left="0" w:hanging="0"/>
      </w:pPr>
    </w:lvl>
    <w:tmUseOutlineLevel val="0"/>
  </w:abstractNum>
  <w:abstractNum w:abstractNumId="114">
    <w:multiLevelType w:val="singleLevel"/>
    <w:name w:val="Bullet 127"/>
    <w:lvl w:ilvl="0">
      <w:start w:val="1"/>
      <w:numFmt w:val="decimal"/>
      <w:suff w:val="tab"/>
      <w:lvlText w:val="%1."/>
      <w:lvlJc w:val="left"/>
      <w:pPr>
        <w:ind w:left="0" w:hanging="0"/>
      </w:pPr>
    </w:lvl>
    <w:tmUseOutlineLevel val="0"/>
  </w:abstractNum>
  <w:abstractNum w:abstractNumId="115">
    <w:multiLevelType w:val="singleLevel"/>
    <w:name w:val="Bullet 128"/>
    <w:lvl w:ilvl="0">
      <w:start w:val="2"/>
      <w:numFmt w:val="decimal"/>
      <w:suff w:val="tab"/>
      <w:lvlText w:val="%1."/>
      <w:lvlJc w:val="left"/>
      <w:pPr>
        <w:ind w:left="0" w:hanging="0"/>
      </w:pPr>
    </w:lvl>
    <w:tmUseOutlineLevel val="0"/>
  </w:abstractNum>
  <w:abstractNum w:abstractNumId="116">
    <w:multiLevelType w:val="singleLevel"/>
    <w:name w:val="Bullet 129"/>
    <w:lvl w:ilvl="0">
      <w:start w:val="1"/>
      <w:numFmt w:val="decimal"/>
      <w:suff w:val="tab"/>
      <w:lvlText w:val="%1."/>
      <w:lvlJc w:val="left"/>
      <w:pPr>
        <w:ind w:left="0" w:hanging="0"/>
      </w:pPr>
    </w:lvl>
    <w:tmUseOutlineLevel val="0"/>
  </w:abstractNum>
  <w:abstractNum w:abstractNumId="117">
    <w:multiLevelType w:val="singleLevel"/>
    <w:name w:val="Bullet 130"/>
    <w:lvl w:ilvl="0">
      <w:start w:val="1"/>
      <w:numFmt w:val="decimal"/>
      <w:suff w:val="tab"/>
      <w:lvlText w:val="%1."/>
      <w:lvlJc w:val="left"/>
      <w:pPr>
        <w:ind w:left="0" w:hanging="0"/>
      </w:pPr>
    </w:lvl>
    <w:tmUseOutlineLevel val="0"/>
  </w:abstractNum>
  <w:abstractNum w:abstractNumId="118">
    <w:multiLevelType w:val="singleLevel"/>
    <w:name w:val="Bullet 131"/>
    <w:lvl w:ilvl="0">
      <w:start w:val="2"/>
      <w:numFmt w:val="decimal"/>
      <w:suff w:val="tab"/>
      <w:lvlText w:val="%1."/>
      <w:lvlJc w:val="left"/>
      <w:pPr>
        <w:ind w:left="0" w:hanging="0"/>
      </w:pPr>
    </w:lvl>
    <w:tmUseOutlineLevel val="0"/>
  </w:abstractNum>
  <w:abstractNum w:abstractNumId="119">
    <w:multiLevelType w:val="singleLevel"/>
    <w:name w:val="Bullet 117"/>
    <w:lvl w:ilvl="0">
      <w:start w:val="3"/>
      <w:numFmt w:val="decimal"/>
      <w:suff w:val="tab"/>
      <w:lvlText w:val="%1."/>
      <w:lvlJc w:val="left"/>
      <w:pPr>
        <w:ind w:left="0" w:hanging="0"/>
      </w:pPr>
    </w:lvl>
    <w:tmUseOutlineLevel val="0"/>
  </w:abstractNum>
  <w:abstractNum w:abstractNumId="120">
    <w:multiLevelType w:val="singleLevel"/>
    <w:name w:val="Bullet 132"/>
    <w:lvl w:ilvl="0">
      <w:start w:val="1"/>
      <w:numFmt w:val="decimal"/>
      <w:suff w:val="tab"/>
      <w:lvlText w:val="%1."/>
      <w:lvlJc w:val="left"/>
      <w:pPr>
        <w:ind w:left="0" w:hanging="0"/>
      </w:pPr>
    </w:lvl>
    <w:tmUseOutlineLevel val="0"/>
  </w:abstractNum>
  <w:abstractNum w:abstractNumId="121">
    <w:multiLevelType w:val="singleLevel"/>
    <w:name w:val="Bullet 125"/>
    <w:lvl w:ilvl="0">
      <w:start w:val="1"/>
      <w:numFmt w:val="decimal"/>
      <w:suff w:val="tab"/>
      <w:lvlText w:val="%1."/>
      <w:lvlJc w:val="left"/>
      <w:pPr>
        <w:ind w:left="0" w:hanging="0"/>
      </w:pPr>
    </w:lvl>
    <w:tmUseOutlineLevel val="0"/>
  </w:abstractNum>
  <w:abstractNum w:abstractNumId="122">
    <w:multiLevelType w:val="singleLevel"/>
    <w:name w:val="Bullet 95_1"/>
    <w:lvl w:ilvl="0">
      <w:numFmt w:val="bullet"/>
      <w:pStyle w:val="para38"/>
      <w:suff w:val="tab"/>
      <w:lvlText w:val=""/>
      <w:lvlJc w:val="left"/>
      <w:pPr>
        <w:ind w:left="0" w:hanging="0"/>
      </w:pPr>
      <w:rPr>
        <w:rFonts w:ascii="Wingdings" w:hAnsi="Wingdings" w:eastAsia="Wingdings" w:cs="Wingdings"/>
        <w:color w:val="00998A"/>
      </w:rPr>
    </w:lvl>
    <w:tmUseOutlineLevel val="0"/>
  </w:abstractNum>
  <w:abstractNum w:abstractNumId="123">
    <w:multiLevelType w:val="singleLevel"/>
    <w:name w:val="Bullet 123"/>
    <w:lvl w:ilvl="0">
      <w:start w:val="1"/>
      <w:numFmt w:val="decimal"/>
      <w:suff w:val="tab"/>
      <w:lvlText w:val="%1."/>
      <w:lvlJc w:val="left"/>
      <w:pPr>
        <w:ind w:left="0" w:hanging="0"/>
      </w:pPr>
    </w:lvl>
    <w:tmUseOutlineLevel val="0"/>
  </w:abstractNum>
  <w:abstractNum w:abstractNumId="124">
    <w:multiLevelType w:val="singleLevel"/>
    <w:name w:val="Bullet 124"/>
    <w:lvl w:ilvl="0">
      <w:start w:val="1"/>
      <w:numFmt w:val="decimal"/>
      <w:suff w:val="tab"/>
      <w:lvlText w:val="%1."/>
      <w:lvlJc w:val="left"/>
      <w:pPr>
        <w:ind w:left="0" w:hanging="0"/>
      </w:pPr>
    </w:lvl>
    <w:tmUseOutlineLevel val="0"/>
  </w:abstractNum>
  <w:abstractNum w:abstractNumId="125">
    <w:multiLevelType w:val="singleLevel"/>
    <w:name w:val="Bullet 156"/>
    <w:lvl w:ilvl="0">
      <w:start w:val="1"/>
      <w:numFmt w:val="decimal"/>
      <w:suff w:val="tab"/>
      <w:lvlText w:val="%1."/>
      <w:lvlJc w:val="left"/>
      <w:pPr>
        <w:ind w:left="0" w:hanging="0"/>
      </w:pPr>
    </w:lvl>
    <w:tmUseOutlineLevel val="0"/>
  </w:abstractNum>
  <w:abstractNum w:abstractNumId="126">
    <w:multiLevelType w:val="singleLevel"/>
    <w:name w:val="Bullet 162"/>
    <w:lvl w:ilvl="0">
      <w:start w:val="1"/>
      <w:numFmt w:val="decimal"/>
      <w:suff w:val="tab"/>
      <w:lvlText w:val="%1."/>
      <w:lvlJc w:val="left"/>
      <w:pPr>
        <w:ind w:left="0" w:hanging="0"/>
      </w:pPr>
    </w:lvl>
    <w:tmUseOutlineLevel val="0"/>
  </w:abstractNum>
  <w:abstractNum w:abstractNumId="127">
    <w:multiLevelType w:val="singleLevel"/>
    <w:name w:val="Bullet 140"/>
    <w:lvl w:ilvl="0">
      <w:start w:val="1"/>
      <w:numFmt w:val="decimal"/>
      <w:suff w:val="tab"/>
      <w:lvlText w:val="%1."/>
      <w:lvlJc w:val="left"/>
      <w:pPr>
        <w:ind w:left="0" w:hanging="0"/>
      </w:pPr>
    </w:lvl>
    <w:tmUseOutlineLevel val="0"/>
  </w:abstractNum>
  <w:abstractNum w:abstractNumId="128">
    <w:multiLevelType w:val="singleLevel"/>
    <w:name w:val="Bullet 148"/>
    <w:lvl w:ilvl="0">
      <w:numFmt w:val="bullet"/>
      <w:suff w:val="tab"/>
      <w:lvlText w:val=""/>
      <w:lvlJc w:val="left"/>
      <w:pPr>
        <w:ind w:left="0" w:hanging="0"/>
      </w:pPr>
      <w:rPr>
        <w:rFonts w:ascii="Wingdings" w:hAnsi="Wingdings" w:eastAsia="Wingdings" w:cs="Wingdings"/>
        <w:color w:val="00998A"/>
      </w:rPr>
    </w:lvl>
    <w:tmUseOutlineLevel val="0"/>
  </w:abstractNum>
  <w:abstractNum w:abstractNumId="129">
    <w:multiLevelType w:val="singleLevel"/>
    <w:name w:val="Bullet 158"/>
    <w:lvl w:ilvl="0">
      <w:start w:val="1"/>
      <w:numFmt w:val="ordinal"/>
      <w:suff w:val="tab"/>
      <w:lvlText w:val="%1"/>
      <w:lvlJc w:val="left"/>
      <w:pPr>
        <w:ind w:left="0" w:hanging="0"/>
      </w:pPr>
    </w:lvl>
    <w:tmUseOutlineLevel val="0"/>
  </w:abstractNum>
  <w:abstractNum w:abstractNumId="130">
    <w:multiLevelType w:val="singleLevel"/>
    <w:name w:val="Bullet 130_1"/>
    <w:lvl w:ilvl="0">
      <w:start w:val="1"/>
      <w:numFmt w:val="ordinal"/>
      <w:suff w:val="tab"/>
      <w:lvlText w:val="%1"/>
      <w:lvlJc w:val="left"/>
      <w:pPr>
        <w:ind w:left="0" w:hanging="0"/>
      </w:pPr>
    </w:lvl>
    <w:tmUseOutlineLevel val="0"/>
  </w:abstractNum>
  <w:abstractNum w:abstractNumId="131">
    <w:multiLevelType w:val="singleLevel"/>
    <w:name w:val="Bullet 131_1"/>
    <w:lvl w:ilvl="0">
      <w:numFmt w:val="bullet"/>
      <w:suff w:val="tab"/>
      <w:lvlText w:val=""/>
      <w:lvlJc w:val="left"/>
      <w:pPr>
        <w:ind w:left="0" w:hanging="0"/>
      </w:pPr>
      <w:rPr>
        <w:rFonts w:ascii="Wingdings" w:hAnsi="Wingdings" w:eastAsia="Wingdings" w:cs="Wingdings"/>
        <w:color w:val="00998A"/>
      </w:rPr>
    </w:lvl>
    <w:tmUseOutlineLevel val="0"/>
  </w:abstractNum>
  <w:abstractNum w:abstractNumId="132">
    <w:multiLevelType w:val="singleLevel"/>
    <w:name w:val="Bullet 132_1"/>
    <w:lvl w:ilvl="0">
      <w:numFmt w:val="bullet"/>
      <w:suff w:val="tab"/>
      <w:lvlText w:val=""/>
      <w:lvlJc w:val="left"/>
      <w:pPr>
        <w:ind w:left="0" w:hanging="0"/>
      </w:pPr>
      <w:rPr>
        <w:rFonts w:ascii="Wingdings" w:hAnsi="Wingdings" w:eastAsia="Wingdings" w:cs="Wingdings"/>
        <w:color w:val="00998A"/>
      </w:rPr>
    </w:lvl>
    <w:tmUseOutlineLevel val="0"/>
  </w:abstractNum>
  <w:abstractNum w:abstractNumId="133">
    <w:multiLevelType w:val="singleLevel"/>
    <w:name w:val="Bullet 133"/>
    <w:lvl w:ilvl="0">
      <w:numFmt w:val="bullet"/>
      <w:suff w:val="tab"/>
      <w:lvlText w:val=""/>
      <w:lvlJc w:val="left"/>
      <w:pPr>
        <w:ind w:left="0" w:hanging="0"/>
      </w:pPr>
      <w:rPr>
        <w:rFonts w:ascii="Wingdings" w:hAnsi="Wingdings" w:eastAsia="Wingdings" w:cs="Wingdings"/>
        <w:color w:val="00998A"/>
      </w:rPr>
    </w:lvl>
    <w:tmUseOutlineLevel val="0"/>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rPr>
    </w:lvl>
    <w:tmUseOutlineLevel val="0"/>
  </w:abstractNum>
  <w:abstractNum w:abstractNumId="135">
    <w:multiLevelType w:val="singleLevel"/>
    <w:name w:val="Bullet 135"/>
    <w:lvl w:ilvl="0">
      <w:numFmt w:val="bullet"/>
      <w:suff w:val="tab"/>
      <w:lvlText w:val="-"/>
      <w:lvlJc w:val="left"/>
      <w:pPr>
        <w:ind w:left="0" w:hanging="0"/>
      </w:pPr>
      <w:rPr>
        <w:rFonts w:ascii="Tahoma" w:hAnsi="Tahoma" w:eastAsia="Arial" w:cs="Tahoma"/>
      </w:rPr>
    </w:lvl>
    <w:tmUseOutlineLevel val="0"/>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137">
    <w:multiLevelType w:val="singleLevel"/>
    <w:name w:val="Bullet 137"/>
    <w:lvl w:ilvl="0">
      <w:numFmt w:val="bullet"/>
      <w:suff w:val="tab"/>
      <w:lvlText w:val=" "/>
      <w:lvlJc w:val="left"/>
      <w:pPr>
        <w:ind w:left="0" w:hanging="0"/>
      </w:pPr>
    </w:lvl>
    <w:tmUseOutlineLevel val="0"/>
  </w:abstractNum>
  <w:abstractNum w:abstractNumId="138">
    <w:multiLevelType w:val="singleLevel"/>
    <w:name w:val="Bullet 138"/>
    <w:lvl w:ilvl="0">
      <w:numFmt w:val="bullet"/>
      <w:suff w:val="tab"/>
      <w:lvlText w:val=""/>
      <w:lvlJc w:val="left"/>
      <w:pPr>
        <w:ind w:left="0" w:hanging="0"/>
      </w:pPr>
      <w:rPr>
        <w:rFonts w:ascii="Wingdings" w:hAnsi="Wingdings"/>
        <w:color w:val="717D87"/>
        <w:sz w:val="14"/>
      </w:rPr>
    </w:lvl>
    <w:tmUseOutlineLevel val="0"/>
  </w:abstractNum>
  <w:abstractNum w:abstractNumId="139">
    <w:multiLevelType w:val="singleLevel"/>
    <w:name w:val="Bullet 139"/>
    <w:lvl w:ilvl="0">
      <w:numFmt w:val="bullet"/>
      <w:suff w:val="tab"/>
      <w:lvlText w:val="•"/>
      <w:lvlJc w:val="left"/>
      <w:pPr>
        <w:ind w:left="0" w:hanging="0"/>
      </w:pPr>
      <w:rPr>
        <w:b w:val="0"/>
        <w:u w:color="auto" w:val="single"/>
      </w:rPr>
    </w:lvl>
    <w:tmUseOutlineLevel val="0"/>
  </w:abstractNum>
  <w:abstractNum w:abstractNumId="140">
    <w:multiLevelType w:val="singleLevel"/>
    <w:name w:val="Bullet 140_1"/>
    <w:lvl w:ilvl="0">
      <w:numFmt w:val="bullet"/>
      <w:suff w:val="tab"/>
      <w:lvlText w:val=""/>
      <w:lvlJc w:val="left"/>
      <w:pPr>
        <w:ind w:left="0" w:hanging="0"/>
      </w:pPr>
      <w:rPr>
        <w:rFonts w:ascii="Wingdings" w:hAnsi="Wingdings" w:eastAsia="Wingdings" w:cs="Wingdings"/>
      </w:rPr>
    </w:lvl>
    <w:tmUseOutlineLevel val="0"/>
  </w:abstractNum>
  <w:abstractNum w:abstractNumId="141">
    <w:multiLevelType w:val="singleLevel"/>
    <w:name w:val="Bullet 141"/>
    <w:lvl w:ilvl="0">
      <w:start w:val="0"/>
      <w:numFmt w:val="none"/>
      <w:suff w:val="tab"/>
      <w:lvlText w:val=""/>
      <w:lvlJc w:val="left"/>
      <w:pPr>
        <w:ind w:left="0" w:hanging="0"/>
      </w:pPr>
    </w:lvl>
    <w:tmUseOutlineLevel val="0"/>
  </w:abstractNum>
  <w:abstractNum w:abstractNumId="142">
    <w:multiLevelType w:val="singleLevel"/>
    <w:name w:val="Bullet 142"/>
    <w:lvl w:ilvl="0">
      <w:numFmt w:val="bullet"/>
      <w:suff w:val="tab"/>
      <w:lvlText w:val=""/>
      <w:lvlJc w:val="left"/>
      <w:pPr>
        <w:ind w:left="0" w:hanging="0"/>
      </w:pPr>
      <w:rPr>
        <w:rFonts w:ascii="Wingdings" w:hAnsi="Wingdings" w:eastAsia="Wingdings" w:cs="Wingdings"/>
      </w:rPr>
    </w:lvl>
    <w:tmUseOutlineLevel val="0"/>
  </w:abstractNum>
  <w:abstractNum w:abstractNumId="143">
    <w:multiLevelType w:val="singleLevel"/>
    <w:name w:val="Bullet 143"/>
    <w:lvl w:ilvl="0">
      <w:numFmt w:val="bullet"/>
      <w:suff w:val="tab"/>
      <w:lvlText w:val="·"/>
      <w:lvlJc w:val="left"/>
      <w:pPr>
        <w:ind w:left="0" w:hanging="0"/>
      </w:pPr>
      <w:rPr>
        <w:rFonts w:ascii="Symbol" w:hAnsi="Symbol"/>
        <w:sz w:val="18"/>
        <w:szCs w:val="18"/>
      </w:rPr>
    </w:lvl>
    <w:tmUseOutlineLevel val="0"/>
  </w:abstractNum>
  <w:abstractNum w:abstractNumId="144">
    <w:multiLevelType w:val="singleLevel"/>
    <w:name w:val="Bullet 144"/>
    <w:lvl w:ilvl="0">
      <w:numFmt w:val="bullet"/>
      <w:suff w:val="tab"/>
      <w:lvlText w:val=""/>
      <w:lvlJc w:val="left"/>
      <w:pPr>
        <w:ind w:left="0" w:hanging="0"/>
      </w:pPr>
      <w:rPr>
        <w:rFonts w:ascii="Wingdings" w:hAnsi="Wingdings" w:eastAsia="Wingdings" w:cs="Wingdings"/>
        <w:sz w:val="22"/>
      </w:rPr>
    </w:lvl>
    <w:tmUseOutlineLevel val="0"/>
  </w:abstractNum>
  <w:abstractNum w:abstractNumId="145">
    <w:multiLevelType w:val="singleLevel"/>
    <w:name w:val="Bullet 145"/>
    <w:lvl w:ilvl="0">
      <w:numFmt w:val="bullet"/>
      <w:suff w:val="tab"/>
      <w:lvlText w:val=""/>
      <w:lvlJc w:val="left"/>
      <w:pPr>
        <w:ind w:left="0" w:hanging="0"/>
      </w:pPr>
      <w:rPr>
        <w:rFonts w:ascii="Wingdings" w:hAnsi="Wingdings" w:eastAsia="Wingdings" w:cs="Wingdings"/>
        <w:color w:val="00998A"/>
      </w:rPr>
    </w:lvl>
    <w:tmUseOutlineLevel val="0"/>
  </w:abstractNum>
  <w:abstractNum w:abstractNumId="146">
    <w:multiLevelType w:val="singleLevel"/>
    <w:name w:val="Bullet 146"/>
    <w:lvl w:ilvl="0">
      <w:numFmt w:val="bullet"/>
      <w:suff w:val="tab"/>
      <w:lvlText w:val=""/>
      <w:lvlJc w:val="left"/>
      <w:pPr>
        <w:ind w:left="0" w:hanging="0"/>
      </w:pPr>
      <w:rPr>
        <w:rFonts w:ascii="Wingdings" w:hAnsi="Wingdings" w:eastAsia="Wingdings" w:cs="Wingdings"/>
      </w:rPr>
    </w:lvl>
    <w:tmUseOutlineLevel val="0"/>
  </w:abstractNum>
  <w:abstractNum w:abstractNumId="147">
    <w:multiLevelType w:val="singleLevel"/>
    <w:name w:val="Bullet 147"/>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148">
    <w:multiLevelType w:val="singleLevel"/>
    <w:name w:val="Bullet 148_1"/>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149">
    <w:multiLevelType w:val="singleLevel"/>
    <w:name w:val="Bullet 149"/>
    <w:lvl w:ilvl="0">
      <w:numFmt w:val="bullet"/>
      <w:suff w:val="tab"/>
      <w:lvlText w:val=""/>
      <w:lvlJc w:val="left"/>
      <w:pPr>
        <w:ind w:left="0" w:hanging="0"/>
      </w:pPr>
      <w:rPr>
        <w:rFonts w:ascii="Wingdings" w:hAnsi="Wingdings" w:eastAsia="Wingdings" w:cs="Wingdings"/>
        <w:color w:val="00998A"/>
      </w:rPr>
    </w:lvl>
    <w:tmUseOutlineLevel val="0"/>
  </w:abstractNum>
  <w:abstractNum w:abstractNumId="150">
    <w:multiLevelType w:val="singleLevel"/>
    <w:name w:val="Bullet 150"/>
    <w:lvl w:ilvl="0">
      <w:start w:val="2"/>
      <w:numFmt w:val="decimal"/>
      <w:suff w:val="tab"/>
      <w:lvlText w:val="%1."/>
      <w:lvlJc w:val="left"/>
      <w:pPr>
        <w:ind w:left="0" w:hanging="0"/>
      </w:pPr>
    </w:lvl>
    <w:tmUseOutlineLevel val="0"/>
  </w:abstractNum>
  <w:abstractNum w:abstractNumId="151">
    <w:multiLevelType w:val="singleLevel"/>
    <w:name w:val="Bullet 151"/>
    <w:lvl w:ilvl="0">
      <w:start w:val="0"/>
      <w:numFmt w:val="decimal"/>
      <w:suff w:val="tab"/>
      <w:lvlText w:val="%1"/>
      <w:lvlJc w:val="left"/>
      <w:pPr>
        <w:ind w:left="0" w:hanging="0"/>
      </w:pPr>
    </w:lvl>
    <w:tmUseOutlineLevel val="0"/>
  </w:abstractNum>
  <w:abstractNum w:abstractNumId="152">
    <w:multiLevelType w:val="singleLevel"/>
    <w:name w:val="Bullet 152"/>
    <w:lvl w:ilvl="0">
      <w:start w:val="1"/>
      <w:numFmt w:val="lowerRoman"/>
      <w:suff w:val="tab"/>
      <w:lvlText w:val="%1"/>
      <w:lvlJc w:val="left"/>
      <w:pPr>
        <w:ind w:left="0" w:hanging="0"/>
      </w:pPr>
    </w:lvl>
    <w:tmUseOutlineLevel val="0"/>
  </w:abstractNum>
  <w:abstractNum w:abstractNumId="153">
    <w:multiLevelType w:val="singleLevel"/>
    <w:name w:val="Bullet 153"/>
    <w:lvl w:ilvl="0">
      <w:start w:val="3"/>
      <w:numFmt w:val="lowerLetter"/>
      <w:suff w:val="tab"/>
      <w:lvlText w:val="%1"/>
      <w:lvlJc w:val="left"/>
      <w:pPr>
        <w:ind w:left="0" w:hanging="0"/>
      </w:pPr>
    </w:lvl>
    <w:tmUseOutlineLevel val="0"/>
  </w:abstractNum>
  <w:abstractNum w:abstractNumId="154">
    <w:multiLevelType w:val="singleLevel"/>
    <w:name w:val="Bullet 154"/>
    <w:lvl w:ilvl="0">
      <w:start w:val="3"/>
      <w:numFmt w:val="decimal"/>
      <w:suff w:val="tab"/>
      <w:lvlText w:val="%1"/>
      <w:lvlJc w:val="left"/>
      <w:pPr>
        <w:ind w:left="0" w:hanging="0"/>
      </w:pPr>
    </w:lvl>
    <w:tmUseOutlineLevel val="0"/>
  </w:abstractNum>
  <w:abstractNum w:abstractNumId="155">
    <w:multiLevelType w:val="singleLevel"/>
    <w:name w:val="Bullet 155"/>
    <w:lvl w:ilvl="0">
      <w:start w:val="1"/>
      <w:numFmt w:val="upperLetter"/>
      <w:suff w:val="tab"/>
      <w:lvlText w:val="%1."/>
      <w:lvlJc w:val="left"/>
      <w:pPr>
        <w:ind w:left="0" w:hanging="0"/>
      </w:pPr>
    </w:lvl>
    <w:tmUseOutlineLevel val="0"/>
  </w:abstractNum>
  <w:abstractNum w:abstractNumId="156">
    <w:multiLevelType w:val="singleLevel"/>
    <w:name w:val="Bullet 156_1"/>
    <w:lvl w:ilvl="0">
      <w:start w:val="1"/>
      <w:numFmt w:val="ordinal"/>
      <w:suff w:val="tab"/>
      <w:lvlText w:val="%1"/>
      <w:lvlJc w:val="left"/>
      <w:pPr>
        <w:ind w:left="0" w:hanging="0"/>
      </w:pPr>
    </w:lvl>
    <w:tmUseOutlineLevel val="0"/>
  </w:abstractNum>
  <w:abstractNum w:abstractNumId="157">
    <w:multiLevelType w:val="singleLevel"/>
    <w:name w:val="Bullet 157"/>
    <w:lvl w:ilvl="0">
      <w:numFmt w:val="bullet"/>
      <w:suff w:val="tab"/>
      <w:lvlText w:val="+"/>
      <w:lvlJc w:val="left"/>
      <w:pPr>
        <w:ind w:left="0" w:hanging="0"/>
      </w:pPr>
      <w:rPr>
        <w:rFonts w:ascii="Wingdings" w:hAnsi="Wingdings" w:eastAsia="Wingdings" w:cs="Wingdings"/>
        <w:smallCaps w:percent="80"/>
        <w:color w:val="007F7F"/>
        <w:w w:val="300"/>
        <w:kern w:val="1"/>
        <w:u w:color="auto" w:val="single"/>
        <w:shd w:fill="auto" w:val="clear"/>
        <w:vertAlign w:val="baseline"/>
      </w:rPr>
    </w:lvl>
    <w:tmUseOutlineLevel val="0"/>
  </w:abstractNum>
  <w:abstractNum w:abstractNumId="158">
    <w:multiLevelType w:val="singleLevel"/>
    <w:name w:val="Bullet 158_1"/>
    <w:lvl w:ilvl="0">
      <w:numFmt w:val="bullet"/>
      <w:suff w:val="tab"/>
      <w:lvlText w:val="+"/>
      <w:lvlJc w:val="left"/>
      <w:pPr>
        <w:ind w:left="0" w:hanging="0"/>
      </w:pPr>
      <w:rPr>
        <w:rFonts w:ascii="Wingdings" w:hAnsi="Wingdings" w:eastAsia="Wingdings" w:cs="Wingdings"/>
        <w:i/>
        <w:iCs/>
        <w:smallCaps w:percent="80"/>
        <w:color w:val="007F7F"/>
        <w:w w:val="300"/>
        <w:kern w:val="1"/>
        <w:u w:color="auto" w:val="single"/>
        <w:shd w:fill="auto" w:val="clear"/>
        <w:vertAlign w:val="baseline"/>
      </w:rPr>
    </w:lvl>
    <w:tmUseOutlineLevel val="0"/>
  </w:abstractNum>
  <w:abstractNum w:abstractNumId="159">
    <w:multiLevelType w:val="singleLevel"/>
    <w:name w:val="Bullet 11"/>
    <w:lvl w:ilvl="0">
      <w:start w:val="1"/>
      <w:numFmt w:val="decimal"/>
      <w:suff w:val="tab"/>
      <w:lvlText w:val="%1."/>
      <w:lvlJc w:val="left"/>
      <w:pPr>
        <w:ind w:left="0" w:hanging="0"/>
      </w:pPr>
    </w:lvl>
    <w:tmUseOutlineLevel val="0"/>
  </w:abstractNum>
  <w:abstractNum w:abstractNumId="160">
    <w:multiLevelType w:val="singleLevel"/>
    <w:name w:val="Bullet 14"/>
    <w:lvl w:ilvl="0">
      <w:start w:val="1"/>
      <w:numFmt w:val="decimal"/>
      <w:suff w:val="tab"/>
      <w:lvlText w:val="%1."/>
      <w:lvlJc w:val="left"/>
      <w:pPr>
        <w:ind w:left="0" w:hanging="0"/>
      </w:pPr>
    </w:lvl>
    <w:tmUseOutlineLevel val="0"/>
  </w:abstractNum>
  <w:abstractNum w:abstractNumId="161">
    <w:multiLevelType w:val="singleLevel"/>
    <w:name w:val="Bullet 15"/>
    <w:lvl w:ilvl="0">
      <w:start w:val="1"/>
      <w:numFmt w:val="decimal"/>
      <w:suff w:val="tab"/>
      <w:lvlText w:val="%1."/>
      <w:lvlJc w:val="left"/>
      <w:pPr>
        <w:ind w:left="0" w:hanging="0"/>
      </w:pPr>
    </w:lvl>
    <w:tmUseOutlineLevel val="0"/>
  </w:abstractNum>
  <w:abstractNum w:abstractNumId="162">
    <w:multiLevelType w:val="singleLevel"/>
    <w:name w:val="Bullet 3"/>
    <w:lvl w:ilvl="0">
      <w:numFmt w:val="bullet"/>
      <w:suff w:val="tab"/>
      <w:lvlText w:val=""/>
      <w:lvlJc w:val="left"/>
      <w:pPr>
        <w:ind w:left="0" w:hanging="0"/>
      </w:pPr>
      <w:rPr>
        <w:rFonts w:ascii="Wingdings" w:hAnsi="Wingdings" w:eastAsia="Wingdings" w:cs="Wingdings"/>
        <w:color w:val="007F7F"/>
      </w:rPr>
    </w:lvl>
    <w:tmUseOutlineLevel val="0"/>
  </w:abstractNum>
  <w:abstractNum w:abstractNumId="163">
    <w:multiLevelType w:val="singleLevel"/>
    <w:name w:val="Bullet 163"/>
    <w:lvl w:ilvl="0">
      <w:start w:val="1"/>
      <w:numFmt w:val="ordinal"/>
      <w:suff w:val="tab"/>
      <w:lvlText w:val="%1"/>
      <w:lvlJc w:val="left"/>
      <w:pPr>
        <w:ind w:left="0" w:hanging="0"/>
      </w:pPr>
    </w:lvl>
    <w:tmUseOutlineLevel val="0"/>
  </w:abstractNum>
  <w:abstractNum w:abstractNumId="164">
    <w:multiLevelType w:val="singleLevel"/>
    <w:name w:val="Bullet 164"/>
    <w:lvl w:ilvl="0">
      <w:start w:val="0"/>
      <w:numFmt w:val="decimal"/>
      <w:suff w:val="tab"/>
      <w:lvlText w:val="%1"/>
      <w:lvlJc w:val="left"/>
      <w:pPr>
        <w:ind w:left="0" w:hanging="0"/>
      </w:pPr>
    </w:lvl>
    <w:tmUseOutlineLevel val="0"/>
  </w:abstractNum>
  <w:abstractNum w:abstractNumId="165">
    <w:multiLevelType w:val="singleLevel"/>
    <w:name w:val="Bullet 165"/>
    <w:lvl w:ilvl="0">
      <w:start w:val="1"/>
      <w:numFmt w:val="lowerRoman"/>
      <w:suff w:val="tab"/>
      <w:lvlText w:val="%1"/>
      <w:lvlJc w:val="left"/>
      <w:pPr>
        <w:ind w:left="0" w:hanging="0"/>
      </w:pPr>
    </w:lvl>
    <w:tmUseOutlineLevel val="0"/>
  </w:abstractNum>
  <w:abstractNum w:abstractNumId="166">
    <w:multiLevelType w:val="singleLevel"/>
    <w:name w:val="Bullet 166"/>
    <w:lvl w:ilvl="0">
      <w:start w:val="4"/>
      <w:numFmt w:val="lowerLetter"/>
      <w:suff w:val="tab"/>
      <w:lvlText w:val="%1"/>
      <w:lvlJc w:val="left"/>
      <w:pPr>
        <w:ind w:left="0" w:hanging="0"/>
      </w:pPr>
    </w:lvl>
    <w:tmUseOutlineLevel val="0"/>
  </w:abstractNum>
  <w:abstractNum w:abstractNumId="167">
    <w:multiLevelType w:val="singleLevel"/>
    <w:name w:val="Bullet 167"/>
    <w:lvl w:ilvl="0">
      <w:start w:val="1"/>
      <w:numFmt w:val="upperLetter"/>
      <w:suff w:val="tab"/>
      <w:lvlText w:val="%1"/>
      <w:lvlJc w:val="left"/>
      <w:pPr>
        <w:ind w:left="0" w:hanging="0"/>
      </w:pPr>
    </w:lvl>
    <w:tmUseOutlineLevel val="0"/>
  </w:abstractNum>
  <w:abstractNum w:abstractNumId="168">
    <w:multiLevelType w:val="singleLevel"/>
    <w:name w:val="Bullet 168"/>
    <w:lvl w:ilvl="0">
      <w:start w:val="1"/>
      <w:numFmt w:val="decimal"/>
      <w:suff w:val="tab"/>
      <w:lvlText w:val="%1"/>
      <w:lvlJc w:val="left"/>
      <w:pPr>
        <w:ind w:left="0" w:hanging="0"/>
      </w:pPr>
    </w:lvl>
    <w:tmUseOutlineLevel val="0"/>
  </w:abstractNum>
  <w:abstractNum w:abstractNumId="169">
    <w:multiLevelType w:val="singleLevel"/>
    <w:name w:val="Bullet 169"/>
    <w:lvl w:ilvl="0">
      <w:start w:val="1"/>
      <w:numFmt w:val="ordinal"/>
      <w:suff w:val="tab"/>
      <w:lvlText w:val="%1"/>
      <w:lvlJc w:val="left"/>
      <w:pPr>
        <w:ind w:left="0" w:hanging="0"/>
      </w:pPr>
    </w:lvl>
    <w:tmUseOutlineLevel val="0"/>
  </w:abstractNum>
  <w:abstractNum w:abstractNumId="170">
    <w:multiLevelType w:val="singleLevel"/>
    <w:name w:val="Bullet 170"/>
    <w:lvl w:ilvl="0">
      <w:start w:val="3"/>
      <w:numFmt w:val="lowerLetter"/>
      <w:suff w:val="tab"/>
      <w:lvlText w:val="%1"/>
      <w:lvlJc w:val="left"/>
      <w:pPr>
        <w:ind w:left="0" w:hanging="0"/>
      </w:pPr>
    </w:lvl>
    <w:tmUseOutlineLevel val="0"/>
  </w:abstractNum>
  <w:abstractNum w:abstractNumId="171">
    <w:multiLevelType w:val="singleLevel"/>
    <w:name w:val="Bullet 171"/>
    <w:lvl w:ilvl="0">
      <w:start w:val="3"/>
      <w:numFmt w:val="decimal"/>
      <w:suff w:val="tab"/>
      <w:lvlText w:val="%1"/>
      <w:lvlJc w:val="left"/>
      <w:pPr>
        <w:ind w:left="0" w:hanging="0"/>
      </w:pPr>
    </w:lvl>
    <w:tmUseOutlineLevel val="0"/>
  </w:abstractNum>
  <w:abstractNum w:abstractNumId="172">
    <w:multiLevelType w:val="singleLevel"/>
    <w:name w:val="Bullet 172"/>
    <w:lvl w:ilvl="0">
      <w:start w:val="1"/>
      <w:numFmt w:val="decimal"/>
      <w:suff w:val="tab"/>
      <w:lvlText w:val="%1."/>
      <w:lvlJc w:val="left"/>
      <w:pPr>
        <w:ind w:left="0" w:hanging="0"/>
      </w:pPr>
    </w:lvl>
    <w:tmUseOutlineLevel val="0"/>
  </w:abstractNum>
  <w:abstractNum w:abstractNumId="173">
    <w:multiLevelType w:val="singleLevel"/>
    <w:name w:val="Bullet 173"/>
    <w:lvl w:ilvl="0">
      <w:start w:val="2"/>
      <w:numFmt w:val="decimal"/>
      <w:suff w:val="tab"/>
      <w:lvlText w:val="%1."/>
      <w:lvlJc w:val="left"/>
      <w:pPr>
        <w:ind w:left="0" w:hanging="0"/>
      </w:pPr>
    </w:lvl>
    <w:tmUseOutlineLevel val="0"/>
  </w:abstractNum>
  <w:abstractNum w:abstractNumId="174">
    <w:multiLevelType w:val="singleLevel"/>
    <w:name w:val="Bullet 174"/>
    <w:lvl w:ilvl="0">
      <w:start w:val="3"/>
      <w:numFmt w:val="decimal"/>
      <w:suff w:val="tab"/>
      <w:lvlText w:val="%1."/>
      <w:lvlJc w:val="left"/>
      <w:pPr>
        <w:ind w:left="0" w:hanging="0"/>
      </w:pPr>
    </w:lvl>
    <w:tmUseOutlineLevel val="0"/>
  </w:abstractNum>
  <w:abstractNum w:abstractNumId="175">
    <w:multiLevelType w:val="singleLevel"/>
    <w:name w:val="Bullet 175"/>
    <w:lvl w:ilvl="0">
      <w:start w:val="4"/>
      <w:numFmt w:val="decimal"/>
      <w:suff w:val="tab"/>
      <w:lvlText w:val="%1."/>
      <w:lvlJc w:val="left"/>
      <w:pPr>
        <w:ind w:left="0" w:hanging="0"/>
      </w:pPr>
    </w:lvl>
    <w:tmUseOutlineLevel val="0"/>
  </w:abstractNum>
  <w:abstractNum w:abstractNumId="176">
    <w:multiLevelType w:val="singleLevel"/>
    <w:name w:val="Bullet 176"/>
    <w:lvl w:ilvl="0">
      <w:start w:val="1"/>
      <w:numFmt w:val="decimal"/>
      <w:suff w:val="tab"/>
      <w:lvlText w:val="%1"/>
      <w:lvlJc w:val="left"/>
      <w:pPr>
        <w:ind w:left="0" w:hanging="0"/>
      </w:pPr>
    </w:lvl>
    <w:tmUseOutlineLevel val="0"/>
  </w:abstractNum>
  <w:abstractNum w:abstractNumId="177">
    <w:multiLevelType w:val="singleLevel"/>
    <w:name w:val="Bullet 177"/>
    <w:lvl w:ilvl="0">
      <w:start w:val="1"/>
      <w:numFmt w:val="ordinal"/>
      <w:suff w:val="tab"/>
      <w:lvlText w:val="%1"/>
      <w:lvlJc w:val="left"/>
      <w:pPr>
        <w:ind w:left="0" w:hanging="0"/>
      </w:pPr>
    </w:lvl>
    <w:tmUseOutlineLevel val="0"/>
  </w:abstractNum>
  <w:abstractNum w:abstractNumId="178">
    <w:multiLevelType w:val="singleLevel"/>
    <w:name w:val="Bullet 178"/>
    <w:lvl w:ilvl="0">
      <w:start w:val="4"/>
      <w:numFmt w:val="lowerLetter"/>
      <w:suff w:val="tab"/>
      <w:lvlText w:val="%1"/>
      <w:lvlJc w:val="left"/>
      <w:pPr>
        <w:ind w:left="0" w:hanging="0"/>
      </w:pPr>
    </w:lvl>
    <w:tmUseOutlineLevel val="0"/>
  </w:abstractNum>
  <w:abstractNum w:abstractNumId="179">
    <w:multiLevelType w:val="singleLevel"/>
    <w:name w:val="Bullet 179"/>
    <w:lvl w:ilvl="0">
      <w:start w:val="1"/>
      <w:numFmt w:val="upperLetter"/>
      <w:suff w:val="tab"/>
      <w:lvlText w:val="%1"/>
      <w:lvlJc w:val="left"/>
      <w:pPr>
        <w:ind w:left="0" w:hanging="0"/>
      </w:pPr>
    </w:lvl>
    <w:tmUseOutlineLevel val="0"/>
  </w:abstractNum>
  <w:abstractNum w:abstractNumId="180">
    <w:multiLevelType w:val="singleLevel"/>
    <w:name w:val="Bullet 180"/>
    <w:lvl w:ilvl="0">
      <w:start w:val="0"/>
      <w:numFmt w:val="decimal"/>
      <w:suff w:val="tab"/>
      <w:lvlText w:val="%1"/>
      <w:lvlJc w:val="left"/>
      <w:pPr>
        <w:ind w:left="0" w:hanging="0"/>
      </w:pPr>
    </w:lvl>
    <w:tmUseOutlineLevel val="0"/>
  </w:abstractNum>
  <w:abstractNum w:abstractNumId="181">
    <w:multiLevelType w:val="singleLevel"/>
    <w:name w:val="Bullet 181"/>
    <w:lvl w:ilvl="0">
      <w:start w:val="1"/>
      <w:numFmt w:val="lowerRoman"/>
      <w:suff w:val="tab"/>
      <w:lvlText w:val="%1"/>
      <w:lvlJc w:val="left"/>
      <w:pPr>
        <w:ind w:left="0" w:hanging="0"/>
      </w:pPr>
    </w:lvl>
    <w:tmUseOutlineLevel val="0"/>
  </w:abstractNum>
  <w:abstractNum w:abstractNumId="182">
    <w:multiLevelType w:val="singleLevel"/>
    <w:name w:val="Bullet 182"/>
    <w:lvl w:ilvl="0">
      <w:start w:val="3"/>
      <w:numFmt w:val="lowerLetter"/>
      <w:suff w:val="tab"/>
      <w:lvlText w:val="%1"/>
      <w:lvlJc w:val="left"/>
      <w:pPr>
        <w:ind w:left="0" w:hanging="0"/>
      </w:pPr>
    </w:lvl>
    <w:tmUseOutlineLevel val="0"/>
  </w:abstractNum>
  <w:abstractNum w:abstractNumId="183">
    <w:multiLevelType w:val="singleLevel"/>
    <w:name w:val="Bullet 183"/>
    <w:lvl w:ilvl="0">
      <w:start w:val="3"/>
      <w:numFmt w:val="decimal"/>
      <w:suff w:val="tab"/>
      <w:lvlText w:val="%1"/>
      <w:lvlJc w:val="left"/>
      <w:pPr>
        <w:ind w:left="0" w:hanging="0"/>
      </w:pPr>
    </w:lvl>
    <w:tmUseOutlineLevel val="0"/>
  </w:abstractNum>
  <w:abstractNum w:abstractNumId="184">
    <w:multiLevelType w:val="singleLevel"/>
    <w:name w:val="Bullet 184"/>
    <w:lvl w:ilvl="0">
      <w:start w:val="5"/>
      <w:numFmt w:val="decimal"/>
      <w:suff w:val="tab"/>
      <w:lvlText w:val="%1."/>
      <w:lvlJc w:val="left"/>
      <w:pPr>
        <w:ind w:left="0" w:hanging="0"/>
      </w:pPr>
    </w:lvl>
    <w:tmUseOutlineLevel val="0"/>
  </w:abstractNum>
  <w:abstractNum w:abstractNumId="185">
    <w:multiLevelType w:val="singleLevel"/>
    <w:name w:val="Bullet 185"/>
    <w:lvl w:ilvl="0">
      <w:start w:val="6"/>
      <w:numFmt w:val="decimal"/>
      <w:suff w:val="tab"/>
      <w:lvlText w:val="%1."/>
      <w:lvlJc w:val="left"/>
      <w:pPr>
        <w:ind w:left="0" w:hanging="0"/>
      </w:pPr>
    </w:lvl>
    <w:tmUseOutlineLevel val="0"/>
  </w:abstractNum>
  <w:abstractNum w:abstractNumId="186">
    <w:multiLevelType w:val="singleLevel"/>
    <w:name w:val="Bullet 186"/>
    <w:lvl w:ilvl="0">
      <w:start w:val="7"/>
      <w:numFmt w:val="decimal"/>
      <w:suff w:val="tab"/>
      <w:lvlText w:val="%1."/>
      <w:lvlJc w:val="left"/>
      <w:pPr>
        <w:ind w:left="0" w:hanging="0"/>
      </w:pPr>
    </w:lvl>
    <w:tmUseOutlineLevel val="0"/>
  </w:abstractNum>
  <w:abstractNum w:abstractNumId="187">
    <w:multiLevelType w:val="singleLevel"/>
    <w:name w:val="Bullet 187"/>
    <w:lvl w:ilvl="0">
      <w:start w:val="8"/>
      <w:numFmt w:val="decimal"/>
      <w:suff w:val="tab"/>
      <w:lvlText w:val="%1."/>
      <w:lvlJc w:val="left"/>
      <w:pPr>
        <w:ind w:left="0" w:hanging="0"/>
      </w:pPr>
    </w:lvl>
    <w:tmUseOutlineLevel val="0"/>
  </w:abstractNum>
  <w:abstractNum w:abstractNumId="188">
    <w:multiLevelType w:val="singleLevel"/>
    <w:name w:val="Bullet 188"/>
    <w:lvl w:ilvl="0">
      <w:start w:val="9"/>
      <w:numFmt w:val="decimal"/>
      <w:suff w:val="tab"/>
      <w:lvlText w:val="%1."/>
      <w:lvlJc w:val="left"/>
      <w:pPr>
        <w:ind w:left="0" w:hanging="0"/>
      </w:pPr>
    </w:lvl>
    <w:tmUseOutlineLevel val="0"/>
  </w:abstractNum>
  <w:abstractNum w:abstractNumId="189">
    <w:multiLevelType w:val="singleLevel"/>
    <w:name w:val="Bullet 189"/>
    <w:lvl w:ilvl="0">
      <w:start w:val="10"/>
      <w:numFmt w:val="decimal"/>
      <w:suff w:val="tab"/>
      <w:lvlText w:val="%1."/>
      <w:lvlJc w:val="left"/>
      <w:pPr>
        <w:ind w:left="0" w:hanging="0"/>
      </w:pPr>
    </w:lvl>
    <w:tmUseOutlineLevel val="0"/>
  </w:abstractNum>
  <w:abstractNum w:abstractNumId="190">
    <w:multiLevelType w:val="singleLevel"/>
    <w:name w:val="Bullet 190"/>
    <w:lvl w:ilvl="0">
      <w:start w:val="11"/>
      <w:numFmt w:val="decimal"/>
      <w:suff w:val="tab"/>
      <w:lvlText w:val="%1."/>
      <w:lvlJc w:val="left"/>
      <w:pPr>
        <w:ind w:left="0" w:hanging="0"/>
      </w:pPr>
    </w:lvl>
    <w:tmUseOutlineLevel val="0"/>
  </w:abstractNum>
  <w:abstractNum w:abstractNumId="191">
    <w:multiLevelType w:val="singleLevel"/>
    <w:name w:val="Bullet 191"/>
    <w:lvl w:ilvl="0">
      <w:start w:val="12"/>
      <w:numFmt w:val="decimal"/>
      <w:suff w:val="tab"/>
      <w:lvlText w:val="%1."/>
      <w:lvlJc w:val="left"/>
      <w:pPr>
        <w:ind w:left="0" w:hanging="0"/>
      </w:pPr>
    </w:lvl>
    <w:tmUseOutlineLevel val="0"/>
  </w:abstractNum>
  <w:abstractNum w:abstractNumId="192">
    <w:multiLevelType w:val="singleLevel"/>
    <w:name w:val="Bullet 192"/>
    <w:lvl w:ilvl="0">
      <w:start w:val="13"/>
      <w:numFmt w:val="decimal"/>
      <w:suff w:val="tab"/>
      <w:lvlText w:val="%1."/>
      <w:lvlJc w:val="left"/>
      <w:pPr>
        <w:ind w:left="0" w:hanging="0"/>
      </w:pPr>
    </w:lvl>
    <w:tmUseOutlineLevel val="0"/>
  </w:abstractNum>
  <w:abstractNum w:abstractNumId="193">
    <w:multiLevelType w:val="singleLevel"/>
    <w:name w:val="Bullet 193"/>
    <w:lvl w:ilvl="0">
      <w:start w:val="1"/>
      <w:numFmt w:val="ordinal"/>
      <w:suff w:val="tab"/>
      <w:lvlText w:val="%1"/>
      <w:lvlJc w:val="left"/>
      <w:pPr>
        <w:ind w:left="0" w:hanging="0"/>
      </w:pPr>
    </w:lvl>
    <w:tmUseOutlineLevel val="0"/>
  </w:abstractNum>
  <w:abstractNum w:abstractNumId="194">
    <w:multiLevelType w:val="singleLevel"/>
    <w:name w:val="Bullet 194"/>
    <w:lvl w:ilvl="0">
      <w:start w:val="1"/>
      <w:numFmt w:val="decimal"/>
      <w:suff w:val="tab"/>
      <w:lvlText w:val="%1."/>
      <w:lvlJc w:val="left"/>
      <w:pPr>
        <w:ind w:left="0" w:hanging="0"/>
      </w:pPr>
    </w:lvl>
    <w:tmUseOutlineLevel val="0"/>
  </w:abstractNum>
  <w:abstractNum w:abstractNumId="195">
    <w:multiLevelType w:val="singleLevel"/>
    <w:name w:val="Bullet 195"/>
    <w:lvl w:ilvl="0">
      <w:start w:val="1"/>
      <w:numFmt w:val="decimal"/>
      <w:suff w:val="tab"/>
      <w:lvlText w:val="%1."/>
      <w:lvlJc w:val="left"/>
      <w:pPr>
        <w:ind w:left="0" w:hanging="0"/>
      </w:pPr>
    </w:lvl>
    <w:tmUseOutlineLevel val="0"/>
  </w:abstractNum>
  <w:abstractNum w:abstractNumId="196">
    <w:multiLevelType w:val="singleLevel"/>
    <w:name w:val="Bullet 196"/>
    <w:lvl w:ilvl="0">
      <w:start w:val="2"/>
      <w:numFmt w:val="decimal"/>
      <w:suff w:val="tab"/>
      <w:lvlText w:val="%1."/>
      <w:lvlJc w:val="left"/>
      <w:pPr>
        <w:ind w:left="0" w:hanging="0"/>
      </w:pPr>
    </w:lvl>
    <w:tmUseOutlineLevel val="0"/>
  </w:abstractNum>
  <w:abstractNum w:abstractNumId="197">
    <w:multiLevelType w:val="singleLevel"/>
    <w:name w:val="Bullet 197"/>
    <w:lvl w:ilvl="0">
      <w:start w:val="3"/>
      <w:numFmt w:val="decimal"/>
      <w:suff w:val="tab"/>
      <w:lvlText w:val="%1."/>
      <w:lvlJc w:val="left"/>
      <w:pPr>
        <w:ind w:left="0" w:hanging="0"/>
      </w:pPr>
    </w:lvl>
    <w:tmUseOutlineLevel val="0"/>
  </w:abstractNum>
  <w:abstractNum w:abstractNumId="198">
    <w:multiLevelType w:val="singleLevel"/>
    <w:name w:val="Bullet 198"/>
    <w:lvl w:ilvl="0">
      <w:start w:val="4"/>
      <w:numFmt w:val="decimal"/>
      <w:suff w:val="tab"/>
      <w:lvlText w:val="%1."/>
      <w:lvlJc w:val="left"/>
      <w:pPr>
        <w:ind w:left="0" w:hanging="0"/>
      </w:pPr>
    </w:lvl>
    <w:tmUseOutlineLevel val="0"/>
  </w:abstractNum>
  <w:abstractNum w:abstractNumId="199">
    <w:multiLevelType w:val="singleLevel"/>
    <w:name w:val="Bullet 199"/>
    <w:lvl w:ilvl="0">
      <w:start w:val="5"/>
      <w:numFmt w:val="decimal"/>
      <w:suff w:val="tab"/>
      <w:lvlText w:val="%1."/>
      <w:lvlJc w:val="left"/>
      <w:pPr>
        <w:ind w:left="0" w:hanging="0"/>
      </w:pPr>
    </w:lvl>
    <w:tmUseOutlineLevel val="0"/>
  </w:abstractNum>
  <w:abstractNum w:abstractNumId="200">
    <w:multiLevelType w:val="singleLevel"/>
    <w:name w:val="Bullet 200"/>
    <w:lvl w:ilvl="0">
      <w:start w:val="6"/>
      <w:numFmt w:val="decimal"/>
      <w:suff w:val="tab"/>
      <w:lvlText w:val="%1."/>
      <w:lvlJc w:val="left"/>
      <w:pPr>
        <w:ind w:left="0" w:hanging="0"/>
      </w:pPr>
    </w:lvl>
    <w:tmUseOutlineLevel val="0"/>
  </w:abstractNum>
  <w:abstractNum w:abstractNumId="201">
    <w:multiLevelType w:val="singleLevel"/>
    <w:name w:val="Bullet 201"/>
    <w:lvl w:ilvl="0">
      <w:start w:val="7"/>
      <w:numFmt w:val="decimal"/>
      <w:suff w:val="tab"/>
      <w:lvlText w:val="%1."/>
      <w:lvlJc w:val="left"/>
      <w:pPr>
        <w:ind w:left="0" w:hanging="0"/>
      </w:pPr>
    </w:lvl>
    <w:tmUseOutlineLevel val="0"/>
  </w:abstractNum>
  <w:abstractNum w:abstractNumId="202">
    <w:multiLevelType w:val="singleLevel"/>
    <w:name w:val="Bullet 202"/>
    <w:lvl w:ilvl="0">
      <w:start w:val="8"/>
      <w:numFmt w:val="decimal"/>
      <w:suff w:val="tab"/>
      <w:lvlText w:val="%1."/>
      <w:lvlJc w:val="left"/>
      <w:pPr>
        <w:ind w:left="0" w:hanging="0"/>
      </w:pPr>
    </w:lvl>
    <w:tmUseOutlineLevel val="0"/>
  </w:abstractNum>
  <w:abstractNum w:abstractNumId="203">
    <w:multiLevelType w:val="singleLevel"/>
    <w:name w:val="Bullet 203"/>
    <w:lvl w:ilvl="0">
      <w:start w:val="9"/>
      <w:numFmt w:val="decimal"/>
      <w:suff w:val="tab"/>
      <w:lvlText w:val="%1."/>
      <w:lvlJc w:val="left"/>
      <w:pPr>
        <w:ind w:left="0" w:hanging="0"/>
      </w:pPr>
    </w:lvl>
    <w:tmUseOutlineLevel val="0"/>
  </w:abstractNum>
  <w:abstractNum w:abstractNumId="204">
    <w:multiLevelType w:val="singleLevel"/>
    <w:name w:val="Bullet 204"/>
    <w:lvl w:ilvl="0">
      <w:start w:val="10"/>
      <w:numFmt w:val="decimal"/>
      <w:suff w:val="tab"/>
      <w:lvlText w:val="%1."/>
      <w:lvlJc w:val="left"/>
      <w:pPr>
        <w:ind w:left="0" w:hanging="0"/>
      </w:pPr>
    </w:lvl>
    <w:tmUseOutlineLevel val="0"/>
  </w:abstractNum>
  <w:abstractNum w:abstractNumId="205">
    <w:multiLevelType w:val="singleLevel"/>
    <w:name w:val="Bullet 205"/>
    <w:lvl w:ilvl="0">
      <w:start w:val="11"/>
      <w:numFmt w:val="decimal"/>
      <w:suff w:val="tab"/>
      <w:lvlText w:val="%1."/>
      <w:lvlJc w:val="left"/>
      <w:pPr>
        <w:ind w:left="0" w:hanging="0"/>
      </w:pPr>
    </w:lvl>
    <w:tmUseOutlineLevel val="0"/>
  </w:abstractNum>
  <w:abstractNum w:abstractNumId="206">
    <w:multiLevelType w:val="singleLevel"/>
    <w:name w:val="Bullet 206"/>
    <w:lvl w:ilvl="0">
      <w:start w:val="12"/>
      <w:numFmt w:val="decimal"/>
      <w:suff w:val="tab"/>
      <w:lvlText w:val="%1."/>
      <w:lvlJc w:val="left"/>
      <w:pPr>
        <w:ind w:left="0" w:hanging="0"/>
      </w:pPr>
    </w:lvl>
    <w:tmUseOutlineLevel val="0"/>
  </w:abstractNum>
  <w:abstractNum w:abstractNumId="207">
    <w:multiLevelType w:val="singleLevel"/>
    <w:name w:val="Bullet 207"/>
    <w:lvl w:ilvl="0">
      <w:start w:val="13"/>
      <w:numFmt w:val="decimal"/>
      <w:suff w:val="tab"/>
      <w:lvlText w:val="%1."/>
      <w:lvlJc w:val="left"/>
      <w:pPr>
        <w:ind w:left="0" w:hanging="0"/>
      </w:pPr>
    </w:lvl>
    <w:tmUseOutlineLevel val="0"/>
  </w:abstractNum>
  <w:abstractNum w:abstractNumId="208">
    <w:multiLevelType w:val="singleLevel"/>
    <w:name w:val="Bullet 208"/>
    <w:lvl w:ilvl="0">
      <w:start w:val="1"/>
      <w:numFmt w:val="decimal"/>
      <w:suff w:val="tab"/>
      <w:lvlText w:val="%1."/>
      <w:lvlJc w:val="left"/>
      <w:pPr>
        <w:ind w:left="0" w:hanging="0"/>
      </w:pPr>
    </w:lvl>
    <w:tmUseOutlineLevel val="0"/>
  </w:abstractNum>
  <w:abstractNum w:abstractNumId="209">
    <w:multiLevelType w:val="singleLevel"/>
    <w:name w:val="Bullet 209"/>
    <w:lvl w:ilvl="0">
      <w:start w:val="2"/>
      <w:numFmt w:val="decimal"/>
      <w:suff w:val="tab"/>
      <w:lvlText w:val="%1."/>
      <w:lvlJc w:val="left"/>
      <w:pPr>
        <w:ind w:left="0" w:hanging="0"/>
      </w:pPr>
    </w:lvl>
    <w:tmUseOutlineLevel val="0"/>
  </w:abstractNum>
  <w:abstractNum w:abstractNumId="210">
    <w:multiLevelType w:val="singleLevel"/>
    <w:name w:val="Bullet 210"/>
    <w:lvl w:ilvl="0">
      <w:start w:val="3"/>
      <w:numFmt w:val="decimal"/>
      <w:suff w:val="tab"/>
      <w:lvlText w:val="%1."/>
      <w:lvlJc w:val="left"/>
      <w:pPr>
        <w:ind w:left="0" w:hanging="0"/>
      </w:pPr>
    </w:lvl>
    <w:tmUseOutlineLevel val="0"/>
  </w:abstractNum>
  <w:abstractNum w:abstractNumId="211">
    <w:multiLevelType w:val="singleLevel"/>
    <w:name w:val="Bullet 211"/>
    <w:lvl w:ilvl="0">
      <w:start w:val="4"/>
      <w:numFmt w:val="decimal"/>
      <w:suff w:val="tab"/>
      <w:lvlText w:val="%1."/>
      <w:lvlJc w:val="left"/>
      <w:pPr>
        <w:ind w:left="0" w:hanging="0"/>
      </w:pPr>
    </w:lvl>
    <w:tmUseOutlineLevel val="0"/>
  </w:abstractNum>
  <w:abstractNum w:abstractNumId="212">
    <w:multiLevelType w:val="singleLevel"/>
    <w:name w:val="Bullet 212"/>
    <w:lvl w:ilvl="0">
      <w:start w:val="5"/>
      <w:numFmt w:val="decimal"/>
      <w:suff w:val="tab"/>
      <w:lvlText w:val="%1."/>
      <w:lvlJc w:val="left"/>
      <w:pPr>
        <w:ind w:left="0" w:hanging="0"/>
      </w:pPr>
    </w:lvl>
    <w:tmUseOutlineLevel val="0"/>
  </w:abstractNum>
  <w:abstractNum w:abstractNumId="213">
    <w:multiLevelType w:val="singleLevel"/>
    <w:name w:val="Bullet 213"/>
    <w:lvl w:ilvl="0">
      <w:start w:val="6"/>
      <w:numFmt w:val="decimal"/>
      <w:suff w:val="tab"/>
      <w:lvlText w:val="%1."/>
      <w:lvlJc w:val="left"/>
      <w:pPr>
        <w:ind w:left="0" w:hanging="0"/>
      </w:pPr>
    </w:lvl>
    <w:tmUseOutlineLevel val="0"/>
  </w:abstractNum>
  <w:abstractNum w:abstractNumId="214">
    <w:multiLevelType w:val="singleLevel"/>
    <w:name w:val="Bullet 214"/>
    <w:lvl w:ilvl="0">
      <w:start w:val="7"/>
      <w:numFmt w:val="decimal"/>
      <w:suff w:val="tab"/>
      <w:lvlText w:val="%1."/>
      <w:lvlJc w:val="left"/>
      <w:pPr>
        <w:ind w:left="0" w:hanging="0"/>
      </w:pPr>
    </w:lvl>
    <w:tmUseOutlineLevel val="0"/>
  </w:abstractNum>
  <w:abstractNum w:abstractNumId="215">
    <w:multiLevelType w:val="singleLevel"/>
    <w:name w:val="Bullet 215"/>
    <w:lvl w:ilvl="0">
      <w:start w:val="8"/>
      <w:numFmt w:val="decimal"/>
      <w:suff w:val="tab"/>
      <w:lvlText w:val="%1."/>
      <w:lvlJc w:val="left"/>
      <w:pPr>
        <w:ind w:left="0" w:hanging="0"/>
      </w:pPr>
    </w:lvl>
    <w:tmUseOutlineLevel val="0"/>
  </w:abstractNum>
  <w:abstractNum w:abstractNumId="216">
    <w:multiLevelType w:val="singleLevel"/>
    <w:name w:val="Bullet 216"/>
    <w:lvl w:ilvl="0">
      <w:start w:val="9"/>
      <w:numFmt w:val="decimal"/>
      <w:suff w:val="tab"/>
      <w:lvlText w:val="%1."/>
      <w:lvlJc w:val="left"/>
      <w:pPr>
        <w:ind w:left="0" w:hanging="0"/>
      </w:pPr>
    </w:lvl>
    <w:tmUseOutlineLevel val="0"/>
  </w:abstractNum>
  <w:abstractNum w:abstractNumId="217">
    <w:multiLevelType w:val="singleLevel"/>
    <w:name w:val="Bullet 217"/>
    <w:lvl w:ilvl="0">
      <w:start w:val="10"/>
      <w:numFmt w:val="decimal"/>
      <w:suff w:val="tab"/>
      <w:lvlText w:val="%1."/>
      <w:lvlJc w:val="left"/>
      <w:pPr>
        <w:ind w:left="0" w:hanging="0"/>
      </w:pPr>
    </w:lvl>
    <w:tmUseOutlineLevel val="0"/>
  </w:abstractNum>
  <w:abstractNum w:abstractNumId="218">
    <w:multiLevelType w:val="singleLevel"/>
    <w:name w:val="Bullet 218"/>
    <w:lvl w:ilvl="0">
      <w:start w:val="11"/>
      <w:numFmt w:val="decimal"/>
      <w:suff w:val="tab"/>
      <w:lvlText w:val="%1."/>
      <w:lvlJc w:val="left"/>
      <w:pPr>
        <w:ind w:left="0" w:hanging="0"/>
      </w:pPr>
    </w:lvl>
    <w:tmUseOutlineLevel val="0"/>
  </w:abstractNum>
  <w:abstractNum w:abstractNumId="219">
    <w:multiLevelType w:val="singleLevel"/>
    <w:name w:val="Bullet 219"/>
    <w:lvl w:ilvl="0">
      <w:start w:val="12"/>
      <w:numFmt w:val="decimal"/>
      <w:suff w:val="tab"/>
      <w:lvlText w:val="%1."/>
      <w:lvlJc w:val="left"/>
      <w:pPr>
        <w:ind w:left="0" w:hanging="0"/>
      </w:pPr>
    </w:lvl>
    <w:tmUseOutlineLevel val="0"/>
  </w:abstractNum>
  <w:abstractNum w:abstractNumId="220">
    <w:multiLevelType w:val="singleLevel"/>
    <w:name w:val="Bullet 220"/>
    <w:lvl w:ilvl="0">
      <w:start w:val="13"/>
      <w:numFmt w:val="decimal"/>
      <w:suff w:val="tab"/>
      <w:lvlText w:val="%1."/>
      <w:lvlJc w:val="left"/>
      <w:pPr>
        <w:ind w:left="0" w:hanging="0"/>
      </w:pPr>
    </w:lvl>
    <w:tmUseOutlineLevel val="0"/>
  </w:abstractNum>
  <w:abstractNum w:abstractNumId="221">
    <w:multiLevelType w:val="singleLevel"/>
    <w:name w:val="Bullet 221"/>
    <w:lvl w:ilvl="0">
      <w:numFmt w:val="bullet"/>
      <w:suff w:val="tab"/>
      <w:lvlText w:val=""/>
      <w:lvlJc w:val="left"/>
      <w:pPr>
        <w:ind w:left="0" w:hanging="0"/>
      </w:pPr>
      <w:rPr>
        <w:rFonts w:ascii="Wingdings" w:hAnsi="Wingdings" w:eastAsia="Wingdings" w:cs="Wingdings"/>
      </w:rPr>
    </w:lvl>
    <w:tmUseOutlineLevel val="0"/>
  </w:abstractNum>
  <w:abstractNum w:abstractNumId="222">
    <w:multiLevelType w:val="singleLevel"/>
    <w:name w:val="Bullet 222"/>
    <w:lvl w:ilvl="0">
      <w:numFmt w:val="bullet"/>
      <w:suff w:val="tab"/>
      <w:lvlText w:val="·"/>
      <w:lvlJc w:val="left"/>
      <w:pPr>
        <w:ind w:left="0" w:hanging="0"/>
      </w:pPr>
      <w:rPr>
        <w:rFonts w:ascii="Symbol" w:hAnsi="Symbol"/>
        <w:sz w:val="18"/>
      </w:rPr>
    </w:lvl>
    <w:tmUseOutlineLevel val="0"/>
  </w:abstractNum>
  <w:abstractNum w:abstractNumId="223">
    <w:multiLevelType w:val="singleLevel"/>
    <w:name w:val="Bullet 223"/>
    <w:lvl w:ilvl="0">
      <w:numFmt w:val="bullet"/>
      <w:suff w:val="tab"/>
      <w:lvlText w:val="·"/>
      <w:lvlJc w:val="left"/>
      <w:pPr>
        <w:ind w:left="0" w:hanging="0"/>
      </w:pPr>
      <w:rPr>
        <w:rFonts w:ascii="Symbol" w:hAnsi="Symbol"/>
        <w:sz w:val="24"/>
      </w:rPr>
    </w:lvl>
    <w:tmUseOutlineLevel val="0"/>
  </w:abstractNum>
  <w:abstractNum w:abstractNumId="224">
    <w:multiLevelType w:val="singleLevel"/>
    <w:name w:val="Bullet 224"/>
    <w:lvl w:ilvl="0">
      <w:numFmt w:val="bullet"/>
      <w:suff w:val="tab"/>
      <w:lvlText w:val=""/>
      <w:lvlJc w:val="left"/>
      <w:pPr>
        <w:ind w:left="0" w:hanging="0"/>
      </w:pPr>
      <w:rPr>
        <w:rFonts w:ascii="Wingdings" w:hAnsi="Wingdings" w:eastAsia="Wingdings" w:cs="Wingdings"/>
      </w:rPr>
    </w:lvl>
    <w:tmUseOutlineLevel val="0"/>
  </w:abstractNum>
  <w:abstractNum w:abstractNumId="225">
    <w:multiLevelType w:val="singleLevel"/>
    <w:name w:val="Bullet 225"/>
    <w:lvl w:ilvl="0">
      <w:numFmt w:val="bullet"/>
      <w:suff w:val="tab"/>
      <w:lvlText w:val="·"/>
      <w:lvlJc w:val="left"/>
      <w:pPr>
        <w:ind w:left="0" w:hanging="0"/>
      </w:pPr>
      <w:rPr>
        <w:rFonts w:ascii="Symbol" w:hAnsi="Symbol"/>
        <w:sz w:val="18"/>
        <w:szCs w:val="18"/>
      </w:rPr>
    </w:lvl>
    <w:tmUseOutlineLevel val="0"/>
  </w:abstractNum>
  <w:abstractNum w:abstractNumId="226">
    <w:multiLevelType w:val="singleLevel"/>
    <w:name w:val="Bullet 226"/>
    <w:lvl w:ilvl="0">
      <w:numFmt w:val="bullet"/>
      <w:suff w:val="tab"/>
      <w:lvlText w:val=""/>
      <w:lvlJc w:val="left"/>
      <w:pPr>
        <w:ind w:left="0" w:hanging="0"/>
      </w:pPr>
      <w:rPr>
        <w:rFonts w:ascii="Wingdings" w:hAnsi="Wingdings" w:eastAsia="Wingdings" w:cs="Wingdings"/>
        <w:sz w:val="22"/>
      </w:rPr>
    </w:lvl>
    <w:tmUseOutlineLevel val="0"/>
  </w:abstractNum>
  <w:abstractNum w:abstractNumId="227">
    <w:multiLevelType w:val="singleLevel"/>
    <w:name w:val="Bullet 227"/>
    <w:lvl w:ilvl="0">
      <w:numFmt w:val="bullet"/>
      <w:suff w:val="tab"/>
      <w:lvlText w:val=""/>
      <w:lvlJc w:val="left"/>
      <w:pPr>
        <w:ind w:left="0" w:hanging="0"/>
      </w:pPr>
      <w:rPr>
        <w:rFonts w:ascii="Wingdings" w:hAnsi="Wingdings" w:eastAsia="Wingdings" w:cs="Wingdings"/>
        <w:color w:val="00998A"/>
      </w:rPr>
    </w:lvl>
    <w:tmUseOutlineLevel val="0"/>
  </w:abstractNum>
  <w:abstractNum w:abstractNumId="228">
    <w:multiLevelType w:val="singleLevel"/>
    <w:name w:val="Bullet 228"/>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229">
    <w:multiLevelType w:val="singleLevel"/>
    <w:name w:val="Bullet 229"/>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230">
    <w:multiLevelType w:val="singleLevel"/>
    <w:name w:val="Bullet 230"/>
    <w:lvl w:ilvl="0">
      <w:numFmt w:val="bullet"/>
      <w:suff w:val="tab"/>
      <w:lvlText w:val="·"/>
      <w:lvlJc w:val="left"/>
      <w:pPr>
        <w:ind w:left="0" w:hanging="0"/>
      </w:pPr>
      <w:rPr>
        <w:rFonts w:ascii="Symbol" w:hAnsi="Symbol"/>
        <w:color w:val="007F7F"/>
        <w:sz w:val="36"/>
      </w:rPr>
    </w:lvl>
    <w:tmUseOutlineLevel val="0"/>
  </w:abstractNum>
  <w:abstractNum w:abstractNumId="231">
    <w:multiLevelType w:val="singleLevel"/>
    <w:name w:val="Bullet 231"/>
    <w:lvl w:ilvl="0">
      <w:numFmt w:val="bullet"/>
      <w:suff w:val="tab"/>
      <w:lvlText w:val=""/>
      <w:lvlJc w:val="left"/>
      <w:pPr>
        <w:ind w:left="0" w:hanging="0"/>
      </w:pPr>
      <w:rPr>
        <w:rFonts w:ascii="Wingdings" w:hAnsi="Wingdings" w:eastAsia="Wingdings" w:cs="Wingdings"/>
      </w:rPr>
    </w:lvl>
    <w:tmUseOutlineLevel val="0"/>
  </w:abstractNum>
  <w:abstractNum w:abstractNumId="232">
    <w:multiLevelType w:val="singleLevel"/>
    <w:name w:val="Bullet 232"/>
    <w:lvl w:ilvl="0">
      <w:numFmt w:val="bullet"/>
      <w:suff w:val="tab"/>
      <w:lvlText w:val="o"/>
      <w:lvlJc w:val="left"/>
      <w:pPr>
        <w:ind w:left="0" w:hanging="0"/>
      </w:pPr>
      <w:rPr>
        <w:rFonts w:ascii="Courier New" w:hAnsi="Courier New"/>
      </w:rPr>
    </w:lvl>
    <w:tmUseOutlineLevel val="0"/>
  </w:abstractNum>
  <w:abstractNum w:abstractNumId="233">
    <w:multiLevelType w:val="singleLevel"/>
    <w:name w:val="Bullet 233"/>
    <w:lvl w:ilvl="0">
      <w:numFmt w:val="bullet"/>
      <w:suff w:val="tab"/>
      <w:lvlText w:val="·"/>
      <w:lvlJc w:val="left"/>
      <w:pPr>
        <w:ind w:left="0" w:hanging="0"/>
      </w:pPr>
      <w:rPr>
        <w:rFonts w:ascii="Symbol" w:hAnsi="Symbol"/>
      </w:rPr>
    </w:lvl>
    <w:tmUseOutlineLevel val="0"/>
  </w:abstractNum>
  <w:abstractNum w:abstractNumId="234">
    <w:multiLevelType w:val="singleLevel"/>
    <w:name w:val="Bullet 234"/>
    <w:lvl w:ilvl="0">
      <w:numFmt w:val="bullet"/>
      <w:suff w:val="tab"/>
      <w:lvlText w:val=" "/>
      <w:lvlJc w:val="left"/>
      <w:pPr>
        <w:ind w:left="0" w:hanging="0"/>
      </w:pPr>
    </w:lvl>
    <w:tmUseOutlineLevel val="0"/>
  </w:abstractNum>
  <w:abstractNum w:abstractNumId="235">
    <w:multiLevelType w:val="singleLevel"/>
    <w:name w:val="Bullet 235"/>
    <w:lvl w:ilvl="0">
      <w:numFmt w:val="bullet"/>
      <w:suff w:val="tab"/>
      <w:lvlText w:val=""/>
      <w:lvlJc w:val="left"/>
      <w:pPr>
        <w:ind w:left="0" w:hanging="0"/>
      </w:pPr>
      <w:rPr>
        <w:rFonts w:ascii="Wingdings" w:hAnsi="Wingdings"/>
        <w:color w:val="717D87"/>
        <w:sz w:val="14"/>
      </w:rPr>
    </w:lvl>
    <w:tmUseOutlineLevel val="0"/>
  </w:abstractNum>
  <w:abstractNum w:abstractNumId="236">
    <w:multiLevelType w:val="singleLevel"/>
    <w:name w:val="Bullet 236"/>
    <w:lvl w:ilvl="0">
      <w:numFmt w:val="bullet"/>
      <w:suff w:val="tab"/>
      <w:lvlText w:val=""/>
      <w:lvlJc w:val="left"/>
      <w:pPr>
        <w:ind w:left="0" w:hanging="0"/>
      </w:pPr>
      <w:rPr>
        <w:rFonts w:ascii="Wingdings" w:hAnsi="Wingdings" w:eastAsia="Wingdings" w:cs="Wingdings"/>
        <w:color w:val="00998A"/>
      </w:rPr>
    </w:lvl>
    <w:tmUseOutlineLevel val="0"/>
  </w:abstractNum>
  <w:abstractNum w:abstractNumId="237">
    <w:multiLevelType w:val="singleLevel"/>
    <w:name w:val="Bullet 237"/>
    <w:lvl w:ilvl="0">
      <w:numFmt w:val="bullet"/>
      <w:suff w:val="tab"/>
      <w:lvlText w:val=""/>
      <w:lvlJc w:val="left"/>
      <w:pPr>
        <w:ind w:left="0" w:hanging="0"/>
      </w:pPr>
      <w:rPr>
        <w:rFonts w:ascii="Wingdings" w:hAnsi="Wingdings" w:eastAsia="Wingdings" w:cs="Wingdings"/>
      </w:rPr>
    </w:lvl>
    <w:tmUseOutlineLevel val="0"/>
  </w:abstractNum>
  <w:abstractNum w:abstractNumId="238">
    <w:multiLevelType w:val="singleLevel"/>
    <w:name w:val="Bullet 238"/>
    <w:lvl w:ilvl="0">
      <w:numFmt w:val="bullet"/>
      <w:suff w:val="tab"/>
      <w:lvlText w:val=""/>
      <w:lvlJc w:val="left"/>
      <w:pPr>
        <w:ind w:left="0" w:hanging="0"/>
      </w:pPr>
      <w:rPr>
        <w:rFonts w:ascii="Wingdings" w:hAnsi="Wingdings" w:eastAsia="Wingdings" w:cs="Wingdings"/>
      </w:rPr>
    </w:lvl>
    <w:tmUseOutlineLevel val="0"/>
  </w:abstractNum>
  <w:abstractNum w:abstractNumId="239">
    <w:multiLevelType w:val="singleLevel"/>
    <w:name w:val="Bullet 239"/>
    <w:lvl w:ilvl="0">
      <w:numFmt w:val="bullet"/>
      <w:suff w:val="tab"/>
      <w:lvlText w:val=""/>
      <w:lvlJc w:val="left"/>
      <w:pPr>
        <w:ind w:left="0" w:hanging="0"/>
      </w:pPr>
      <w:rPr>
        <w:rFonts w:ascii="Wingdings" w:hAnsi="Wingdings" w:eastAsia="Wingdings" w:cs="Wingdings"/>
      </w:rPr>
    </w:lvl>
    <w:tmUseOutlineLevel val="0"/>
  </w:abstractNum>
  <w:abstractNum w:abstractNumId="240">
    <w:multiLevelType w:val="singleLevel"/>
    <w:name w:val="Bullet 240"/>
    <w:lvl w:ilvl="0">
      <w:start w:val="1"/>
      <w:numFmt w:val="ordinal"/>
      <w:suff w:val="tab"/>
      <w:lvlText w:val="%1"/>
      <w:lvlJc w:val="left"/>
      <w:pPr>
        <w:ind w:left="0" w:hanging="0"/>
      </w:pPr>
    </w:lvl>
    <w:tmUseOutlineLevel val="0"/>
  </w:abstractNum>
  <w:abstractNum w:abstractNumId="241">
    <w:multiLevelType w:val="singleLevel"/>
    <w:name w:val="Bullet 241"/>
    <w:lvl w:ilvl="0">
      <w:start w:val="1"/>
      <w:numFmt w:val="decimal"/>
      <w:suff w:val="tab"/>
      <w:lvlText w:val="%1."/>
      <w:lvlJc w:val="left"/>
      <w:pPr>
        <w:ind w:left="0" w:hanging="0"/>
      </w:pPr>
    </w:lvl>
    <w:tmUseOutlineLevel val="0"/>
  </w:abstractNum>
  <w:abstractNum w:abstractNumId="242">
    <w:multiLevelType w:val="hybridMultilevel"/>
    <w:name w:val="Nummerierungsliste 1823222_4"/>
    <w:lvl w:ilvl="0">
      <w:start w:val="1"/>
      <w:numFmt w:val="decimal"/>
      <w:suff w:val="tab"/>
      <w:lvlText w:val="%1"/>
      <w:lvlJc w:val="left"/>
      <w:pPr>
        <w:ind w:left="0" w:hanging="0"/>
      </w:pPr>
      <w:rPr>
        <w:kern w:val="1"/>
      </w:rPr>
    </w:lvl>
    <w:lvl w:ilvl="1">
      <w:start w:val="1"/>
      <w:numFmt w:val="decimal"/>
      <w:suff w:val="tab"/>
      <w:lvlText w:val="%1.%2"/>
      <w:lvlJc w:val="left"/>
      <w:pPr>
        <w:ind w:left="0" w:hanging="0"/>
      </w:pPr>
      <w:rPr>
        <w:kern w:val="1"/>
      </w:rPr>
    </w:lvl>
    <w:lvl w:ilvl="2">
      <w:start w:val="1"/>
      <w:numFmt w:val="decimal"/>
      <w:suff w:val="tab"/>
      <w:lvlText w:val="%1.%2.%3"/>
      <w:lvlJc w:val="left"/>
      <w:pPr>
        <w:ind w:left="0" w:hanging="0"/>
      </w:pPr>
      <w:rPr>
        <w:kern w:val="1"/>
      </w:rPr>
    </w:lvl>
    <w:lvl w:ilvl="3">
      <w:start w:val="1"/>
      <w:numFmt w:val="decimal"/>
      <w:suff w:val="tab"/>
      <w:lvlText w:val="%1.%2.%3.%4"/>
      <w:lvlJc w:val="left"/>
      <w:pPr>
        <w:ind w:left="0" w:hanging="0"/>
      </w:pPr>
      <w:rPr>
        <w:kern w:val="1"/>
      </w:rPr>
    </w:lvl>
    <w:lvl w:ilvl="4">
      <w:start w:val="1"/>
      <w:numFmt w:val="decimal"/>
      <w:suff w:val="tab"/>
      <w:lvlText w:val="%1.%2.%3.%4.%5"/>
      <w:lvlJc w:val="left"/>
      <w:pPr>
        <w:ind w:left="0" w:hanging="0"/>
      </w:pPr>
      <w:rPr>
        <w:kern w:val="1"/>
      </w:rPr>
    </w:lvl>
    <w:lvl w:ilvl="5">
      <w:start w:val="1"/>
      <w:numFmt w:val="decimal"/>
      <w:suff w:val="tab"/>
      <w:lvlText w:val="%1.%2.%3.%4.%5.%6"/>
      <w:lvlJc w:val="left"/>
      <w:pPr>
        <w:ind w:left="0" w:hanging="0"/>
      </w:pPr>
      <w:rPr>
        <w:kern w:val="1"/>
      </w:rPr>
    </w:lvl>
    <w:lvl w:ilvl="6">
      <w:start w:val="1"/>
      <w:numFmt w:val="decimal"/>
      <w:suff w:val="tab"/>
      <w:lvlText w:val="%1.%2.%3.%4.%5.%6.%7"/>
      <w:lvlJc w:val="left"/>
      <w:pPr>
        <w:ind w:left="0" w:hanging="0"/>
      </w:pPr>
      <w:rPr>
        <w:kern w:val="1"/>
      </w:rPr>
    </w:lvl>
    <w:lvl w:ilvl="7">
      <w:start w:val="1"/>
      <w:numFmt w:val="decimal"/>
      <w:suff w:val="tab"/>
      <w:lvlText w:val="%1.%2.%3.%4.%5.%6.%7.%8"/>
      <w:lvlJc w:val="left"/>
      <w:pPr>
        <w:ind w:left="0" w:hanging="0"/>
      </w:pPr>
      <w:rPr>
        <w:kern w:val="1"/>
      </w:rPr>
    </w:lvl>
    <w:lvl w:ilvl="8">
      <w:start w:val="1"/>
      <w:numFmt w:val="decimal"/>
      <w:suff w:val="tab"/>
      <w:lvlText w:val="%1.%2.%3.%4.%5.%6.%7.%8.%9"/>
      <w:lvlJc w:val="left"/>
      <w:pPr>
        <w:ind w:left="0" w:hanging="0"/>
      </w:pPr>
      <w:rPr>
        <w:kern w:val="1"/>
      </w:rPr>
    </w:lvl>
    <w:tmUseOutlineLevel val="0"/>
  </w:abstractNum>
  <w:abstractNum w:abstractNumId="243">
    <w:multiLevelType w:val="singleLevel"/>
    <w:name w:val="Bullet 243"/>
    <w:lvl w:ilvl="0">
      <w:numFmt w:val="bullet"/>
      <w:suff w:val="tab"/>
      <w:lvlText w:val="·"/>
      <w:lvlJc w:val="left"/>
      <w:pPr>
        <w:ind w:left="0" w:hanging="0"/>
      </w:pPr>
      <w:rPr>
        <w:rFonts w:ascii="Symbol" w:hAnsi="Symbol"/>
      </w:rPr>
    </w:lvl>
    <w:tmUseOutlineLevel val="0"/>
  </w:abstractNum>
  <w:abstractNum w:abstractNumId="244">
    <w:multiLevelType w:val="singleLevel"/>
    <w:name w:val="Bullet 244"/>
    <w:lvl w:ilvl="0">
      <w:numFmt w:val="bullet"/>
      <w:suff w:val="tab"/>
      <w:lvlText w:val="o"/>
      <w:lvlJc w:val="left"/>
      <w:pPr>
        <w:ind w:left="0" w:hanging="0"/>
      </w:pPr>
      <w:rPr>
        <w:rFonts w:ascii="Courier New" w:hAnsi="Courier New" w:cs="Courier New"/>
      </w:rPr>
    </w:lvl>
    <w:tmUseOutlineLevel val="0"/>
  </w:abstractNum>
  <w:abstractNum w:abstractNumId="245">
    <w:multiLevelType w:val="singleLevel"/>
    <w:name w:val="Bullet 245"/>
    <w:lvl w:ilvl="0">
      <w:numFmt w:val="bullet"/>
      <w:suff w:val="tab"/>
      <w:lvlText w:val=""/>
      <w:lvlJc w:val="left"/>
      <w:pPr>
        <w:ind w:left="0" w:hanging="0"/>
      </w:pPr>
      <w:rPr>
        <w:rFonts w:ascii="Wingdings" w:hAnsi="Wingdings" w:eastAsia="Wingdings" w:cs="Wingdings"/>
      </w:rPr>
    </w:lvl>
    <w:tmUseOutlineLevel val="0"/>
  </w:abstractNum>
  <w:abstractNum w:abstractNumId="246">
    <w:multiLevelType w:val="singleLevel"/>
    <w:name w:val="Bullet 246"/>
    <w:lvl w:ilvl="0">
      <w:numFmt w:val="bullet"/>
      <w:suff w:val="tab"/>
      <w:lvlText w:val=""/>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247">
    <w:multiLevelType w:val="singleLevel"/>
    <w:name w:val="Bullet 247"/>
    <w:lvl w:ilvl="0">
      <w:numFmt w:val="bullet"/>
      <w:suff w:val="tab"/>
      <w:lvlText w:val=""/>
      <w:lvlJc w:val="left"/>
      <w:pPr>
        <w:ind w:left="0" w:hanging="0"/>
      </w:pPr>
      <w:rPr>
        <w:rFonts w:ascii="Wingdings" w:hAnsi="Wingdings" w:eastAsia="Wingdings" w:cs="Wingdings"/>
        <w:color w:val="00998A"/>
      </w:rPr>
    </w:lvl>
    <w:tmUseOutlineLevel val="0"/>
  </w:abstractNum>
  <w:abstractNum w:abstractNumId="248">
    <w:multiLevelType w:val="singleLevel"/>
    <w:name w:val="Bullet 248"/>
    <w:lvl w:ilvl="0">
      <w:numFmt w:val="bullet"/>
      <w:suff w:val="tab"/>
      <w:lvlText w:val=""/>
      <w:lvlJc w:val="left"/>
      <w:pPr>
        <w:ind w:left="0" w:hanging="0"/>
      </w:pPr>
      <w:rPr>
        <w:rFonts w:ascii="Wingdings" w:hAnsi="Wingdings" w:eastAsia="Wingdings" w:cs="Wingdings"/>
      </w:rPr>
    </w:lvl>
    <w:tmUseOutlineLevel val="0"/>
  </w:abstractNum>
  <w:abstractNum w:abstractNumId="249">
    <w:multiLevelType w:val="singleLevel"/>
    <w:name w:val="Bullet 249"/>
    <w:lvl w:ilvl="0">
      <w:numFmt w:val="bullet"/>
      <w:suff w:val="tab"/>
      <w:lvlText w:val=""/>
      <w:lvlJc w:val="left"/>
      <w:pPr>
        <w:ind w:left="0" w:hanging="0"/>
      </w:pPr>
      <w:rPr>
        <w:rFonts w:ascii="Wingdings" w:hAnsi="Wingdings" w:eastAsia="Wingdings" w:cs="Wingdings"/>
      </w:rPr>
    </w:lvl>
    <w:tmUseOutlineLevel val="0"/>
  </w:abstractNum>
  <w:abstractNum w:abstractNumId="250">
    <w:multiLevelType w:val="singleLevel"/>
    <w:name w:val="Bullet 250"/>
    <w:lvl w:ilvl="0">
      <w:numFmt w:val="bullet"/>
      <w:suff w:val="tab"/>
      <w:lvlText w:val=""/>
      <w:lvlJc w:val="left"/>
      <w:pPr>
        <w:ind w:left="0" w:hanging="0"/>
      </w:pPr>
      <w:rPr>
        <w:rFonts w:ascii="Wingdings" w:hAnsi="Wingdings" w:eastAsia="Wingdings" w:cs="Wingdings"/>
      </w:rPr>
    </w:lvl>
    <w:tmUseOutlineLevel val="0"/>
  </w:abstractNum>
  <w:abstractNum w:abstractNumId="251">
    <w:multiLevelType w:val="singleLevel"/>
    <w:name w:val="Bullet 251"/>
    <w:lvl w:ilvl="0">
      <w:numFmt w:val="bullet"/>
      <w:suff w:val="tab"/>
      <w:lvlText w:val=""/>
      <w:lvlJc w:val="left"/>
      <w:pPr>
        <w:ind w:left="0" w:hanging="0"/>
      </w:pPr>
      <w:rPr>
        <w:rFonts w:ascii="Wingdings" w:hAnsi="Wingdings" w:eastAsia="Wingdings" w:cs="Wingdings"/>
        <w:sz w:val="22"/>
      </w:rPr>
    </w:lvl>
    <w:tmUseOutlineLevel val="0"/>
  </w:abstractNum>
  <w:abstractNum w:abstractNumId="252">
    <w:multiLevelType w:val="singleLevel"/>
    <w:name w:val="Bullet 252"/>
    <w:lvl w:ilvl="0">
      <w:numFmt w:val="bullet"/>
      <w:suff w:val="tab"/>
      <w:lvlText w:val=""/>
      <w:lvlJc w:val="left"/>
      <w:pPr>
        <w:ind w:left="0" w:hanging="0"/>
      </w:pPr>
      <w:rPr>
        <w:rFonts w:ascii="Wingdings" w:hAnsi="Wingdings" w:eastAsia="Wingdings" w:cs="Wingdings"/>
        <w:color w:val="00998A"/>
      </w:rPr>
    </w:lvl>
    <w:tmUseOutlineLevel val="0"/>
  </w:abstractNum>
  <w:abstractNum w:abstractNumId="253">
    <w:multiLevelType w:val="singleLevel"/>
    <w:name w:val="Bullet 253"/>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254">
    <w:multiLevelType w:val="singleLevel"/>
    <w:name w:val="Bullet 254"/>
    <w:lvl w:ilvl="0">
      <w:start w:val="1"/>
      <w:numFmt w:val="ordinal"/>
      <w:suff w:val="tab"/>
      <w:lvlText w:val="%1"/>
      <w:lvlJc w:val="left"/>
      <w:pPr>
        <w:ind w:left="0" w:hanging="0"/>
      </w:pPr>
    </w:lvl>
    <w:tmUseOutlineLevel val="0"/>
  </w:abstractNum>
  <w:abstractNum w:abstractNumId="255">
    <w:multiLevelType w:val="singleLevel"/>
    <w:name w:val="Bullet 255"/>
    <w:lvl w:ilvl="0">
      <w:numFmt w:val="bullet"/>
      <w:pStyle w:val="para46"/>
      <w:suff w:val="tab"/>
      <w:lvlText w:val=""/>
      <w:lvlJc w:val="left"/>
      <w:pPr>
        <w:ind w:left="0" w:hanging="0"/>
      </w:pPr>
      <w:rPr>
        <w:rFonts w:ascii="Wingdings" w:hAnsi="Wingdings" w:eastAsia="Wingdings" w:cs="Wingdings"/>
        <w:color w:val="FF0000"/>
      </w:rPr>
    </w:lvl>
    <w:tmUseOutlineLevel val="0"/>
  </w:abstractNum>
  <w:abstractNum w:abstractNumId="256">
    <w:multiLevelType w:val="singleLevel"/>
    <w:name w:val="Bullet 256"/>
    <w:lvl w:ilvl="0">
      <w:numFmt w:val="bullet"/>
      <w:suff w:val="tab"/>
      <w:lvlText w:val=""/>
      <w:lvlJc w:val="left"/>
      <w:pPr>
        <w:ind w:left="0" w:hanging="0"/>
      </w:pPr>
      <w:rPr>
        <w:rFonts w:ascii="Wingdings" w:hAnsi="Wingdings" w:eastAsia="Wingdings" w:cs="Wingdings"/>
      </w:rPr>
    </w:lvl>
    <w:tmUseOutlineLevel val="0"/>
  </w:abstractNum>
  <w:abstractNum w:abstractNumId="257">
    <w:multiLevelType w:val="singleLevel"/>
    <w:name w:val="Bullet 257"/>
    <w:lvl w:ilvl="0">
      <w:numFmt w:val="bullet"/>
      <w:suff w:val="tab"/>
      <w:lvlText w:val="·"/>
      <w:lvlJc w:val="left"/>
      <w:pPr>
        <w:ind w:left="0" w:hanging="0"/>
      </w:pPr>
      <w:rPr>
        <w:rFonts w:ascii="Symbol" w:hAnsi="Symbol"/>
      </w:rPr>
    </w:lvl>
    <w:tmUseOutlineLevel val="0"/>
  </w:abstractNum>
  <w:abstractNum w:abstractNumId="258">
    <w:multiLevelType w:val="singleLevel"/>
    <w:name w:val="Bullet 258"/>
    <w:lvl w:ilvl="0">
      <w:numFmt w:val="bullet"/>
      <w:suff w:val="tab"/>
      <w:lvlText w:val="o"/>
      <w:lvlJc w:val="left"/>
      <w:pPr>
        <w:ind w:left="0" w:hanging="0"/>
      </w:pPr>
      <w:rPr>
        <w:rFonts w:ascii="Courier New" w:hAnsi="Courier New" w:cs="Courier New"/>
      </w:rPr>
    </w:lvl>
    <w:tmUseOutlineLevel val="0"/>
  </w:abstractNum>
  <w:abstractNum w:abstractNumId="259">
    <w:multiLevelType w:val="singleLevel"/>
    <w:name w:val="Bullet 259"/>
    <w:lvl w:ilvl="0">
      <w:numFmt w:val="bullet"/>
      <w:suff w:val="tab"/>
      <w:lvlText w:val=""/>
      <w:lvlJc w:val="left"/>
      <w:pPr>
        <w:ind w:left="0" w:hanging="0"/>
      </w:pPr>
      <w:rPr>
        <w:rFonts w:ascii="Wingdings" w:hAnsi="Wingdings" w:eastAsia="Wingdings" w:cs="Wingdings"/>
      </w:rPr>
    </w:lvl>
    <w:tmUseOutlineLevel val="0"/>
  </w:abstractNum>
  <w:abstractNum w:abstractNumId="260">
    <w:multiLevelType w:val="singleLevel"/>
    <w:name w:val="Bullet 260"/>
    <w:lvl w:ilvl="0">
      <w:numFmt w:val="bullet"/>
      <w:suff w:val="tab"/>
      <w:lvlText w:val="ü"/>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261">
    <w:multiLevelType w:val="singleLevel"/>
    <w:name w:val="Bullet 261"/>
    <w:lvl w:ilvl="0">
      <w:numFmt w:val="bullet"/>
      <w:suff w:val="tab"/>
      <w:lvlText w:val=""/>
      <w:lvlJc w:val="left"/>
      <w:pPr>
        <w:ind w:left="0" w:hanging="0"/>
      </w:pPr>
      <w:rPr>
        <w:rFonts w:ascii="Wingdings" w:hAnsi="Wingdings" w:eastAsia="Wingdings" w:cs="Wingdings"/>
        <w:color w:val="007F7F"/>
      </w:rPr>
    </w:lvl>
    <w:tmUseOutlineLevel val="0"/>
  </w:abstractNum>
  <w:abstractNum w:abstractNumId="262">
    <w:multiLevelType w:val="singleLevel"/>
    <w:name w:val="Bullet 262"/>
    <w:lvl w:ilvl="0">
      <w:numFmt w:val="bullet"/>
      <w:suff w:val="tab"/>
      <w:lvlText w:val="·"/>
      <w:lvlJc w:val="left"/>
      <w:pPr>
        <w:ind w:left="0" w:hanging="0"/>
      </w:pPr>
      <w:rPr>
        <w:rFonts w:ascii="Symbol" w:hAnsi="Symbol"/>
        <w:sz w:val="18"/>
      </w:rPr>
    </w:lvl>
    <w:tmUseOutlineLevel val="0"/>
  </w:abstractNum>
  <w:abstractNum w:abstractNumId="263">
    <w:multiLevelType w:val="singleLevel"/>
    <w:name w:val="Bullet 263"/>
    <w:lvl w:ilvl="0">
      <w:numFmt w:val="bullet"/>
      <w:suff w:val="tab"/>
      <w:lvlText w:val=""/>
      <w:lvlJc w:val="left"/>
      <w:pPr>
        <w:ind w:left="0" w:hanging="0"/>
      </w:pPr>
      <w:rPr>
        <w:rFonts w:ascii="Wingdings" w:hAnsi="Wingdings" w:eastAsia="Wingdings" w:cs="Wingdings"/>
        <w:smallCaps w:percent="80"/>
        <w:color w:val="auto"/>
        <w:spacing w:val="0" w:percent="100"/>
        <w:w w:val="300"/>
        <w:u w:color="auto" w:val="single"/>
        <w:shd w:fill="auto" w:val="clear"/>
        <w:vertAlign w:val="baseline"/>
      </w:rPr>
    </w:lvl>
    <w:tmUseOutlineLevel val="0"/>
  </w:abstractNum>
  <w:abstractNum w:abstractNumId="264">
    <w:multiLevelType w:val="singleLevel"/>
    <w:name w:val="Bullet 264"/>
    <w:lvl w:ilvl="0">
      <w:numFmt w:val="bullet"/>
      <w:suff w:val="tab"/>
      <w:lvlText w:val=""/>
      <w:lvlJc w:val="left"/>
      <w:pPr>
        <w:ind w:left="0" w:hanging="0"/>
      </w:pPr>
      <w:rPr>
        <w:rFonts w:ascii="Wingdings" w:hAnsi="Wingdings" w:eastAsia="Wingdings" w:cs="Wingdings"/>
        <w:color w:val="00998A"/>
      </w:rPr>
    </w:lvl>
    <w:tmUseOutlineLevel val="0"/>
  </w:abstractNum>
  <w:abstractNum w:abstractNumId="265">
    <w:multiLevelType w:val="singleLevel"/>
    <w:name w:val="Bullet 265"/>
    <w:lvl w:ilvl="0">
      <w:numFmt w:val="bullet"/>
      <w:suff w:val="tab"/>
      <w:lvlText w:val=""/>
      <w:lvlJc w:val="left"/>
      <w:pPr>
        <w:ind w:left="0" w:hanging="0"/>
      </w:pPr>
      <w:rPr>
        <w:rFonts w:ascii="Wingdings" w:hAnsi="Wingdings" w:eastAsia="Wingdings" w:cs="Wingdings"/>
      </w:rPr>
    </w:lvl>
    <w:tmUseOutlineLevel val="0"/>
  </w:abstractNum>
  <w:abstractNum w:abstractNumId="266">
    <w:multiLevelType w:val="singleLevel"/>
    <w:name w:val="Bullet 266"/>
    <w:lvl w:ilvl="0">
      <w:numFmt w:val="bullet"/>
      <w:suff w:val="tab"/>
      <w:lvlText w:val=""/>
      <w:lvlJc w:val="left"/>
      <w:pPr>
        <w:ind w:left="0" w:hanging="0"/>
      </w:pPr>
      <w:rPr>
        <w:rFonts w:ascii="Wingdings" w:hAnsi="Wingdings" w:eastAsia="Wingdings" w:cs="Wingdings"/>
      </w:rPr>
    </w:lvl>
    <w:tmUseOutlineLevel val="0"/>
  </w:abstractNum>
  <w:abstractNum w:abstractNumId="267">
    <w:multiLevelType w:val="singleLevel"/>
    <w:name w:val="Bullet 267"/>
    <w:lvl w:ilvl="0">
      <w:numFmt w:val="bullet"/>
      <w:suff w:val="tab"/>
      <w:lvlText w:val=""/>
      <w:lvlJc w:val="left"/>
      <w:pPr>
        <w:ind w:left="0" w:hanging="0"/>
      </w:pPr>
      <w:rPr>
        <w:rFonts w:ascii="Wingdings" w:hAnsi="Wingdings" w:eastAsia="Wingdings" w:cs="Wingdings"/>
      </w:rPr>
    </w:lvl>
    <w:tmUseOutlineLevel val="0"/>
  </w:abstractNum>
  <w:abstractNum w:abstractNumId="268">
    <w:multiLevelType w:val="singleLevel"/>
    <w:name w:val="Bullet 268"/>
    <w:lvl w:ilvl="0">
      <w:numFmt w:val="bullet"/>
      <w:suff w:val="tab"/>
      <w:lvlText w:val="-"/>
      <w:lvlJc w:val="left"/>
      <w:pPr>
        <w:ind w:left="0" w:hanging="0"/>
      </w:pPr>
      <w:rPr>
        <w:rFonts w:ascii="Tahoma" w:hAnsi="Tahoma" w:eastAsia="Arial" w:cs="Tahoma"/>
      </w:rPr>
    </w:lvl>
    <w:tmUseOutlineLevel val="0"/>
  </w:abstractNum>
  <w:abstractNum w:abstractNumId="269">
    <w:multiLevelType w:val="singleLevel"/>
    <w:name w:val="Bullet 269"/>
    <w:lvl w:ilvl="0">
      <w:numFmt w:val="bullet"/>
      <w:suff w:val="tab"/>
      <w:lvlText w:val="o"/>
      <w:lvlJc w:val="left"/>
      <w:pPr>
        <w:ind w:left="0" w:hanging="0"/>
      </w:pPr>
      <w:rPr>
        <w:rFonts w:ascii="Courier New" w:hAnsi="Courier New"/>
      </w:rPr>
    </w:lvl>
    <w:tmUseOutlineLevel val="0"/>
  </w:abstractNum>
  <w:abstractNum w:abstractNumId="270">
    <w:multiLevelType w:val="singleLevel"/>
    <w:name w:val="Bullet 270"/>
    <w:lvl w:ilvl="0">
      <w:numFmt w:val="bullet"/>
      <w:suff w:val="tab"/>
      <w:lvlText w:val=""/>
      <w:lvlJc w:val="left"/>
      <w:pPr>
        <w:ind w:left="0" w:hanging="0"/>
      </w:pPr>
      <w:rPr>
        <w:rFonts w:ascii="Wingdings" w:hAnsi="Wingdings" w:eastAsia="Wingdings" w:cs="Wingdings"/>
      </w:rPr>
    </w:lvl>
    <w:tmUseOutlineLevel val="0"/>
  </w:abstractNum>
  <w:abstractNum w:abstractNumId="271">
    <w:multiLevelType w:val="singleLevel"/>
    <w:name w:val="Bullet 271"/>
    <w:lvl w:ilvl="0">
      <w:numFmt w:val="bullet"/>
      <w:suff w:val="tab"/>
      <w:lvlText w:val="·"/>
      <w:lvlJc w:val="left"/>
      <w:pPr>
        <w:ind w:left="0" w:hanging="0"/>
      </w:pPr>
      <w:rPr>
        <w:rFonts w:ascii="Symbol" w:hAnsi="Symbol"/>
        <w:sz w:val="18"/>
        <w:szCs w:val="18"/>
      </w:rPr>
    </w:lvl>
    <w:tmUseOutlineLevel val="0"/>
  </w:abstractNum>
  <w:abstractNum w:abstractNumId="272">
    <w:multiLevelType w:val="singleLevel"/>
    <w:name w:val="Bullet 272"/>
    <w:lvl w:ilvl="0">
      <w:numFmt w:val="bullet"/>
      <w:suff w:val="tab"/>
      <w:lvlText w:val=""/>
      <w:lvlJc w:val="left"/>
      <w:pPr>
        <w:ind w:left="0" w:hanging="0"/>
      </w:pPr>
      <w:rPr>
        <w:rFonts w:ascii="Wingdings" w:hAnsi="Wingdings"/>
        <w:color w:val="00998A"/>
        <w:sz w:val="18"/>
        <w:vertAlign w:val="baseline"/>
      </w:rPr>
    </w:lvl>
    <w:tmUseOutlineLevel val="0"/>
  </w:abstractNum>
  <w:abstractNum w:abstractNumId="273">
    <w:multiLevelType w:val="singleLevel"/>
    <w:name w:val="Bullet 273"/>
    <w:lvl w:ilvl="0">
      <w:numFmt w:val="bullet"/>
      <w:suff w:val="tab"/>
      <w:lvlText w:val=" "/>
      <w:lvlJc w:val="left"/>
      <w:pPr>
        <w:ind w:left="0" w:hanging="0"/>
      </w:pPr>
    </w:lvl>
    <w:tmUseOutlineLevel val="0"/>
  </w:abstractNum>
  <w:abstractNum w:abstractNumId="274">
    <w:multiLevelType w:val="singleLevel"/>
    <w:name w:val="Bullet 274"/>
    <w:lvl w:ilvl="0">
      <w:numFmt w:val="bullet"/>
      <w:suff w:val="tab"/>
      <w:lvlText w:val=""/>
      <w:lvlJc w:val="left"/>
      <w:pPr>
        <w:ind w:left="0" w:hanging="0"/>
      </w:pPr>
      <w:rPr>
        <w:rFonts w:ascii="Wingdings" w:hAnsi="Wingdings"/>
        <w:color w:val="717D87"/>
        <w:sz w:val="14"/>
      </w:rPr>
    </w:lvl>
    <w:tmUseOutlineLevel val="0"/>
  </w:abstractNum>
  <w:abstractNum w:abstractNumId="275">
    <w:multiLevelType w:val="singleLevel"/>
    <w:name w:val="Bullet 275"/>
    <w:lvl w:ilvl="0">
      <w:numFmt w:val="bullet"/>
      <w:suff w:val="tab"/>
      <w:lvlText w:val="·"/>
      <w:lvlJc w:val="left"/>
      <w:pPr>
        <w:ind w:left="0" w:hanging="0"/>
      </w:pPr>
      <w:rPr>
        <w:rFonts w:ascii="Symbol" w:hAnsi="Symbol"/>
        <w:sz w:val="24"/>
      </w:rPr>
    </w:lvl>
    <w:tmUseOutlineLevel val="0"/>
  </w:abstractNum>
  <w:abstractNum w:abstractNumId="276">
    <w:multiLevelType w:val="singleLevel"/>
    <w:name w:val="Bullet 276"/>
    <w:lvl w:ilvl="0">
      <w:start w:val="1"/>
      <w:numFmt w:val="decimal"/>
      <w:suff w:val="tab"/>
      <w:lvlText w:val="%1."/>
      <w:lvlJc w:val="left"/>
      <w:pPr>
        <w:ind w:left="0" w:hanging="0"/>
      </w:pPr>
    </w:lvl>
    <w:tmUseOutlineLevel val="0"/>
  </w:abstractNum>
  <w:abstractNum w:abstractNumId="277">
    <w:multiLevelType w:val="singleLevel"/>
    <w:name w:val="Bullet 277"/>
    <w:lvl w:ilvl="0">
      <w:start w:val="2"/>
      <w:numFmt w:val="decimal"/>
      <w:suff w:val="tab"/>
      <w:lvlText w:val="%1."/>
      <w:lvlJc w:val="left"/>
      <w:pPr>
        <w:ind w:left="0" w:hanging="0"/>
      </w:pPr>
    </w:lvl>
    <w:tmUseOutlineLevel val="0"/>
  </w:abstractNum>
  <w:abstractNum w:abstractNumId="278">
    <w:multiLevelType w:val="singleLevel"/>
    <w:name w:val="Bullet 278"/>
    <w:lvl w:ilvl="0">
      <w:start w:val="3"/>
      <w:numFmt w:val="decimal"/>
      <w:suff w:val="tab"/>
      <w:lvlText w:val="%1."/>
      <w:lvlJc w:val="left"/>
      <w:pPr>
        <w:ind w:left="0" w:hanging="0"/>
      </w:pPr>
    </w:lvl>
    <w:tmUseOutlineLevel val="0"/>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view w:val="print"/>
  <w:defaultTabStop w:val="708"/>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25601"/>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183"/>
    <w:tmReviewMarkIns w:val="4"/>
    <w:tmReviewColorIns w:val="-1"/>
    <w:tmReviewMarkDel w:val="7"/>
    <w:tmReviewColorDel w:val="-1"/>
    <w:tmReviewMarkFmt w:val="7"/>
    <w:tmReviewColorFmt w:val="-1"/>
    <w:tmReviewMarkLn w:val="1"/>
    <w:tmReviewColorLn w:val="0"/>
    <w:tmReviewToolTip w:val="1"/>
  </w:tmReviewPr>
  <w:tmLastPos>
    <w:tmLastPosPage w:val="23"/>
    <w:tmLastPosSelect w:val="0"/>
    <w:tmLastPosFrameIdx w:val="0"/>
    <w:tmLastPosCaret>
      <w:tmLastPosPgfIdx w:val="603"/>
      <w:tmLastPosIdx w:val="0"/>
    </w:tmLastPosCaret>
    <w:tmLastPosAnchor>
      <w:tmLastPosPgfIdx w:val="0"/>
      <w:tmLastPosIdx w:val="0"/>
    </w:tmLastPosAnchor>
    <w:tmLastPosTblRect w:left="0" w:top="0" w:right="0" w:bottom="0"/>
  </w:tmLastPos>
  <w:tmAppRevision w:date="1785596603" w:val="1500" w:fileVer="343" w:fileVer64="64" w:fileVerOS="1"/>
  <w:guidesAndGrid showGuides="1" lockGuides="0" snapToGuides="1" snapToPageMargins="0" snapToOtherObjects="1" tolerance="8" gridDistanceHorizontal="110" gridDistanceVertical="283" showGrid="0" snapToGrid="0"/>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ind w:hanging="9"/>
        <w:spacing w:after="100" w:line="240" w:lineRule="atLeast"/>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eastAsia="Tahoma" w:cs="Tahoma"/>
      <w:kern w:val="1"/>
      <w:sz w:val="18"/>
      <w:szCs w:val="18"/>
    </w:rPr>
  </w:style>
  <w:style w:type="paragraph" w:styleId="para1">
    <w:name w:val="heading 1"/>
    <w:qFormat/>
    <w:basedOn w:val="para0"/>
    <w:next w:val="para0"/>
    <w:pPr>
      <w:numPr>
        <w:ilvl w:val="0"/>
        <w:numId w:val="42"/>
      </w:numPr>
      <w:ind w:left="432" w:hanging="432"/>
      <w:spacing w:before="240" w:after="120"/>
      <w:jc w:val="left"/>
      <w:keepNext/>
      <w:outlineLvl w:val="0"/>
      <w:keepLines/>
      <w:tabs defTabSz="708">
        <w:tab w:val="left" w:pos="567" w:leader="none"/>
        <w:tab w:val="left" w:pos="709" w:leader="none"/>
      </w:tabs>
    </w:pPr>
    <w:rPr>
      <w:color w:val="00998A"/>
      <w:sz w:val="26"/>
      <w:szCs w:val="26"/>
    </w:rPr>
  </w:style>
  <w:style w:type="paragraph" w:styleId="para2">
    <w:name w:val="heading 2"/>
    <w:qFormat/>
    <w:basedOn w:val="para0"/>
    <w:next w:val="para0"/>
    <w:pPr>
      <w:numPr>
        <w:ilvl w:val="1"/>
        <w:numId w:val="42"/>
      </w:numPr>
      <w:ind w:left="578" w:hanging="578"/>
      <w:spacing w:before="240" w:after="120" w:line="240" w:lineRule="auto"/>
      <w:contextualSpacing/>
      <w:jc w:val="left"/>
      <w:keepNext/>
      <w:outlineLvl w:val="1"/>
      <w:keepLines/>
      <w:widowControl w:val="0"/>
    </w:pPr>
    <w:rPr>
      <w:color w:val="00998A"/>
      <w:sz w:val="24"/>
      <w:szCs w:val="24"/>
    </w:rPr>
  </w:style>
  <w:style w:type="paragraph" w:styleId="para3">
    <w:name w:val="heading 3"/>
    <w:qFormat/>
    <w:basedOn w:val="para0"/>
    <w:next w:val="para0"/>
    <w:pPr>
      <w:numPr>
        <w:ilvl w:val="2"/>
        <w:numId w:val="42"/>
      </w:numPr>
      <w:ind w:left="737" w:hanging="737"/>
      <w:spacing w:before="240" w:after="120"/>
      <w:jc w:val="left"/>
      <w:outlineLvl w:val="2"/>
    </w:pPr>
    <w:rPr>
      <w:color w:val="00998A"/>
      <w:sz w:val="22"/>
      <w:szCs w:val="22"/>
      <w:lang w:eastAsia="de-de" w:bidi="de-de"/>
    </w:rPr>
  </w:style>
  <w:style w:type="paragraph" w:styleId="para4">
    <w:name w:val="heading 4"/>
    <w:qFormat/>
    <w:basedOn w:val="para0"/>
    <w:next w:val="para0"/>
    <w:pPr>
      <w:numPr>
        <w:ilvl w:val="3"/>
        <w:numId w:val="42"/>
      </w:numPr>
      <w:ind w:left="864" w:hanging="864"/>
      <w:spacing w:before="200" w:after="120"/>
      <w:jc w:val="left"/>
      <w:keepNext/>
      <w:outlineLvl w:val="3"/>
      <w:keepLines/>
    </w:pPr>
    <w:rPr>
      <w:color w:val="00998A"/>
      <w:sz w:val="20"/>
      <w:szCs w:val="20"/>
    </w:rPr>
  </w:style>
  <w:style w:type="paragraph" w:styleId="para5">
    <w:name w:val="heading 5"/>
    <w:qFormat/>
    <w:basedOn w:val="para0"/>
    <w:next w:val="para0"/>
    <w:pPr>
      <w:numPr>
        <w:ilvl w:val="4"/>
        <w:numId w:val="42"/>
      </w:numPr>
      <w:ind w:left="1009" w:hanging="1009"/>
      <w:spacing w:before="200" w:after="120"/>
      <w:jc w:val="left"/>
      <w:keepNext/>
      <w:outlineLvl w:val="4"/>
      <w:keepLines/>
    </w:pPr>
    <w:rPr>
      <w:color w:val="00998A"/>
    </w:rPr>
  </w:style>
  <w:style w:type="paragraph" w:styleId="para6">
    <w:name w:val="heading 6"/>
    <w:qFormat/>
    <w:basedOn w:val="para0"/>
    <w:next w:val="para0"/>
    <w:pPr>
      <w:numPr>
        <w:ilvl w:val="5"/>
        <w:numId w:val="42"/>
      </w:numPr>
      <w:ind w:left="1152" w:hanging="1152"/>
      <w:spacing w:before="200" w:after="0"/>
      <w:keepNext/>
      <w:outlineLvl w:val="5"/>
      <w:keepLines/>
    </w:pPr>
    <w:rPr>
      <w:i/>
      <w:iCs/>
      <w:color w:val="25B6DA"/>
    </w:rPr>
  </w:style>
  <w:style w:type="paragraph" w:styleId="para7">
    <w:name w:val="heading 7"/>
    <w:qFormat/>
    <w:basedOn w:val="para0"/>
    <w:next w:val="para0"/>
    <w:pPr>
      <w:numPr>
        <w:ilvl w:val="6"/>
        <w:numId w:val="42"/>
      </w:numPr>
      <w:ind w:left="1296" w:hanging="1296"/>
      <w:spacing w:before="200" w:after="0"/>
      <w:keepNext/>
      <w:outlineLvl w:val="6"/>
      <w:keepLines/>
    </w:pPr>
    <w:rPr>
      <w:i/>
      <w:iCs/>
      <w:color w:val="EBF3E0"/>
    </w:rPr>
  </w:style>
  <w:style w:type="paragraph" w:styleId="para8">
    <w:name w:val="heading 8"/>
    <w:qFormat/>
    <w:basedOn w:val="para0"/>
    <w:next w:val="para0"/>
    <w:pPr>
      <w:numPr>
        <w:ilvl w:val="7"/>
        <w:numId w:val="42"/>
      </w:numPr>
      <w:ind w:left="1440" w:hanging="1440"/>
      <w:spacing w:before="200" w:after="0"/>
      <w:keepNext/>
      <w:outlineLvl w:val="7"/>
      <w:keepLines/>
    </w:pPr>
    <w:rPr>
      <w:color w:val="EBF3E0"/>
      <w:sz w:val="20"/>
      <w:szCs w:val="20"/>
    </w:rPr>
  </w:style>
  <w:style w:type="paragraph" w:styleId="para9">
    <w:name w:val="heading 9"/>
    <w:qFormat/>
    <w:basedOn w:val="para0"/>
    <w:next w:val="para0"/>
    <w:pPr>
      <w:numPr>
        <w:ilvl w:val="8"/>
        <w:numId w:val="42"/>
      </w:numPr>
      <w:ind w:left="1584" w:hanging="1584"/>
      <w:spacing w:before="200" w:after="0"/>
      <w:keepNext/>
      <w:outlineLvl w:val="8"/>
      <w:keepLines/>
    </w:pPr>
    <w:rPr>
      <w:i/>
      <w:iCs/>
      <w:color w:val="EBF3E0"/>
      <w:sz w:val="20"/>
      <w:szCs w:val="20"/>
    </w:rPr>
  </w:style>
  <w:style w:type="paragraph" w:styleId="para10">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1">
    <w:name w:val="Header"/>
    <w:qFormat/>
    <w:basedOn w:val="para0"/>
    <w:pPr>
      <w:spacing w:after="0" w:line="240" w:lineRule="auto"/>
      <w:tabs defTabSz="708">
        <w:tab w:val="center" w:pos="4536" w:leader="none"/>
        <w:tab w:val="right" w:pos="9072" w:leader="none"/>
      </w:tabs>
    </w:pPr>
  </w:style>
  <w:style w:type="paragraph" w:styleId="para12">
    <w:name w:val="Footer"/>
    <w:qFormat/>
    <w:basedOn w:val="para0"/>
    <w:pPr>
      <w:spacing w:after="0" w:line="240" w:lineRule="auto"/>
      <w:tabs defTabSz="708">
        <w:tab w:val="center" w:pos="4536" w:leader="none"/>
        <w:tab w:val="right" w:pos="9072" w:leader="none"/>
      </w:tabs>
    </w:pPr>
  </w:style>
  <w:style w:type="paragraph" w:styleId="para13" w:customStyle="1">
    <w:name w:val="u_Kopfzeile"/>
    <w:qFormat/>
    <w:basedOn w:val="para11"/>
    <w:pPr>
      <w:ind w:right="-4708"/>
      <w:spacing/>
      <w:jc w:val="right"/>
    </w:pPr>
    <w:rPr>
      <w:color w:val="717D87"/>
    </w:rPr>
  </w:style>
  <w:style w:type="paragraph" w:styleId="para14" w:customStyle="1">
    <w:name w:val="u_Fußzeile"/>
    <w:qFormat/>
    <w:basedOn w:val="para0"/>
    <w:pPr>
      <w:spacing/>
      <w:jc w:val="right"/>
    </w:pPr>
    <w:rPr>
      <w:color w:val="717D87"/>
      <w:sz w:val="20"/>
    </w:rPr>
  </w:style>
  <w:style w:type="paragraph" w:styleId="para15" w:customStyle="1">
    <w:name w:val="G_Kopfzeile"/>
    <w:qFormat/>
    <w:basedOn w:val="para11"/>
    <w:pPr>
      <w:ind w:left="-4962" w:firstLine="426"/>
    </w:pPr>
    <w:rPr>
      <w:color w:val="717D87"/>
    </w:rPr>
  </w:style>
  <w:style w:type="paragraph" w:styleId="para16" w:customStyle="1">
    <w:name w:val="U_Fußzeile"/>
    <w:qFormat/>
    <w:basedOn w:val="para0"/>
    <w:pPr>
      <w:spacing/>
      <w:jc w:val="left"/>
    </w:pPr>
    <w:rPr>
      <w:color w:val="717D87"/>
    </w:rPr>
  </w:style>
  <w:style w:type="paragraph" w:styleId="para17" w:customStyle="1">
    <w:name w:val="Randbereich"/>
    <w:qFormat/>
    <w:basedOn w:val="para0"/>
    <w:pPr>
      <w:spacing/>
      <w:jc w:val="right"/>
    </w:pPr>
    <w:rPr>
      <w:sz w:val="20"/>
    </w:rPr>
  </w:style>
  <w:style w:type="paragraph" w:styleId="para18" w:customStyle="1">
    <w:name w:val="Zitate"/>
    <w:qFormat/>
    <w:basedOn w:val="para0"/>
    <w:pPr>
      <w:ind w:left="737"/>
    </w:pPr>
    <w:rPr>
      <w:i/>
    </w:rPr>
  </w:style>
  <w:style w:type="paragraph" w:styleId="para19" w:customStyle="1">
    <w:name w:val="Regel"/>
    <w:qFormat/>
    <w:basedOn w:val="para0"/>
    <w:pPr>
      <w:pBdr>
        <w:top w:val="single" w:sz="8" w:space="1" w:color="AECF7C" tmln="20, 20, 20, 0, 20"/>
        <w:left w:val="single" w:sz="8" w:space="4" w:color="AECF7C" tmln="20, 20, 20, 0, 80"/>
        <w:bottom w:val="single" w:sz="8" w:space="1" w:color="AECF7C" tmln="20, 20, 20, 0, 20"/>
        <w:right w:val="single" w:sz="8" w:space="4" w:color="AECF7C" tmln="20, 20, 20, 0, 80"/>
        <w:between w:val="nil" w:sz="0" w:space="0" w:color="000000" tmln="20, 20, 20, 0, 0"/>
      </w:pBdr>
      <w:shd w:val="none"/>
    </w:pPr>
  </w:style>
  <w:style w:type="paragraph" w:styleId="para20" w:customStyle="1">
    <w:name w:val="Default"/>
    <w:qFormat/>
    <w:pPr>
      <w:ind w:firstLine="0"/>
      <w:spacing w:after="0" w:line="240" w:lineRule="auto"/>
      <w:contextualSpacing/>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Arial" w:cs="Times New Roman"/>
      <w:color w:val="000000"/>
      <w:sz w:val="24"/>
      <w:szCs w:val="24"/>
      <w:lang w:val="de-de" w:eastAsia="zh-cn" w:bidi="ar-sa"/>
    </w:rPr>
  </w:style>
  <w:style w:type="paragraph" w:styleId="para21" w:customStyle="1">
    <w:name w:val="Literatur"/>
    <w:qFormat/>
    <w:basedOn w:val="para0"/>
    <w:pPr>
      <w:ind w:left="851" w:hanging="851"/>
      <w:spacing w:before="240" w:after="120" w:line="240" w:lineRule="auto"/>
    </w:pPr>
    <w:rPr>
      <w:lang w:val="en-us"/>
    </w:rPr>
  </w:style>
  <w:style w:type="paragraph" w:styleId="para22">
    <w:name w:val="toc 2"/>
    <w:qFormat/>
    <w:basedOn w:val="para0"/>
    <w:next w:val="para0"/>
    <w:pPr>
      <w:ind w:left="426"/>
      <w:spacing w:after="60"/>
      <w:contextualSpacing/>
      <w:tabs defTabSz="708">
        <w:tab w:val="left" w:pos="907" w:leader="none"/>
        <w:tab w:val="right" w:pos="9056" w:leader="dot"/>
      </w:tabs>
    </w:pPr>
    <w:rPr>
      <w:rFonts w:eastAsia="Cambria" w:cs="Basic Roman"/>
      <w:szCs w:val="24"/>
    </w:rPr>
  </w:style>
  <w:style w:type="paragraph" w:styleId="para23">
    <w:name w:val="toc 1"/>
    <w:qFormat/>
    <w:basedOn w:val="para0"/>
    <w:next w:val="para0"/>
    <w:pPr>
      <w:spacing w:after="60"/>
      <w:jc w:val="left"/>
      <w:tabs defTabSz="708">
        <w:tab w:val="left" w:pos="340" w:leader="none"/>
        <w:tab w:val="right" w:pos="9072" w:leader="dot"/>
      </w:tabs>
    </w:pPr>
    <w:rPr>
      <w:rFonts w:eastAsia="Times New Roman"/>
      <w:color w:val="000000"/>
    </w:rPr>
  </w:style>
  <w:style w:type="paragraph" w:styleId="para24">
    <w:name w:val="toc 3"/>
    <w:qFormat/>
    <w:basedOn w:val="para0"/>
    <w:next w:val="para0"/>
    <w:pPr>
      <w:ind w:left="964"/>
      <w:spacing w:after="80"/>
      <w:contextualSpacing/>
      <w:tabs defTabSz="708">
        <w:tab w:val="left" w:pos="1701" w:leader="none"/>
        <w:tab w:val="right" w:pos="9056" w:leader="dot"/>
      </w:tabs>
    </w:pPr>
    <w:rPr>
      <w:rFonts w:eastAsia="Cambria" w:cs="Basic Roman"/>
      <w:szCs w:val="24"/>
    </w:rPr>
  </w:style>
  <w:style w:type="paragraph" w:styleId="para25">
    <w:name w:val="toc 4"/>
    <w:qFormat/>
    <w:basedOn w:val="para0"/>
    <w:next w:val="para0"/>
    <w:pPr>
      <w:ind w:left="1757"/>
      <w:spacing w:after="80"/>
      <w:contextualSpacing/>
      <w:tabs defTabSz="708">
        <w:tab w:val="left" w:pos="2608" w:leader="none"/>
        <w:tab w:val="right" w:pos="9056" w:leader="dot"/>
      </w:tabs>
    </w:pPr>
    <w:rPr>
      <w:rFonts w:eastAsia="Cambria" w:cs="Basic Roman"/>
      <w:szCs w:val="24"/>
    </w:rPr>
  </w:style>
  <w:style w:type="paragraph" w:styleId="para26">
    <w:name w:val="toc 5"/>
    <w:qFormat/>
    <w:basedOn w:val="para0"/>
    <w:next w:val="para0"/>
    <w:pPr>
      <w:ind w:left="2665"/>
      <w:spacing w:after="80"/>
      <w:contextualSpacing/>
      <w:tabs defTabSz="708">
        <w:tab w:val="left" w:pos="3572" w:leader="none"/>
        <w:tab w:val="right" w:pos="9066" w:leader="dot"/>
      </w:tabs>
    </w:pPr>
    <w:rPr>
      <w:rFonts w:eastAsia="Cambria" w:cs="Basic Roman"/>
      <w:szCs w:val="24"/>
    </w:rPr>
  </w:style>
  <w:style w:type="paragraph" w:styleId="para27">
    <w:name w:val="Footnote Text"/>
    <w:qFormat/>
    <w:basedOn w:val="para0"/>
    <w:pPr>
      <w:spacing w:after="0" w:line="240" w:lineRule="auto"/>
    </w:pPr>
    <w:rPr>
      <w:sz w:val="24"/>
      <w:szCs w:val="24"/>
    </w:rPr>
  </w:style>
  <w:style w:type="paragraph" w:styleId="para28">
    <w:name w:val="toc 6"/>
    <w:qFormat/>
    <w:basedOn w:val="para0"/>
    <w:next w:val="para0"/>
    <w:pPr>
      <w:ind w:left="900"/>
      <w:spacing w:after="120"/>
    </w:pPr>
    <w:rPr>
      <w:rFonts w:eastAsia="Cambria" w:cs="Basic Roman"/>
      <w:szCs w:val="24"/>
    </w:rPr>
  </w:style>
  <w:style w:type="paragraph" w:styleId="para29">
    <w:name w:val="toc 7"/>
    <w:qFormat/>
    <w:basedOn w:val="para0"/>
    <w:next w:val="para0"/>
    <w:pPr>
      <w:ind w:left="1080"/>
      <w:spacing w:after="120"/>
    </w:pPr>
    <w:rPr>
      <w:rFonts w:eastAsia="Cambria" w:cs="Basic Roman"/>
      <w:szCs w:val="24"/>
    </w:rPr>
  </w:style>
  <w:style w:type="paragraph" w:styleId="para30">
    <w:name w:val="toc 8"/>
    <w:qFormat/>
    <w:basedOn w:val="para0"/>
    <w:next w:val="para0"/>
    <w:pPr>
      <w:ind w:left="1260"/>
      <w:spacing w:after="120"/>
    </w:pPr>
    <w:rPr>
      <w:rFonts w:eastAsia="Cambria" w:cs="Basic Roman"/>
      <w:szCs w:val="24"/>
    </w:rPr>
  </w:style>
  <w:style w:type="paragraph" w:styleId="para31">
    <w:name w:val="toc 9"/>
    <w:qFormat/>
    <w:basedOn w:val="para0"/>
    <w:next w:val="para0"/>
    <w:pPr>
      <w:ind w:left="1440"/>
      <w:spacing w:after="120"/>
    </w:pPr>
    <w:rPr>
      <w:rFonts w:eastAsia="Cambria" w:cs="Basic Roman"/>
      <w:szCs w:val="24"/>
    </w:rPr>
  </w:style>
  <w:style w:type="paragraph" w:styleId="para32">
    <w:name w:val="Plain Text"/>
    <w:qFormat/>
    <w:basedOn w:val="para0"/>
    <w:pPr>
      <w:spacing w:after="0" w:line="240" w:lineRule="auto"/>
      <w:jc w:val="left"/>
    </w:pPr>
    <w:rPr>
      <w:rFonts w:ascii="Courier New" w:hAnsi="Courier New" w:eastAsia="Times New Roman" w:cs="Courier New"/>
      <w:sz w:val="20"/>
      <w:szCs w:val="20"/>
    </w:rPr>
  </w:style>
  <w:style w:type="paragraph" w:styleId="para33" w:customStyle="1">
    <w:name w:val="Bullet"/>
    <w:qFormat/>
    <w:basedOn w:val="para0"/>
    <w:pPr>
      <w:numPr>
        <w:ilvl w:val="0"/>
        <w:numId w:val="57"/>
      </w:numPr>
      <w:ind w:left="510" w:hanging="360"/>
      <w:spacing/>
      <w:jc w:val="left"/>
    </w:pPr>
  </w:style>
  <w:style w:type="paragraph" w:styleId="para34" w:customStyle="1">
    <w:name w:val="Bullet 2 pt"/>
    <w:qFormat/>
    <w:basedOn w:val="para0"/>
    <w:pPr>
      <w:numPr>
        <w:ilvl w:val="0"/>
        <w:numId w:val="58"/>
      </w:numPr>
      <w:ind w:left="397" w:hanging="284"/>
      <w:spacing w:after="40"/>
      <w:jc w:val="left"/>
    </w:pPr>
    <w:rPr>
      <w:color w:val="000000"/>
    </w:rPr>
  </w:style>
  <w:style w:type="paragraph" w:styleId="para35" w:customStyle="1">
    <w:name w:val="Bullet 2 pt 2. Ebene"/>
    <w:qFormat/>
    <w:basedOn w:val="para34"/>
    <w:pPr>
      <w:ind w:left="850" w:hanging="360"/>
      <w:spacing/>
      <w:jc w:val="both"/>
    </w:pPr>
    <w:rPr>
      <w:color w:val="auto"/>
    </w:rPr>
  </w:style>
  <w:style w:type="paragraph" w:styleId="para36" w:customStyle="1">
    <w:name w:val="Bullet 5 pt Block"/>
    <w:qFormat/>
    <w:basedOn w:val="para0"/>
    <w:pPr>
      <w:numPr>
        <w:ilvl w:val="0"/>
        <w:numId w:val="58"/>
      </w:numPr>
      <w:ind w:left="454" w:hanging="284"/>
      <w:spacing w:line="288" w:lineRule="auto"/>
      <w:contextualSpacing/>
      <w:jc w:val="left"/>
    </w:pPr>
    <w:rPr>
      <w:color w:val="000000"/>
    </w:rPr>
  </w:style>
  <w:style w:type="paragraph" w:styleId="para37" w:customStyle="1">
    <w:name w:val="Bullet 5 pt 2. Ebene"/>
    <w:qFormat/>
    <w:basedOn w:val="para36"/>
    <w:pPr>
      <w:ind w:left="850" w:hanging="360"/>
      <w:spacing/>
      <w:jc w:val="both"/>
    </w:pPr>
    <w:rPr>
      <w:color w:val="auto"/>
    </w:rPr>
  </w:style>
  <w:style w:type="paragraph" w:styleId="para38" w:customStyle="1">
    <w:name w:val="Bullet 5 pt 2. Ebene kursiv"/>
    <w:qFormat/>
    <w:basedOn w:val="para37"/>
    <w:pPr>
      <w:numPr>
        <w:ilvl w:val="0"/>
        <w:numId w:val="122"/>
      </w:numPr>
      <w:ind w:left="794" w:hanging="360"/>
      <w:spacing/>
      <w:jc w:val="left"/>
    </w:pPr>
    <w:rPr>
      <w:i/>
      <w:iCs/>
    </w:rPr>
  </w:style>
  <w:style w:type="paragraph" w:styleId="para39">
    <w:name w:val="List Paragraph"/>
    <w:qFormat/>
    <w:basedOn w:val="para0"/>
    <w:pPr>
      <w:ind w:left="720"/>
    </w:pPr>
  </w:style>
  <w:style w:type="paragraph" w:styleId="para40" w:customStyle="1">
    <w:name w:val="Bullet 5 pt"/>
    <w:qFormat/>
    <w:basedOn w:val="para33"/>
    <w:pPr>
      <w:numPr>
        <w:ilvl w:val="0"/>
        <w:numId w:val="58"/>
      </w:numPr>
      <w:ind w:left="454" w:hanging="284"/>
    </w:pPr>
    <w:rPr>
      <w:color w:val="000000"/>
    </w:rPr>
  </w:style>
  <w:style w:type="paragraph" w:styleId="para41"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42" w:customStyle="1">
    <w:name w:val="Bullet mit 5 Punkt Abstand"/>
    <w:qFormat/>
    <w:basedOn w:val="para33"/>
    <w:pPr>
      <w:numPr>
        <w:ilvl w:val="0"/>
        <w:numId w:val="60"/>
      </w:numPr>
      <w:ind w:left="340" w:hanging="227"/>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3">
    <w:name w:val="Body Text"/>
    <w:qFormat/>
    <w:basedOn w:val="para0"/>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Cambria" w:cs="Basic Roman"/>
      <w:szCs w:val="24"/>
    </w:rPr>
  </w:style>
  <w:style w:type="paragraph" w:styleId="para44" w:customStyle="1">
    <w:name w:val="Bullet Absatz 5pt"/>
    <w:qFormat/>
    <w:basedOn w:val="para33"/>
    <w:pPr>
      <w:numPr>
        <w:ilvl w:val="0"/>
        <w:numId w:val="60"/>
      </w:numPr>
      <w:ind w:left="340" w:hanging="227"/>
      <w:spacing w:after="120"/>
      <w:contextualSpacing/>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5" w:customStyle="1">
    <w:name w:val="tm5"/>
    <w:qFormat/>
    <w:basedOn w:val="para0"/>
    <w:next w:val="para0"/>
    <w:pPr>
      <w:ind w:firstLine="0"/>
      <w:spacing w:after="120"/>
      <w:widowControl w:val="0"/>
    </w:pPr>
    <w:rPr>
      <w:rFonts w:ascii="Basic Roman" w:hAnsi="Basic Roman" w:eastAsia="Basic Roman" w:cs="Basic Roman"/>
      <w:sz w:val="20"/>
      <w:szCs w:val="20"/>
    </w:rPr>
  </w:style>
  <w:style w:type="paragraph" w:styleId="para46" w:customStyle="1">
    <w:name w:val="Bullet 5 pt rot"/>
    <w:qFormat/>
    <w:basedOn w:val="para33"/>
    <w:pPr>
      <w:numPr>
        <w:ilvl w:val="0"/>
        <w:numId w:val="255"/>
      </w:numPr>
      <w:ind w:left="643" w:hanging="360"/>
      <w:spacing w:line="288"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Arial" w:cs="Arial"/>
      <w:color w:val="000000"/>
      <w:sz w:val="22"/>
      <w:szCs w:val="22"/>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Tahoma" w:hAnsi="Tahoma" w:cs="Tahoma"/>
      <w:b w:val="0"/>
      <w:color w:val="00998A"/>
      <w:sz w:val="22"/>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25B6DA"/>
    </w:rPr>
  </w:style>
  <w:style w:type="character" w:styleId="char8" w:customStyle="1">
    <w:name w:val="Überschrift 7 Zeichen"/>
    <w:basedOn w:val="char0"/>
    <w:rPr>
      <w:rFonts w:ascii="Arial" w:hAnsi="Arial" w:eastAsia="Arial"/>
      <w:i/>
      <w:iCs/>
      <w:color w:val="EBF3E0"/>
    </w:rPr>
  </w:style>
  <w:style w:type="character" w:styleId="char9" w:customStyle="1">
    <w:name w:val="Überschrift 8 Zeichen"/>
    <w:basedOn w:val="char0"/>
    <w:rPr>
      <w:rFonts w:ascii="Arial" w:hAnsi="Arial" w:eastAsia="Arial"/>
      <w:color w:val="EBF3E0"/>
      <w:sz w:val="20"/>
      <w:szCs w:val="20"/>
    </w:rPr>
  </w:style>
  <w:style w:type="character" w:styleId="char10" w:customStyle="1">
    <w:name w:val="Überschrift 9 Zeichen"/>
    <w:basedOn w:val="char0"/>
    <w:rPr>
      <w:rFonts w:ascii="Arial" w:hAnsi="Arial" w:eastAsia="Arial"/>
      <w:i/>
      <w:iCs/>
      <w:color w:val="EBF3E0"/>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fill="DBDEE1" w:val="clear"/>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ind w:hanging="9"/>
        <w:spacing w:after="100" w:line="240" w:lineRule="atLeast"/>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eastAsia="Tahoma" w:cs="Tahoma"/>
      <w:kern w:val="1"/>
      <w:sz w:val="18"/>
      <w:szCs w:val="18"/>
    </w:rPr>
  </w:style>
  <w:style w:type="paragraph" w:styleId="para1">
    <w:name w:val="heading 1"/>
    <w:qFormat/>
    <w:basedOn w:val="para0"/>
    <w:next w:val="para0"/>
    <w:pPr>
      <w:numPr>
        <w:ilvl w:val="0"/>
        <w:numId w:val="42"/>
      </w:numPr>
      <w:ind w:left="432" w:hanging="432"/>
      <w:spacing w:before="240" w:after="120"/>
      <w:jc w:val="left"/>
      <w:keepNext/>
      <w:outlineLvl w:val="0"/>
      <w:keepLines/>
      <w:tabs defTabSz="708">
        <w:tab w:val="left" w:pos="567" w:leader="none"/>
        <w:tab w:val="left" w:pos="709" w:leader="none"/>
      </w:tabs>
    </w:pPr>
    <w:rPr>
      <w:color w:val="00998A"/>
      <w:sz w:val="26"/>
      <w:szCs w:val="26"/>
    </w:rPr>
  </w:style>
  <w:style w:type="paragraph" w:styleId="para2">
    <w:name w:val="heading 2"/>
    <w:qFormat/>
    <w:basedOn w:val="para0"/>
    <w:next w:val="para0"/>
    <w:pPr>
      <w:numPr>
        <w:ilvl w:val="1"/>
        <w:numId w:val="42"/>
      </w:numPr>
      <w:ind w:left="578" w:hanging="578"/>
      <w:spacing w:before="240" w:after="120" w:line="240" w:lineRule="auto"/>
      <w:contextualSpacing/>
      <w:jc w:val="left"/>
      <w:keepNext/>
      <w:outlineLvl w:val="1"/>
      <w:keepLines/>
      <w:widowControl w:val="0"/>
    </w:pPr>
    <w:rPr>
      <w:color w:val="00998A"/>
      <w:sz w:val="24"/>
      <w:szCs w:val="24"/>
    </w:rPr>
  </w:style>
  <w:style w:type="paragraph" w:styleId="para3">
    <w:name w:val="heading 3"/>
    <w:qFormat/>
    <w:basedOn w:val="para0"/>
    <w:next w:val="para0"/>
    <w:pPr>
      <w:numPr>
        <w:ilvl w:val="2"/>
        <w:numId w:val="42"/>
      </w:numPr>
      <w:ind w:left="737" w:hanging="737"/>
      <w:spacing w:before="240" w:after="120"/>
      <w:jc w:val="left"/>
      <w:outlineLvl w:val="2"/>
    </w:pPr>
    <w:rPr>
      <w:color w:val="00998A"/>
      <w:sz w:val="22"/>
      <w:szCs w:val="22"/>
      <w:lang w:eastAsia="de-de" w:bidi="de-de"/>
    </w:rPr>
  </w:style>
  <w:style w:type="paragraph" w:styleId="para4">
    <w:name w:val="heading 4"/>
    <w:qFormat/>
    <w:basedOn w:val="para0"/>
    <w:next w:val="para0"/>
    <w:pPr>
      <w:numPr>
        <w:ilvl w:val="3"/>
        <w:numId w:val="42"/>
      </w:numPr>
      <w:ind w:left="864" w:hanging="864"/>
      <w:spacing w:before="200" w:after="120"/>
      <w:jc w:val="left"/>
      <w:keepNext/>
      <w:outlineLvl w:val="3"/>
      <w:keepLines/>
    </w:pPr>
    <w:rPr>
      <w:color w:val="00998A"/>
      <w:sz w:val="20"/>
      <w:szCs w:val="20"/>
    </w:rPr>
  </w:style>
  <w:style w:type="paragraph" w:styleId="para5">
    <w:name w:val="heading 5"/>
    <w:qFormat/>
    <w:basedOn w:val="para0"/>
    <w:next w:val="para0"/>
    <w:pPr>
      <w:numPr>
        <w:ilvl w:val="4"/>
        <w:numId w:val="42"/>
      </w:numPr>
      <w:ind w:left="1009" w:hanging="1009"/>
      <w:spacing w:before="200" w:after="120"/>
      <w:jc w:val="left"/>
      <w:keepNext/>
      <w:outlineLvl w:val="4"/>
      <w:keepLines/>
    </w:pPr>
    <w:rPr>
      <w:color w:val="00998A"/>
    </w:rPr>
  </w:style>
  <w:style w:type="paragraph" w:styleId="para6">
    <w:name w:val="heading 6"/>
    <w:qFormat/>
    <w:basedOn w:val="para0"/>
    <w:next w:val="para0"/>
    <w:pPr>
      <w:numPr>
        <w:ilvl w:val="5"/>
        <w:numId w:val="42"/>
      </w:numPr>
      <w:ind w:left="1152" w:hanging="1152"/>
      <w:spacing w:before="200" w:after="0"/>
      <w:keepNext/>
      <w:outlineLvl w:val="5"/>
      <w:keepLines/>
    </w:pPr>
    <w:rPr>
      <w:i/>
      <w:iCs/>
      <w:color w:val="25B6DA"/>
    </w:rPr>
  </w:style>
  <w:style w:type="paragraph" w:styleId="para7">
    <w:name w:val="heading 7"/>
    <w:qFormat/>
    <w:basedOn w:val="para0"/>
    <w:next w:val="para0"/>
    <w:pPr>
      <w:numPr>
        <w:ilvl w:val="6"/>
        <w:numId w:val="42"/>
      </w:numPr>
      <w:ind w:left="1296" w:hanging="1296"/>
      <w:spacing w:before="200" w:after="0"/>
      <w:keepNext/>
      <w:outlineLvl w:val="6"/>
      <w:keepLines/>
    </w:pPr>
    <w:rPr>
      <w:i/>
      <w:iCs/>
      <w:color w:val="EBF3E0"/>
    </w:rPr>
  </w:style>
  <w:style w:type="paragraph" w:styleId="para8">
    <w:name w:val="heading 8"/>
    <w:qFormat/>
    <w:basedOn w:val="para0"/>
    <w:next w:val="para0"/>
    <w:pPr>
      <w:numPr>
        <w:ilvl w:val="7"/>
        <w:numId w:val="42"/>
      </w:numPr>
      <w:ind w:left="1440" w:hanging="1440"/>
      <w:spacing w:before="200" w:after="0"/>
      <w:keepNext/>
      <w:outlineLvl w:val="7"/>
      <w:keepLines/>
    </w:pPr>
    <w:rPr>
      <w:color w:val="EBF3E0"/>
      <w:sz w:val="20"/>
      <w:szCs w:val="20"/>
    </w:rPr>
  </w:style>
  <w:style w:type="paragraph" w:styleId="para9">
    <w:name w:val="heading 9"/>
    <w:qFormat/>
    <w:basedOn w:val="para0"/>
    <w:next w:val="para0"/>
    <w:pPr>
      <w:numPr>
        <w:ilvl w:val="8"/>
        <w:numId w:val="42"/>
      </w:numPr>
      <w:ind w:left="1584" w:hanging="1584"/>
      <w:spacing w:before="200" w:after="0"/>
      <w:keepNext/>
      <w:outlineLvl w:val="8"/>
      <w:keepLines/>
    </w:pPr>
    <w:rPr>
      <w:i/>
      <w:iCs/>
      <w:color w:val="EBF3E0"/>
      <w:sz w:val="20"/>
      <w:szCs w:val="20"/>
    </w:rPr>
  </w:style>
  <w:style w:type="paragraph" w:styleId="para10">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1">
    <w:name w:val="Header"/>
    <w:qFormat/>
    <w:basedOn w:val="para0"/>
    <w:pPr>
      <w:spacing w:after="0" w:line="240" w:lineRule="auto"/>
      <w:tabs defTabSz="708">
        <w:tab w:val="center" w:pos="4536" w:leader="none"/>
        <w:tab w:val="right" w:pos="9072" w:leader="none"/>
      </w:tabs>
    </w:pPr>
  </w:style>
  <w:style w:type="paragraph" w:styleId="para12">
    <w:name w:val="Footer"/>
    <w:qFormat/>
    <w:basedOn w:val="para0"/>
    <w:pPr>
      <w:spacing w:after="0" w:line="240" w:lineRule="auto"/>
      <w:tabs defTabSz="708">
        <w:tab w:val="center" w:pos="4536" w:leader="none"/>
        <w:tab w:val="right" w:pos="9072" w:leader="none"/>
      </w:tabs>
    </w:pPr>
  </w:style>
  <w:style w:type="paragraph" w:styleId="para13" w:customStyle="1">
    <w:name w:val="u_Kopfzeile"/>
    <w:qFormat/>
    <w:basedOn w:val="para11"/>
    <w:pPr>
      <w:ind w:right="-4708"/>
      <w:spacing/>
      <w:jc w:val="right"/>
    </w:pPr>
    <w:rPr>
      <w:color w:val="717D87"/>
    </w:rPr>
  </w:style>
  <w:style w:type="paragraph" w:styleId="para14" w:customStyle="1">
    <w:name w:val="u_Fußzeile"/>
    <w:qFormat/>
    <w:basedOn w:val="para0"/>
    <w:pPr>
      <w:spacing/>
      <w:jc w:val="right"/>
    </w:pPr>
    <w:rPr>
      <w:color w:val="717D87"/>
      <w:sz w:val="20"/>
    </w:rPr>
  </w:style>
  <w:style w:type="paragraph" w:styleId="para15" w:customStyle="1">
    <w:name w:val="G_Kopfzeile"/>
    <w:qFormat/>
    <w:basedOn w:val="para11"/>
    <w:pPr>
      <w:ind w:left="-4962" w:firstLine="426"/>
    </w:pPr>
    <w:rPr>
      <w:color w:val="717D87"/>
    </w:rPr>
  </w:style>
  <w:style w:type="paragraph" w:styleId="para16" w:customStyle="1">
    <w:name w:val="U_Fußzeile"/>
    <w:qFormat/>
    <w:basedOn w:val="para0"/>
    <w:pPr>
      <w:spacing/>
      <w:jc w:val="left"/>
    </w:pPr>
    <w:rPr>
      <w:color w:val="717D87"/>
    </w:rPr>
  </w:style>
  <w:style w:type="paragraph" w:styleId="para17" w:customStyle="1">
    <w:name w:val="Randbereich"/>
    <w:qFormat/>
    <w:basedOn w:val="para0"/>
    <w:pPr>
      <w:spacing/>
      <w:jc w:val="right"/>
    </w:pPr>
    <w:rPr>
      <w:sz w:val="20"/>
    </w:rPr>
  </w:style>
  <w:style w:type="paragraph" w:styleId="para18" w:customStyle="1">
    <w:name w:val="Zitate"/>
    <w:qFormat/>
    <w:basedOn w:val="para0"/>
    <w:pPr>
      <w:ind w:left="737"/>
    </w:pPr>
    <w:rPr>
      <w:i/>
    </w:rPr>
  </w:style>
  <w:style w:type="paragraph" w:styleId="para19" w:customStyle="1">
    <w:name w:val="Regel"/>
    <w:qFormat/>
    <w:basedOn w:val="para0"/>
    <w:pPr>
      <w:pBdr>
        <w:top w:val="single" w:sz="8" w:space="1" w:color="AECF7C" tmln="20, 20, 20, 0, 20"/>
        <w:left w:val="single" w:sz="8" w:space="4" w:color="AECF7C" tmln="20, 20, 20, 0, 80"/>
        <w:bottom w:val="single" w:sz="8" w:space="1" w:color="AECF7C" tmln="20, 20, 20, 0, 20"/>
        <w:right w:val="single" w:sz="8" w:space="4" w:color="AECF7C" tmln="20, 20, 20, 0, 80"/>
        <w:between w:val="nil" w:sz="0" w:space="0" w:color="000000" tmln="20, 20, 20, 0, 0"/>
      </w:pBdr>
      <w:shd w:val="none"/>
    </w:pPr>
  </w:style>
  <w:style w:type="paragraph" w:styleId="para20" w:customStyle="1">
    <w:name w:val="Default"/>
    <w:qFormat/>
    <w:pPr>
      <w:ind w:firstLine="0"/>
      <w:spacing w:after="0" w:line="240" w:lineRule="auto"/>
      <w:contextualSpacing/>
      <w:jc w:val="left"/>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Times New Roman" w:hAnsi="Times New Roman" w:eastAsia="Arial" w:cs="Times New Roman"/>
      <w:color w:val="000000"/>
      <w:sz w:val="24"/>
      <w:szCs w:val="24"/>
      <w:lang w:val="de-de" w:eastAsia="zh-cn" w:bidi="ar-sa"/>
    </w:rPr>
  </w:style>
  <w:style w:type="paragraph" w:styleId="para21" w:customStyle="1">
    <w:name w:val="Literatur"/>
    <w:qFormat/>
    <w:basedOn w:val="para0"/>
    <w:pPr>
      <w:ind w:left="851" w:hanging="851"/>
      <w:spacing w:before="240" w:after="120" w:line="240" w:lineRule="auto"/>
    </w:pPr>
    <w:rPr>
      <w:lang w:val="en-us"/>
    </w:rPr>
  </w:style>
  <w:style w:type="paragraph" w:styleId="para22">
    <w:name w:val="toc 2"/>
    <w:qFormat/>
    <w:basedOn w:val="para0"/>
    <w:next w:val="para0"/>
    <w:pPr>
      <w:ind w:left="426"/>
      <w:spacing w:after="60"/>
      <w:contextualSpacing/>
      <w:tabs defTabSz="708">
        <w:tab w:val="left" w:pos="907" w:leader="none"/>
        <w:tab w:val="right" w:pos="9056" w:leader="dot"/>
      </w:tabs>
    </w:pPr>
    <w:rPr>
      <w:rFonts w:eastAsia="Cambria" w:cs="Basic Roman"/>
      <w:szCs w:val="24"/>
    </w:rPr>
  </w:style>
  <w:style w:type="paragraph" w:styleId="para23">
    <w:name w:val="toc 1"/>
    <w:qFormat/>
    <w:basedOn w:val="para0"/>
    <w:next w:val="para0"/>
    <w:pPr>
      <w:spacing w:after="60"/>
      <w:jc w:val="left"/>
      <w:tabs defTabSz="708">
        <w:tab w:val="left" w:pos="340" w:leader="none"/>
        <w:tab w:val="right" w:pos="9072" w:leader="dot"/>
      </w:tabs>
    </w:pPr>
    <w:rPr>
      <w:rFonts w:eastAsia="Times New Roman"/>
      <w:color w:val="000000"/>
    </w:rPr>
  </w:style>
  <w:style w:type="paragraph" w:styleId="para24">
    <w:name w:val="toc 3"/>
    <w:qFormat/>
    <w:basedOn w:val="para0"/>
    <w:next w:val="para0"/>
    <w:pPr>
      <w:ind w:left="964"/>
      <w:spacing w:after="80"/>
      <w:contextualSpacing/>
      <w:tabs defTabSz="708">
        <w:tab w:val="left" w:pos="1701" w:leader="none"/>
        <w:tab w:val="right" w:pos="9056" w:leader="dot"/>
      </w:tabs>
    </w:pPr>
    <w:rPr>
      <w:rFonts w:eastAsia="Cambria" w:cs="Basic Roman"/>
      <w:szCs w:val="24"/>
    </w:rPr>
  </w:style>
  <w:style w:type="paragraph" w:styleId="para25">
    <w:name w:val="toc 4"/>
    <w:qFormat/>
    <w:basedOn w:val="para0"/>
    <w:next w:val="para0"/>
    <w:pPr>
      <w:ind w:left="1757"/>
      <w:spacing w:after="80"/>
      <w:contextualSpacing/>
      <w:tabs defTabSz="708">
        <w:tab w:val="left" w:pos="2608" w:leader="none"/>
        <w:tab w:val="right" w:pos="9056" w:leader="dot"/>
      </w:tabs>
    </w:pPr>
    <w:rPr>
      <w:rFonts w:eastAsia="Cambria" w:cs="Basic Roman"/>
      <w:szCs w:val="24"/>
    </w:rPr>
  </w:style>
  <w:style w:type="paragraph" w:styleId="para26">
    <w:name w:val="toc 5"/>
    <w:qFormat/>
    <w:basedOn w:val="para0"/>
    <w:next w:val="para0"/>
    <w:pPr>
      <w:ind w:left="2665"/>
      <w:spacing w:after="80"/>
      <w:contextualSpacing/>
      <w:tabs defTabSz="708">
        <w:tab w:val="left" w:pos="3572" w:leader="none"/>
        <w:tab w:val="right" w:pos="9066" w:leader="dot"/>
      </w:tabs>
    </w:pPr>
    <w:rPr>
      <w:rFonts w:eastAsia="Cambria" w:cs="Basic Roman"/>
      <w:szCs w:val="24"/>
    </w:rPr>
  </w:style>
  <w:style w:type="paragraph" w:styleId="para27">
    <w:name w:val="Footnote Text"/>
    <w:qFormat/>
    <w:basedOn w:val="para0"/>
    <w:pPr>
      <w:spacing w:after="0" w:line="240" w:lineRule="auto"/>
    </w:pPr>
    <w:rPr>
      <w:sz w:val="24"/>
      <w:szCs w:val="24"/>
    </w:rPr>
  </w:style>
  <w:style w:type="paragraph" w:styleId="para28">
    <w:name w:val="toc 6"/>
    <w:qFormat/>
    <w:basedOn w:val="para0"/>
    <w:next w:val="para0"/>
    <w:pPr>
      <w:ind w:left="900"/>
      <w:spacing w:after="120"/>
    </w:pPr>
    <w:rPr>
      <w:rFonts w:eastAsia="Cambria" w:cs="Basic Roman"/>
      <w:szCs w:val="24"/>
    </w:rPr>
  </w:style>
  <w:style w:type="paragraph" w:styleId="para29">
    <w:name w:val="toc 7"/>
    <w:qFormat/>
    <w:basedOn w:val="para0"/>
    <w:next w:val="para0"/>
    <w:pPr>
      <w:ind w:left="1080"/>
      <w:spacing w:after="120"/>
    </w:pPr>
    <w:rPr>
      <w:rFonts w:eastAsia="Cambria" w:cs="Basic Roman"/>
      <w:szCs w:val="24"/>
    </w:rPr>
  </w:style>
  <w:style w:type="paragraph" w:styleId="para30">
    <w:name w:val="toc 8"/>
    <w:qFormat/>
    <w:basedOn w:val="para0"/>
    <w:next w:val="para0"/>
    <w:pPr>
      <w:ind w:left="1260"/>
      <w:spacing w:after="120"/>
    </w:pPr>
    <w:rPr>
      <w:rFonts w:eastAsia="Cambria" w:cs="Basic Roman"/>
      <w:szCs w:val="24"/>
    </w:rPr>
  </w:style>
  <w:style w:type="paragraph" w:styleId="para31">
    <w:name w:val="toc 9"/>
    <w:qFormat/>
    <w:basedOn w:val="para0"/>
    <w:next w:val="para0"/>
    <w:pPr>
      <w:ind w:left="1440"/>
      <w:spacing w:after="120"/>
    </w:pPr>
    <w:rPr>
      <w:rFonts w:eastAsia="Cambria" w:cs="Basic Roman"/>
      <w:szCs w:val="24"/>
    </w:rPr>
  </w:style>
  <w:style w:type="paragraph" w:styleId="para32">
    <w:name w:val="Plain Text"/>
    <w:qFormat/>
    <w:basedOn w:val="para0"/>
    <w:pPr>
      <w:spacing w:after="0" w:line="240" w:lineRule="auto"/>
      <w:jc w:val="left"/>
    </w:pPr>
    <w:rPr>
      <w:rFonts w:ascii="Courier New" w:hAnsi="Courier New" w:eastAsia="Times New Roman" w:cs="Courier New"/>
      <w:sz w:val="20"/>
      <w:szCs w:val="20"/>
    </w:rPr>
  </w:style>
  <w:style w:type="paragraph" w:styleId="para33" w:customStyle="1">
    <w:name w:val="Bullet"/>
    <w:qFormat/>
    <w:basedOn w:val="para0"/>
    <w:pPr>
      <w:numPr>
        <w:ilvl w:val="0"/>
        <w:numId w:val="57"/>
      </w:numPr>
      <w:ind w:left="510" w:hanging="360"/>
      <w:spacing/>
      <w:jc w:val="left"/>
    </w:pPr>
  </w:style>
  <w:style w:type="paragraph" w:styleId="para34" w:customStyle="1">
    <w:name w:val="Bullet 2 pt"/>
    <w:qFormat/>
    <w:basedOn w:val="para0"/>
    <w:pPr>
      <w:numPr>
        <w:ilvl w:val="0"/>
        <w:numId w:val="58"/>
      </w:numPr>
      <w:ind w:left="397" w:hanging="284"/>
      <w:spacing w:after="40"/>
      <w:jc w:val="left"/>
    </w:pPr>
    <w:rPr>
      <w:color w:val="000000"/>
    </w:rPr>
  </w:style>
  <w:style w:type="paragraph" w:styleId="para35" w:customStyle="1">
    <w:name w:val="Bullet 2 pt 2. Ebene"/>
    <w:qFormat/>
    <w:basedOn w:val="para34"/>
    <w:pPr>
      <w:ind w:left="850" w:hanging="360"/>
      <w:spacing/>
      <w:jc w:val="both"/>
    </w:pPr>
    <w:rPr>
      <w:color w:val="auto"/>
    </w:rPr>
  </w:style>
  <w:style w:type="paragraph" w:styleId="para36" w:customStyle="1">
    <w:name w:val="Bullet 5 pt Block"/>
    <w:qFormat/>
    <w:basedOn w:val="para0"/>
    <w:pPr>
      <w:numPr>
        <w:ilvl w:val="0"/>
        <w:numId w:val="58"/>
      </w:numPr>
      <w:ind w:left="454" w:hanging="284"/>
      <w:spacing w:line="288" w:lineRule="auto"/>
      <w:contextualSpacing/>
      <w:jc w:val="left"/>
    </w:pPr>
    <w:rPr>
      <w:color w:val="000000"/>
    </w:rPr>
  </w:style>
  <w:style w:type="paragraph" w:styleId="para37" w:customStyle="1">
    <w:name w:val="Bullet 5 pt 2. Ebene"/>
    <w:qFormat/>
    <w:basedOn w:val="para36"/>
    <w:pPr>
      <w:ind w:left="850" w:hanging="360"/>
      <w:spacing/>
      <w:jc w:val="both"/>
    </w:pPr>
    <w:rPr>
      <w:color w:val="auto"/>
    </w:rPr>
  </w:style>
  <w:style w:type="paragraph" w:styleId="para38" w:customStyle="1">
    <w:name w:val="Bullet 5 pt 2. Ebene kursiv"/>
    <w:qFormat/>
    <w:basedOn w:val="para37"/>
    <w:pPr>
      <w:numPr>
        <w:ilvl w:val="0"/>
        <w:numId w:val="122"/>
      </w:numPr>
      <w:ind w:left="794" w:hanging="360"/>
      <w:spacing/>
      <w:jc w:val="left"/>
    </w:pPr>
    <w:rPr>
      <w:i/>
      <w:iCs/>
    </w:rPr>
  </w:style>
  <w:style w:type="paragraph" w:styleId="para39">
    <w:name w:val="List Paragraph"/>
    <w:qFormat/>
    <w:basedOn w:val="para0"/>
    <w:pPr>
      <w:ind w:left="720"/>
    </w:pPr>
  </w:style>
  <w:style w:type="paragraph" w:styleId="para40" w:customStyle="1">
    <w:name w:val="Bullet 5 pt"/>
    <w:qFormat/>
    <w:basedOn w:val="para33"/>
    <w:pPr>
      <w:numPr>
        <w:ilvl w:val="0"/>
        <w:numId w:val="58"/>
      </w:numPr>
      <w:ind w:left="454" w:hanging="284"/>
    </w:pPr>
    <w:rPr>
      <w:color w:val="000000"/>
    </w:rPr>
  </w:style>
  <w:style w:type="paragraph" w:styleId="para41" w:customStyle="1">
    <w:name w:val="Bullet im Block ohne 5 pt"/>
    <w:qFormat/>
    <w:basedOn w:val="para0"/>
    <w:pPr>
      <w:numPr>
        <w:ilvl w:val="0"/>
        <w:numId w:val="60"/>
      </w:numPr>
      <w:ind w:left="454" w:hanging="284"/>
      <w:spacing w:line="288" w:lineRule="auto"/>
      <w:contextualSpacing/>
      <w:jc w:val="left"/>
    </w:pPr>
    <w:rPr>
      <w:color w:val="000000"/>
    </w:rPr>
  </w:style>
  <w:style w:type="paragraph" w:styleId="para42" w:customStyle="1">
    <w:name w:val="Bullet mit 5 Punkt Abstand"/>
    <w:qFormat/>
    <w:basedOn w:val="para33"/>
    <w:pPr>
      <w:numPr>
        <w:ilvl w:val="0"/>
        <w:numId w:val="60"/>
      </w:numPr>
      <w:ind w:left="340" w:hanging="227"/>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3">
    <w:name w:val="Body Text"/>
    <w:qFormat/>
    <w:basedOn w:val="para0"/>
    <w:pPr>
      <w:ind w:firstLine="0"/>
      <w:spacing w:after="12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Cambria" w:cs="Basic Roman"/>
      <w:szCs w:val="24"/>
    </w:rPr>
  </w:style>
  <w:style w:type="paragraph" w:styleId="para44" w:customStyle="1">
    <w:name w:val="Bullet Absatz 5pt"/>
    <w:qFormat/>
    <w:basedOn w:val="para33"/>
    <w:pPr>
      <w:numPr>
        <w:ilvl w:val="0"/>
        <w:numId w:val="60"/>
      </w:numPr>
      <w:ind w:left="340" w:hanging="227"/>
      <w:spacing w:after="120"/>
      <w:contextualSpacing/>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eastAsia="Times New Roman"/>
      <w:color w:val="000000"/>
    </w:rPr>
  </w:style>
  <w:style w:type="paragraph" w:styleId="para45" w:customStyle="1">
    <w:name w:val="tm5"/>
    <w:qFormat/>
    <w:basedOn w:val="para0"/>
    <w:next w:val="para0"/>
    <w:pPr>
      <w:ind w:firstLine="0"/>
      <w:spacing w:after="120"/>
      <w:widowControl w:val="0"/>
    </w:pPr>
    <w:rPr>
      <w:rFonts w:ascii="Basic Roman" w:hAnsi="Basic Roman" w:eastAsia="Basic Roman" w:cs="Basic Roman"/>
      <w:sz w:val="20"/>
      <w:szCs w:val="20"/>
    </w:rPr>
  </w:style>
  <w:style w:type="paragraph" w:styleId="para46" w:customStyle="1">
    <w:name w:val="Bullet 5 pt rot"/>
    <w:qFormat/>
    <w:basedOn w:val="para33"/>
    <w:pPr>
      <w:numPr>
        <w:ilvl w:val="0"/>
        <w:numId w:val="255"/>
      </w:numPr>
      <w:ind w:left="643" w:hanging="360"/>
      <w:spacing w:line="288"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Arial" w:hAnsi="Arial" w:eastAsia="Arial" w:cs="Arial"/>
      <w:color w:val="000000"/>
      <w:sz w:val="22"/>
      <w:szCs w:val="22"/>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Tahoma" w:hAnsi="Tahoma" w:cs="Tahoma"/>
      <w:b w:val="0"/>
      <w:color w:val="00998A"/>
      <w:sz w:val="22"/>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25B6DA"/>
    </w:rPr>
  </w:style>
  <w:style w:type="character" w:styleId="char8" w:customStyle="1">
    <w:name w:val="Überschrift 7 Zeichen"/>
    <w:basedOn w:val="char0"/>
    <w:rPr>
      <w:rFonts w:ascii="Arial" w:hAnsi="Arial" w:eastAsia="Arial"/>
      <w:i/>
      <w:iCs/>
      <w:color w:val="EBF3E0"/>
    </w:rPr>
  </w:style>
  <w:style w:type="character" w:styleId="char9" w:customStyle="1">
    <w:name w:val="Überschrift 8 Zeichen"/>
    <w:basedOn w:val="char0"/>
    <w:rPr>
      <w:rFonts w:ascii="Arial" w:hAnsi="Arial" w:eastAsia="Arial"/>
      <w:color w:val="EBF3E0"/>
      <w:sz w:val="20"/>
      <w:szCs w:val="20"/>
    </w:rPr>
  </w:style>
  <w:style w:type="character" w:styleId="char10" w:customStyle="1">
    <w:name w:val="Überschrift 9 Zeichen"/>
    <w:basedOn w:val="char0"/>
    <w:rPr>
      <w:rFonts w:ascii="Arial" w:hAnsi="Arial" w:eastAsia="Arial"/>
      <w:i/>
      <w:iCs/>
      <w:color w:val="EBF3E0"/>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fill="DBDEE1" w:val="clear"/>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header" Target="header8.xml"/><Relationship Id="rId24" Type="http://schemas.openxmlformats.org/officeDocument/2006/relationships/footer" Target="footer8.xml"/><Relationship Id="rId25" Type="http://schemas.openxmlformats.org/officeDocument/2006/relationships/header" Target="header9.xml"/><Relationship Id="rId26" Type="http://schemas.openxmlformats.org/officeDocument/2006/relationships/footer" Target="footer9.xml"/><Relationship Id="rId27" Type="http://schemas.openxmlformats.org/officeDocument/2006/relationships/header" Target="header10.xml"/><Relationship Id="rId28" Type="http://schemas.openxmlformats.org/officeDocument/2006/relationships/footer" Target="footer10.xml"/><Relationship Id="rId29" Type="http://schemas.openxmlformats.org/officeDocument/2006/relationships/footnotes" Target="footnotes.xml"/><Relationship Id="rId30" Type="http://schemas.openxmlformats.org/officeDocument/2006/relationships/header" Target="header11.xml"/><Relationship Id="rId31" Type="http://schemas.openxmlformats.org/officeDocument/2006/relationships/footer" Target="footer11.xml"/><Relationship Id="rId32" Type="http://schemas.openxmlformats.org/officeDocument/2006/relationships/header" Target="header12.xml"/><Relationship Id="rId33" Type="http://schemas.openxmlformats.org/officeDocument/2006/relationships/footer" Target="footer12.xml"/><Relationship Id="rId34" Type="http://schemas.openxmlformats.org/officeDocument/2006/relationships/image" Target="media/image2.jpeg"/><Relationship Id="rId35" Type="http://schemas.openxmlformats.org/officeDocument/2006/relationships/image" Target="media/image3.png"/><Relationship Id="rId36" Type="http://schemas.openxmlformats.org/officeDocument/2006/relationships/image" Target="media/image4.png"/><Relationship Id="rId37" Type="http://schemas.openxmlformats.org/officeDocument/2006/relationships/image" Target="media/image5.jpeg"/><Relationship Id="rId38" Type="http://schemas.openxmlformats.org/officeDocument/2006/relationships/image" Target="media/image6.jpeg"/><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image" Target="media/image9.jpeg"/><Relationship Id="rId42" Type="http://schemas.openxmlformats.org/officeDocument/2006/relationships/image" Target="media/image10.jpeg"/><Relationship Id="rId43" Type="http://schemas.openxmlformats.org/officeDocument/2006/relationships/hyperlink" Target="https://www.haufe-akademie.de/blog/glossar/governance/?akttyp=organische%20suche&amp;med=google&amp;aktnr=84834&amp;wnr=04393672" TargetMode="External"/><Relationship Id="rId44" Type="http://schemas.openxmlformats.org/officeDocument/2006/relationships/hyperlink" Target="https://www.n-tv.de/wirtschaft/So-lassen-schlechte-Chefs-die-Arbeitsmoral-sinken-id31098686.html" TargetMode="External"/><Relationship Id="rId45" Type="http://schemas.openxmlformats.org/officeDocument/2006/relationships/image" Target="media/image11.jpeg"/></Relationships>
</file>

<file path=word/_rels/footer1.xml.rels><?xml version="1.0" encoding="UTF-8" standalone="yes" ?>
<Relationships xmlns="http://schemas.openxmlformats.org/package/2006/relationships"><Relationship Id="rId1" Type="http://schemas.openxmlformats.org/officeDocument/2006/relationships/image" Target="media/image13.jpeg"/></Relationships>
</file>

<file path=word/_rels/footer4.xml.rels><?xml version="1.0" encoding="UTF-8" standalone="yes" ?>
<Relationships xmlns="http://schemas.openxmlformats.org/package/2006/relationships"><Relationship Id="rId1" Type="http://schemas.openxmlformats.org/officeDocument/2006/relationships/image" Target="media/image13.jpeg"/></Relationships>
</file>

<file path=word/_rels/header1.xml.rels><?xml version="1.0" encoding="UTF-8" standalone="yes" ?>
<Relationships xmlns="http://schemas.openxmlformats.org/package/2006/relationships"><Relationship Id="rId1" Type="http://schemas.openxmlformats.org/officeDocument/2006/relationships/image" Target="media/image12.jpeg"/></Relationships>
</file>

<file path=word/_rels/header4.xml.rels><?xml version="1.0" encoding="UTF-8" standalone="yes" ?>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a:themeElements>
    <a:clrScheme name="Office">
      <a:dk1>
        <a:srgbClr val="FFFFFF"/>
      </a:dk1>
      <a:lt1>
        <a:srgbClr val="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Tahoma"/>
        <a:cs typeface="Taho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183</cp:revision>
  <cp:lastPrinted>2025-11-04T11:12:58Z</cp:lastPrinted>
  <dcterms:created xsi:type="dcterms:W3CDTF">2016-10-07T08:19:00Z</dcterms:created>
  <dcterms:modified xsi:type="dcterms:W3CDTF">2026-08-01T15:03:23Z</dcterms:modified>
</cp:coreProperties>
</file>