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charts/chart1.xml" ContentType="application/vnd.openxmlformats-officedocument.drawingml.chart+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9"/>
      </w:pPr>
      <w:bookmarkStart w:id="0" w:name="_GoBack"/>
      <w:r/>
      <w:bookmarkEnd w:id="0"/>
      <w:r>
        <w:t>Testdatei</w:t>
      </w:r>
    </w:p>
    <w:p>
      <w:pPr>
        <w:pStyle w:val="para8"/>
      </w:pPr>
      <w:r>
        <w:t>Beschreibung des Problems</w:t>
      </w:r>
    </w:p>
    <w:p>
      <w:r>
        <w:t>Des Öfteren erstelle ich in PlanMaker aus Tabellen Diagramme, von denen ich einige mithilfe der Befehle „Kopieren“ und „Einfügen“ in Dateien übertrage, die ich mit TextMaker erstellt habe. Das funktionierte jahrelang problemlos. Doch seit dem letzten Upgrade auf Version „TextMaker NX Universal (rev S1500.0712) 64bit“ bin ich auf überraschende Probleme gestoßen: Die Diagramme, die in PlanMaker noch ganz normal aussehen, werden in TextMaker schwarz dargestellt. Um das Diagramm einwandfrei lesbar zu machen, muss ich per Rechtsklick den Dialog zur Programmfläche aufrufen und dort im Dialogfeld „Füllung“ von „auto“ auf „keine“ umstellen. Erst dadurch wird z.B. die Achsenbeschriftung der Koordinatensysteme sichtbar.</w:t>
      </w:r>
    </w:p>
    <w:p>
      <w:r>
        <w:t>Das ganze läuft unter dem Betriebssystem Windows 11 Home Version 10.0.26200 Build 26200.</w:t>
      </w:r>
    </w:p>
    <w:p>
      <w:pPr>
        <w:pStyle w:val="para8"/>
      </w:pPr>
      <w:r>
        <w:t>Darstellung des Problems</w:t>
      </w:r>
    </w:p>
    <w:p>
      <w:r>
        <w:t>Im Folgenden zeige ich das Problem mithilfe eines kurzen Videos:</w:t>
      </w:r>
    </w:p>
    <w:p>
      <w:r>
        <w:t>Zunächst ist eine PlanMaker-Datei geöffnet, in der ein Diagramm enthalten ist, das aus der Tabelle erstellt wurde. Ich markiere dieses Diagramm und kopiere es. Anschließend öffne ich diese Testdatei, die ich mit TextMaker erstellt habe, und füge das Diagramm ein. Wie ersichtlich wird es nun plötzlich schwarz dargestellt. Ich muss es per Hand korrigieren, damit es vollständig lesbar wird.</w:t>
      </w:r>
    </w:p>
    <w:p>
      <w:r>
        <w:t>Auch alle alten TextMaker-Dateien, die ich teils schon vor Jahren erstellt habe und Diagramme aus PlanMaker enthalten, zeigen diese Diagramme nun in schwarz. Es ist sehr mühselig, das alles von Hand zu korrigieren, sodass es schön wäre, wenn SoftMaker den ursprünglichen Zustand wiederherstellen könnte.</w:t>
      </w:r>
    </w:p>
    <w:p>
      <w:pPr>
        <w:pStyle w:val="para6"/>
      </w:pPr>
      <w:r>
        <w:rPr>
          <w:noProof/>
        </w:rPr>
        <w:drawing>
          <wp:inline distT="0" distB="0" distL="114300" distR="114300">
            <wp:extent cx="5229225" cy="3066415"/>
            <wp:effectExtent l="0" t="0" r="0" b="0"/>
            <wp:docPr id="1" name="Diagramm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p>
    <w:sectPr>
      <w:footnotePr>
        <w:pos w:val="pageBottom"/>
        <w:numFmt w:val="decimal"/>
        <w:numStart w:val="1"/>
        <w:numRestart w:val="continuous"/>
      </w:footnotePr>
      <w:endnotePr>
        <w:pos w:val="docEnd"/>
        <w:numFmt w:val="decimal"/>
        <w:numStart w:val="1"/>
        <w:numRestart w:val="continuous"/>
      </w:endnotePr>
      <w:type w:val="nextPage"/>
      <w:pgSz w:h="16838" w:w="11906"/>
      <w:pgMar w:left="1418" w:top="1134" w:right="2268"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 w:name="Calibri">
    <w:panose1 w:val="020F0502020204030204"/>
    <w:charset w:val="00"/>
    <w:family w:val="swiss"/>
    <w:pitch w:val="default"/>
  </w:font>
  <w:font w:name="Cambria">
    <w:panose1 w:val="02040503050406030204"/>
    <w:charset w:val="00"/>
    <w:family w:val="roman"/>
    <w:pitch w:val="default"/>
  </w:font>
  <w:font w:name="Tahoma">
    <w:panose1 w:val="020B0604030504040204"/>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7"/>
  <w:tmPrefTwo w:val="1025"/>
  <w:tmFmtPref w:val="55090283"/>
  <w:tmCommentsPr>
    <w:tmCommentsPlace w:val="0"/>
    <w:tmCommentsWidth w:val="3119"/>
    <w:tmCommentsColor w:val="-1"/>
  </w:tmCommentsPr>
  <w:tmReviewPr>
    <w:tmReviewEnabled w:val="0"/>
    <w:tmReviewShow w:val="1"/>
    <w:tmReviewPrint w:val="0"/>
    <w:tmRevisionNum w:val="226"/>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0"/>
      <w:tmLastPosIdx w:val="2"/>
    </w:tmLastPosCaret>
    <w:tmLastPosAnchor>
      <w:tmLastPosPgfIdx w:val="0"/>
      <w:tmLastPosIdx w:val="0"/>
    </w:tmLastPosAnchor>
    <w:tmLastPosTblRect w:left="0" w:top="0" w:right="0" w:bottom="0"/>
  </w:tmLastPos>
  <w:tmAppRevision w:date="1785271755" w:val="1500" w:fileVer="343"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de-de" w:eastAsia="zh-cn" w:bidi="ar-sa"/>
      </w:rPr>
    </w:rPrDefault>
    <w:pPrDefault>
      <w:pPr>
        <w:ind w:firstLine="170"/>
        <w:spacing w:after="120"/>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4"/>
    </w:rPr>
  </w:style>
  <w:style w:type="paragraph" w:styleId="para1">
    <w:name w:val="Footnote Text"/>
    <w:qFormat/>
    <w:basedOn w:val="para0"/>
    <w:pPr>
      <w:ind w:left="170" w:hanging="170"/>
      <w:spacing w:after="0"/>
      <w:jc w:val="left"/>
    </w:pPr>
    <w:rPr>
      <w:sz w:val="20"/>
      <w:szCs w:val="20"/>
    </w:rPr>
  </w:style>
  <w:style w:type="paragraph" w:styleId="para2" w:customStyle="1">
    <w:name w:val="Anmerkung"/>
    <w:qFormat/>
    <w:basedOn w:val="para0"/>
    <w:pPr>
      <w:ind w:firstLine="0"/>
      <w:spacing w:after="0"/>
      <w:jc w:val="left"/>
    </w:pPr>
    <w:rPr>
      <w:color w:val="339966"/>
      <w:sz w:val="20"/>
      <w:szCs w:val="20"/>
      <w:lang w:eastAsia="de-de" w:bidi="de-de"/>
    </w:rPr>
  </w:style>
  <w:style w:type="paragraph" w:styleId="para3" w:customStyle="1">
    <w:name w:val="TitelAbschnitt"/>
    <w:qFormat/>
    <w:basedOn w:val="para0"/>
    <w:next w:val="para0"/>
    <w:pPr>
      <w:ind w:firstLine="0"/>
      <w:spacing w:after="60"/>
      <w:jc w:val="left"/>
      <w:keepNext/>
      <w:outlineLvl w:val="2"/>
      <w:keepLines/>
    </w:pPr>
    <w:rPr>
      <w:b/>
      <w:bCs/>
      <w:sz w:val="28"/>
      <w:szCs w:val="28"/>
    </w:rPr>
  </w:style>
  <w:style w:type="paragraph" w:styleId="para4" w:customStyle="1">
    <w:name w:val="Grafik Titel"/>
    <w:qFormat/>
    <w:basedOn w:val="para0"/>
    <w:next w:val="para0"/>
    <w:pPr>
      <w:ind w:firstLine="0"/>
      <w:spacing w:before="120" w:after="60"/>
      <w:jc w:val="left"/>
      <w:keepNext/>
      <w:outlineLvl w:val="6"/>
      <w:keepLines/>
      <w:widowControl w:val="0"/>
    </w:pPr>
    <w:rPr>
      <w:b/>
      <w:bCs/>
      <w:sz w:val="20"/>
      <w:szCs w:val="20"/>
    </w:rPr>
  </w:style>
  <w:style w:type="paragraph" w:styleId="para5" w:customStyle="1">
    <w:name w:val="Grafik Textzuatz"/>
    <w:qFormat/>
    <w:basedOn w:val="para4"/>
    <w:next w:val="para0"/>
    <w:pPr>
      <w:spacing w:before="60" w:after="100"/>
      <w:outlineLvl w:val="7"/>
    </w:pPr>
    <w:rPr>
      <w:b w:val="0"/>
      <w:bCs w:val="0"/>
      <w:sz w:val="16"/>
      <w:szCs w:val="16"/>
    </w:rPr>
  </w:style>
  <w:style w:type="paragraph" w:styleId="para6" w:customStyle="1">
    <w:name w:val="Normal ohne Einzug"/>
    <w:qFormat/>
    <w:basedOn w:val="para0"/>
    <w:next w:val="para0"/>
    <w:pPr>
      <w:ind w:firstLine="0"/>
    </w:pPr>
  </w:style>
  <w:style w:type="paragraph" w:styleId="para7" w:customStyle="1">
    <w:name w:val="Zwischentitel"/>
    <w:qFormat/>
    <w:basedOn w:val="para0"/>
    <w:next w:val="para0"/>
    <w:pPr>
      <w:ind w:firstLine="0"/>
      <w:spacing w:before="200" w:after="0"/>
      <w:jc w:val="left"/>
      <w:keepNext/>
      <w:outlineLvl w:val="4"/>
      <w:keepLines/>
    </w:pPr>
    <w:rPr>
      <w:b/>
      <w:bCs/>
      <w:i/>
      <w:iCs/>
    </w:rPr>
  </w:style>
  <w:style w:type="paragraph" w:styleId="para8" w:customStyle="1">
    <w:name w:val="TitelOberabschnitt"/>
    <w:qFormat/>
    <w:basedOn w:val="para0"/>
    <w:next w:val="para3"/>
    <w:pPr>
      <w:ind w:firstLine="0"/>
      <w:spacing w:after="60"/>
      <w:jc w:val="left"/>
      <w:keepNext/>
      <w:outlineLvl w:val="1"/>
      <w:keepLines/>
    </w:pPr>
    <w:rPr>
      <w:b/>
      <w:bCs/>
      <w:sz w:val="32"/>
      <w:szCs w:val="32"/>
    </w:rPr>
  </w:style>
  <w:style w:type="paragraph" w:styleId="para9" w:customStyle="1">
    <w:name w:val="TitelKapitel"/>
    <w:qFormat/>
    <w:basedOn w:val="para0"/>
    <w:next w:val="para8"/>
    <w:pPr>
      <w:ind w:firstLine="0"/>
      <w:spacing/>
      <w:jc w:val="left"/>
      <w:outlineLvl w:val="0"/>
      <w:widowControl w:val="0"/>
    </w:pPr>
    <w:rPr>
      <w:b/>
      <w:bCs/>
      <w:sz w:val="36"/>
      <w:szCs w:val="36"/>
      <w:u w:color="auto" w:val="single"/>
    </w:rPr>
  </w:style>
  <w:style w:type="paragraph" w:styleId="para10" w:customStyle="1">
    <w:name w:val="Aufzählung"/>
    <w:qFormat/>
    <w:basedOn w:val="para0"/>
    <w:pPr>
      <w:ind w:left="340" w:hanging="340"/>
      <w:spacing w:after="40"/>
    </w:pPr>
    <w:rPr>
      <w:color w:val="000000"/>
    </w:rPr>
  </w:style>
  <w:style w:type="paragraph" w:styleId="para11" w:customStyle="1">
    <w:name w:val="TitelUnterabschnitt"/>
    <w:qFormat/>
    <w:basedOn w:val="para8"/>
    <w:next w:val="para0"/>
    <w:pPr>
      <w:outlineLvl w:val="3"/>
    </w:pPr>
    <w:rPr>
      <w:sz w:val="28"/>
      <w:szCs w:val="28"/>
      <w:lang w:eastAsia="de-de" w:bidi="de-de"/>
    </w:rPr>
  </w:style>
  <w:style w:type="paragraph" w:styleId="para12" w:customStyle="1">
    <w:name w:val="Zwischentitel 2"/>
    <w:qFormat/>
    <w:basedOn w:val="para7"/>
    <w:next w:val="para0"/>
    <w:pPr>
      <w:spacing w:before="120" w:after="40"/>
      <w:outlineLvl w:val="5"/>
    </w:pPr>
    <w:rPr>
      <w:b w:val="0"/>
      <w:bCs w:val="0"/>
      <w:lang w:eastAsia="de-de" w:bidi="de-de"/>
    </w:rPr>
  </w:style>
  <w:style w:type="character" w:styleId="char0" w:default="1">
    <w:name w:val="Default Paragraph Font"/>
  </w:style>
  <w:style w:type="character" w:styleId="char1" w:customStyle="1">
    <w:name w:val="Überschrift 1 Zchn"/>
    <w:basedOn w:val="char0"/>
    <w:rPr>
      <w:rFonts w:ascii="Times New Roman" w:hAnsi="Times New Roman" w:eastAsia="Cambria"/>
      <w:b/>
      <w:bCs/>
      <w:sz w:val="28"/>
      <w:szCs w:val="28"/>
    </w:rPr>
  </w:style>
  <w:style w:type="character" w:styleId="char2" w:customStyle="1">
    <w:name w:val="Überschrift 2 Zchn"/>
    <w:basedOn w:val="char0"/>
    <w:rPr>
      <w:rFonts w:ascii="Times New Roman" w:hAnsi="Times New Roman" w:eastAsia="Cambria"/>
      <w:b/>
      <w:bCs/>
      <w:sz w:val="32"/>
      <w:szCs w:val="26"/>
    </w:rPr>
  </w:style>
  <w:style w:type="character" w:styleId="char3" w:customStyle="1">
    <w:name w:val="Überschrift 3 Zchn"/>
    <w:basedOn w:val="char0"/>
    <w:rPr>
      <w:rFonts w:ascii="Times New Roman" w:hAnsi="Times New Roman" w:eastAsia="Cambria"/>
      <w:b/>
      <w:bCs/>
      <w:sz w:val="36"/>
      <w:u w:color="auto" w:val="single"/>
    </w:rPr>
  </w:style>
  <w:style w:type="character" w:styleId="char4" w:customStyle="1">
    <w:name w:val="Zwichentitel"/>
    <w:basedOn w:val="char0"/>
    <w:rPr>
      <w:rFonts w:ascii="Times New Roman" w:hAnsi="Times New Roman" w:eastAsia="Cambria"/>
      <w:b/>
      <w:bCs/>
      <w:i/>
      <w:iCs/>
      <w:sz w:val="24"/>
    </w:rPr>
  </w:style>
  <w:style w:type="character" w:styleId="char5" w:customStyle="1">
    <w:name w:val="Fußnotentext Zchn"/>
    <w:basedOn w:val="char0"/>
    <w:rPr>
      <w:rFonts w:ascii="Times New Roman" w:hAnsi="Times New Roman"/>
      <w:b w:val="0"/>
      <w:i w:val="0"/>
      <w:sz w:val="20"/>
    </w:rPr>
  </w:style>
  <w:style w:type="character" w:styleId="char6">
    <w:name w:val="Footnote Reference"/>
    <w:basedOn w:val="char0"/>
    <w:rPr>
      <w:rFonts w:ascii="Times New Roman" w:hAnsi="Times New Roman"/>
      <w:b w:val="0"/>
      <w:i w:val="0"/>
      <w:sz w:val="20"/>
      <w:vertAlign w:val="superscript"/>
      <w:lang w:val="de-de"/>
    </w:rPr>
  </w:style>
  <w:style w:type="character" w:styleId="char7">
    <w:name w:val="Placeholder Text"/>
    <w:basedOn w:val="char0"/>
    <w:rPr>
      <w:color w:val="808080"/>
    </w:rPr>
  </w:style>
  <w:style w:type="character" w:styleId="char8" w:customStyle="1">
    <w:name w:val="Sprechblasentext Zchn"/>
    <w:basedOn w:val="char0"/>
    <w:rPr>
      <w:rFonts w:ascii="Tahoma" w:hAnsi="Tahoma" w:cs="Tahoma"/>
      <w:sz w:val="16"/>
      <w:szCs w:val="16"/>
    </w:rPr>
  </w:style>
  <w:style w:type="character" w:styleId="char9" w:customStyle="1">
    <w:name w:val="Aufzählung Char"/>
    <w:basedOn w:val="char0"/>
    <w:rPr>
      <w:rFonts w:ascii="Times New Roman" w:hAnsi="Times New Roman" w:eastAsia="Times New Roman" w:cs="Times New Roman"/>
      <w:color w:val="000000"/>
      <w:sz w:val="24"/>
      <w:szCs w:val="24"/>
    </w:rPr>
  </w:style>
  <w:style w:type="character" w:styleId="char10" w:customStyle="1">
    <w:name w:val="Titel Zchn"/>
    <w:basedOn w:val="char0"/>
    <w:rPr>
      <w:rFonts w:ascii="Times New Roman" w:hAnsi="Times New Roman" w:eastAsia="Cambria"/>
      <w:color w:val="595959"/>
      <w:spacing w:val="5" w:percent="106"/>
      <w:kern w:val="0"/>
      <w:sz w:val="20"/>
      <w:szCs w:val="52"/>
    </w:rPr>
  </w:style>
  <w:style w:type="character" w:styleId="char11">
    <w:name w:val="Hyperlink"/>
    <w:basedOn w:val="char0"/>
    <w:rPr>
      <w:color w:val="0000FF"/>
      <w:u w:color="auto" w:val="single"/>
    </w:rPr>
  </w:style>
  <w:style w:type="character" w:styleId="char12">
    <w:name w:val="FollowedHyperlink"/>
    <w:basedOn w:val="char0"/>
    <w:rPr>
      <w:color w:val="800080"/>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2"/>
        <w:szCs w:val="22"/>
        <w:lang w:val="de-de" w:eastAsia="zh-cn" w:bidi="ar-sa"/>
      </w:rPr>
    </w:rPrDefault>
    <w:pPrDefault>
      <w:pPr>
        <w:ind w:firstLine="170"/>
        <w:spacing w:after="120"/>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4"/>
    </w:rPr>
  </w:style>
  <w:style w:type="paragraph" w:styleId="para1">
    <w:name w:val="Footnote Text"/>
    <w:qFormat/>
    <w:basedOn w:val="para0"/>
    <w:pPr>
      <w:ind w:left="170" w:hanging="170"/>
      <w:spacing w:after="0"/>
      <w:jc w:val="left"/>
    </w:pPr>
    <w:rPr>
      <w:sz w:val="20"/>
      <w:szCs w:val="20"/>
    </w:rPr>
  </w:style>
  <w:style w:type="paragraph" w:styleId="para2" w:customStyle="1">
    <w:name w:val="Anmerkung"/>
    <w:qFormat/>
    <w:basedOn w:val="para0"/>
    <w:pPr>
      <w:ind w:firstLine="0"/>
      <w:spacing w:after="0"/>
      <w:jc w:val="left"/>
    </w:pPr>
    <w:rPr>
      <w:color w:val="339966"/>
      <w:sz w:val="20"/>
      <w:szCs w:val="20"/>
      <w:lang w:eastAsia="de-de" w:bidi="de-de"/>
    </w:rPr>
  </w:style>
  <w:style w:type="paragraph" w:styleId="para3" w:customStyle="1">
    <w:name w:val="TitelAbschnitt"/>
    <w:qFormat/>
    <w:basedOn w:val="para0"/>
    <w:next w:val="para0"/>
    <w:pPr>
      <w:ind w:firstLine="0"/>
      <w:spacing w:after="60"/>
      <w:jc w:val="left"/>
      <w:keepNext/>
      <w:outlineLvl w:val="2"/>
      <w:keepLines/>
    </w:pPr>
    <w:rPr>
      <w:b/>
      <w:bCs/>
      <w:sz w:val="28"/>
      <w:szCs w:val="28"/>
    </w:rPr>
  </w:style>
  <w:style w:type="paragraph" w:styleId="para4" w:customStyle="1">
    <w:name w:val="Grafik Titel"/>
    <w:qFormat/>
    <w:basedOn w:val="para0"/>
    <w:next w:val="para0"/>
    <w:pPr>
      <w:ind w:firstLine="0"/>
      <w:spacing w:before="120" w:after="60"/>
      <w:jc w:val="left"/>
      <w:keepNext/>
      <w:outlineLvl w:val="6"/>
      <w:keepLines/>
      <w:widowControl w:val="0"/>
    </w:pPr>
    <w:rPr>
      <w:b/>
      <w:bCs/>
      <w:sz w:val="20"/>
      <w:szCs w:val="20"/>
    </w:rPr>
  </w:style>
  <w:style w:type="paragraph" w:styleId="para5" w:customStyle="1">
    <w:name w:val="Grafik Textzuatz"/>
    <w:qFormat/>
    <w:basedOn w:val="para4"/>
    <w:next w:val="para0"/>
    <w:pPr>
      <w:spacing w:before="60" w:after="100"/>
      <w:outlineLvl w:val="7"/>
    </w:pPr>
    <w:rPr>
      <w:b w:val="0"/>
      <w:bCs w:val="0"/>
      <w:sz w:val="16"/>
      <w:szCs w:val="16"/>
    </w:rPr>
  </w:style>
  <w:style w:type="paragraph" w:styleId="para6" w:customStyle="1">
    <w:name w:val="Normal ohne Einzug"/>
    <w:qFormat/>
    <w:basedOn w:val="para0"/>
    <w:next w:val="para0"/>
    <w:pPr>
      <w:ind w:firstLine="0"/>
    </w:pPr>
  </w:style>
  <w:style w:type="paragraph" w:styleId="para7" w:customStyle="1">
    <w:name w:val="Zwischentitel"/>
    <w:qFormat/>
    <w:basedOn w:val="para0"/>
    <w:next w:val="para0"/>
    <w:pPr>
      <w:ind w:firstLine="0"/>
      <w:spacing w:before="200" w:after="0"/>
      <w:jc w:val="left"/>
      <w:keepNext/>
      <w:outlineLvl w:val="4"/>
      <w:keepLines/>
    </w:pPr>
    <w:rPr>
      <w:b/>
      <w:bCs/>
      <w:i/>
      <w:iCs/>
    </w:rPr>
  </w:style>
  <w:style w:type="paragraph" w:styleId="para8" w:customStyle="1">
    <w:name w:val="TitelOberabschnitt"/>
    <w:qFormat/>
    <w:basedOn w:val="para0"/>
    <w:next w:val="para3"/>
    <w:pPr>
      <w:ind w:firstLine="0"/>
      <w:spacing w:after="60"/>
      <w:jc w:val="left"/>
      <w:keepNext/>
      <w:outlineLvl w:val="1"/>
      <w:keepLines/>
    </w:pPr>
    <w:rPr>
      <w:b/>
      <w:bCs/>
      <w:sz w:val="32"/>
      <w:szCs w:val="32"/>
    </w:rPr>
  </w:style>
  <w:style w:type="paragraph" w:styleId="para9" w:customStyle="1">
    <w:name w:val="TitelKapitel"/>
    <w:qFormat/>
    <w:basedOn w:val="para0"/>
    <w:next w:val="para8"/>
    <w:pPr>
      <w:ind w:firstLine="0"/>
      <w:spacing/>
      <w:jc w:val="left"/>
      <w:outlineLvl w:val="0"/>
      <w:widowControl w:val="0"/>
    </w:pPr>
    <w:rPr>
      <w:b/>
      <w:bCs/>
      <w:sz w:val="36"/>
      <w:szCs w:val="36"/>
      <w:u w:color="auto" w:val="single"/>
    </w:rPr>
  </w:style>
  <w:style w:type="paragraph" w:styleId="para10" w:customStyle="1">
    <w:name w:val="Aufzählung"/>
    <w:qFormat/>
    <w:basedOn w:val="para0"/>
    <w:pPr>
      <w:ind w:left="340" w:hanging="340"/>
      <w:spacing w:after="40"/>
    </w:pPr>
    <w:rPr>
      <w:color w:val="000000"/>
    </w:rPr>
  </w:style>
  <w:style w:type="paragraph" w:styleId="para11" w:customStyle="1">
    <w:name w:val="TitelUnterabschnitt"/>
    <w:qFormat/>
    <w:basedOn w:val="para8"/>
    <w:next w:val="para0"/>
    <w:pPr>
      <w:outlineLvl w:val="3"/>
    </w:pPr>
    <w:rPr>
      <w:sz w:val="28"/>
      <w:szCs w:val="28"/>
      <w:lang w:eastAsia="de-de" w:bidi="de-de"/>
    </w:rPr>
  </w:style>
  <w:style w:type="paragraph" w:styleId="para12" w:customStyle="1">
    <w:name w:val="Zwischentitel 2"/>
    <w:qFormat/>
    <w:basedOn w:val="para7"/>
    <w:next w:val="para0"/>
    <w:pPr>
      <w:spacing w:before="120" w:after="40"/>
      <w:outlineLvl w:val="5"/>
    </w:pPr>
    <w:rPr>
      <w:b w:val="0"/>
      <w:bCs w:val="0"/>
      <w:lang w:eastAsia="de-de" w:bidi="de-de"/>
    </w:rPr>
  </w:style>
  <w:style w:type="character" w:styleId="char0" w:default="1">
    <w:name w:val="Default Paragraph Font"/>
  </w:style>
  <w:style w:type="character" w:styleId="char1" w:customStyle="1">
    <w:name w:val="Überschrift 1 Zchn"/>
    <w:basedOn w:val="char0"/>
    <w:rPr>
      <w:rFonts w:ascii="Times New Roman" w:hAnsi="Times New Roman" w:eastAsia="Cambria"/>
      <w:b/>
      <w:bCs/>
      <w:sz w:val="28"/>
      <w:szCs w:val="28"/>
    </w:rPr>
  </w:style>
  <w:style w:type="character" w:styleId="char2" w:customStyle="1">
    <w:name w:val="Überschrift 2 Zchn"/>
    <w:basedOn w:val="char0"/>
    <w:rPr>
      <w:rFonts w:ascii="Times New Roman" w:hAnsi="Times New Roman" w:eastAsia="Cambria"/>
      <w:b/>
      <w:bCs/>
      <w:sz w:val="32"/>
      <w:szCs w:val="26"/>
    </w:rPr>
  </w:style>
  <w:style w:type="character" w:styleId="char3" w:customStyle="1">
    <w:name w:val="Überschrift 3 Zchn"/>
    <w:basedOn w:val="char0"/>
    <w:rPr>
      <w:rFonts w:ascii="Times New Roman" w:hAnsi="Times New Roman" w:eastAsia="Cambria"/>
      <w:b/>
      <w:bCs/>
      <w:sz w:val="36"/>
      <w:u w:color="auto" w:val="single"/>
    </w:rPr>
  </w:style>
  <w:style w:type="character" w:styleId="char4" w:customStyle="1">
    <w:name w:val="Zwichentitel"/>
    <w:basedOn w:val="char0"/>
    <w:rPr>
      <w:rFonts w:ascii="Times New Roman" w:hAnsi="Times New Roman" w:eastAsia="Cambria"/>
      <w:b/>
      <w:bCs/>
      <w:i/>
      <w:iCs/>
      <w:sz w:val="24"/>
    </w:rPr>
  </w:style>
  <w:style w:type="character" w:styleId="char5" w:customStyle="1">
    <w:name w:val="Fußnotentext Zchn"/>
    <w:basedOn w:val="char0"/>
    <w:rPr>
      <w:rFonts w:ascii="Times New Roman" w:hAnsi="Times New Roman"/>
      <w:b w:val="0"/>
      <w:i w:val="0"/>
      <w:sz w:val="20"/>
    </w:rPr>
  </w:style>
  <w:style w:type="character" w:styleId="char6">
    <w:name w:val="Footnote Reference"/>
    <w:basedOn w:val="char0"/>
    <w:rPr>
      <w:rFonts w:ascii="Times New Roman" w:hAnsi="Times New Roman"/>
      <w:b w:val="0"/>
      <w:i w:val="0"/>
      <w:sz w:val="20"/>
      <w:vertAlign w:val="superscript"/>
      <w:lang w:val="de-de"/>
    </w:rPr>
  </w:style>
  <w:style w:type="character" w:styleId="char7">
    <w:name w:val="Placeholder Text"/>
    <w:basedOn w:val="char0"/>
    <w:rPr>
      <w:color w:val="808080"/>
    </w:rPr>
  </w:style>
  <w:style w:type="character" w:styleId="char8" w:customStyle="1">
    <w:name w:val="Sprechblasentext Zchn"/>
    <w:basedOn w:val="char0"/>
    <w:rPr>
      <w:rFonts w:ascii="Tahoma" w:hAnsi="Tahoma" w:cs="Tahoma"/>
      <w:sz w:val="16"/>
      <w:szCs w:val="16"/>
    </w:rPr>
  </w:style>
  <w:style w:type="character" w:styleId="char9" w:customStyle="1">
    <w:name w:val="Aufzählung Char"/>
    <w:basedOn w:val="char0"/>
    <w:rPr>
      <w:rFonts w:ascii="Times New Roman" w:hAnsi="Times New Roman" w:eastAsia="Times New Roman" w:cs="Times New Roman"/>
      <w:color w:val="000000"/>
      <w:sz w:val="24"/>
      <w:szCs w:val="24"/>
    </w:rPr>
  </w:style>
  <w:style w:type="character" w:styleId="char10" w:customStyle="1">
    <w:name w:val="Titel Zchn"/>
    <w:basedOn w:val="char0"/>
    <w:rPr>
      <w:rFonts w:ascii="Times New Roman" w:hAnsi="Times New Roman" w:eastAsia="Cambria"/>
      <w:color w:val="595959"/>
      <w:spacing w:val="5" w:percent="106"/>
      <w:kern w:val="0"/>
      <w:sz w:val="20"/>
      <w:szCs w:val="52"/>
    </w:rPr>
  </w:style>
  <w:style w:type="character" w:styleId="char11">
    <w:name w:val="Hyperlink"/>
    <w:basedOn w:val="char0"/>
    <w:rPr>
      <w:color w:val="0000FF"/>
      <w:u w:color="auto" w:val="single"/>
    </w:rPr>
  </w:style>
  <w:style w:type="character" w:styleId="char12">
    <w:name w:val="FollowedHyperlink"/>
    <w:basedOn w:val="char0"/>
    <w:rPr>
      <w:color w:val="800080"/>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chart" Target="charts/chart1.xml"/></Relationships>
</file>

<file path=word/charts/chart1.xml><?xml version="1.0" encoding="utf-8"?>
<c:chartSpace xmlns:c="http://schemas.openxmlformats.org/drawingml/2006/chart" xmlns:a="http://schemas.openxmlformats.org/drawingml/2006/main" xmlns:r="http://schemas.openxmlformats.org/officeDocument/2006/relationships">
  <c:date1904 val="0"/>
  <c:roundedCorners val="0"/>
  <c:style val="2"/>
  <c:chart>
    <c:autoTitleDeleted val="1"/>
    <c:plotArea>
      <c:layout/>
      <c:lineChart>
        <c:grouping val="standard"/>
        <c:varyColors val="0"/>
        <c:ser>
          <c:idx val="2"/>
          <c:order val="0"/>
          <c:tx>
            <c:v>Metall-
erzeugung</c:v>
          </c:tx>
          <c:spPr>
            <a:ln w="9525">
              <a:solidFill>
                <a:srgbClr val="00FF00"/>
              </a:solidFill>
            </a:ln>
          </c:spPr>
          <c:marker>
            <c:symbol val="none"/>
          </c:marker>
          <c:dLbls>
            <c:numFmt formatCode="General" sourceLinked="1"/>
            <c:spPr>
              <a:noFill/>
              <a:ln w="9525">
                <a:noFill/>
              </a:ln>
            </c:spPr>
            <c:txPr>
              <a:bodyPr anchor="ctr" anchorCtr="1"/>
              <a:lstStyle/>
              <a:p>
                <a:pPr>
                  <a:defRPr lang="de-de" sz="680" b="0" i="0" u="none" strike="noStrike" kern="100">
                    <a:solidFill>
                      <a:srgbClr val="000000"/>
                    </a:solidFill>
                    <a:latin typeface="Arial" charset="0"/>
                  </a:defRPr>
                </a:pPr>
              </a:p>
            </c:txPr>
            <c:showLegendKey val="0"/>
            <c:showVal val="0"/>
            <c:showCatName val="0"/>
            <c:showSerName val="0"/>
            <c:showPercent val="0"/>
            <c:showBubbleSize val="0"/>
            <c:showLeaderLines val="0"/>
          </c:dLbls>
          <c:cat>
            <c:numLit>
              <c:formatCode>0</c:formatCode>
              <c:ptCount val="37"/>
              <c:pt idx="0">
                <c:v>1913</c:v>
              </c:pt>
              <c:pt idx="1">
                <c:v>1914</c:v>
              </c:pt>
              <c:pt idx="2">
                <c:v>1915</c:v>
              </c:pt>
              <c:pt idx="3">
                <c:v>1916</c:v>
              </c:pt>
              <c:pt idx="4">
                <c:v>1917</c:v>
              </c:pt>
              <c:pt idx="5">
                <c:v>1918</c:v>
              </c:pt>
              <c:pt idx="6">
                <c:v>1919</c:v>
              </c:pt>
              <c:pt idx="7">
                <c:v>1920</c:v>
              </c:pt>
              <c:pt idx="8">
                <c:v>1921</c:v>
              </c:pt>
              <c:pt idx="9">
                <c:v>1922</c:v>
              </c:pt>
              <c:pt idx="10">
                <c:v>1923</c:v>
              </c:pt>
              <c:pt idx="11">
                <c:v>1924</c:v>
              </c:pt>
              <c:pt idx="12">
                <c:v>1925</c:v>
              </c:pt>
              <c:pt idx="13">
                <c:v>1926</c:v>
              </c:pt>
              <c:pt idx="14">
                <c:v>1927</c:v>
              </c:pt>
              <c:pt idx="15">
                <c:v>1928</c:v>
              </c:pt>
              <c:pt idx="16">
                <c:v>1929</c:v>
              </c:pt>
              <c:pt idx="17">
                <c:v>1930</c:v>
              </c:pt>
              <c:pt idx="18">
                <c:v>1931</c:v>
              </c:pt>
              <c:pt idx="19">
                <c:v>1932</c:v>
              </c:pt>
              <c:pt idx="20">
                <c:v>1933</c:v>
              </c:pt>
              <c:pt idx="21">
                <c:v>1934</c:v>
              </c:pt>
              <c:pt idx="22">
                <c:v>1935</c:v>
              </c:pt>
              <c:pt idx="23">
                <c:v>1936</c:v>
              </c:pt>
              <c:pt idx="24">
                <c:v>1937</c:v>
              </c:pt>
              <c:pt idx="25">
                <c:v>1938</c:v>
              </c:pt>
              <c:pt idx="26">
                <c:v>1939</c:v>
              </c:pt>
              <c:pt idx="27">
                <c:v>1940</c:v>
              </c:pt>
              <c:pt idx="28">
                <c:v>1941</c:v>
              </c:pt>
              <c:pt idx="29">
                <c:v>1942</c:v>
              </c:pt>
              <c:pt idx="30">
                <c:v>1943</c:v>
              </c:pt>
              <c:pt idx="31">
                <c:v>1944</c:v>
              </c:pt>
              <c:pt idx="32">
                <c:v>1945</c:v>
              </c:pt>
              <c:pt idx="33">
                <c:v>1946</c:v>
              </c:pt>
              <c:pt idx="34">
                <c:v>1947</c:v>
              </c:pt>
              <c:pt idx="35">
                <c:v>1948</c:v>
              </c:pt>
              <c:pt idx="36">
                <c:v>1949</c:v>
              </c:pt>
            </c:numLit>
          </c:cat>
          <c:val>
            <c:numLit>
              <c:formatCode>0.0</c:formatCode>
              <c:ptCount val="37"/>
              <c:pt idx="0">
                <c:v>100</c:v>
              </c:pt>
              <c:pt idx="1">
                <c:v>78.4</c:v>
              </c:pt>
              <c:pt idx="2">
                <c:v>74.5</c:v>
              </c:pt>
              <c:pt idx="3">
                <c:v>79.5</c:v>
              </c:pt>
              <c:pt idx="4">
                <c:v>91.9</c:v>
              </c:pt>
              <c:pt idx="5">
                <c:v>71.1</c:v>
              </c:pt>
              <c:pt idx="6">
                <c:v>43.1</c:v>
              </c:pt>
              <c:pt idx="7">
                <c:v>49.1</c:v>
              </c:pt>
              <c:pt idx="8">
                <c:v>54.4</c:v>
              </c:pt>
              <c:pt idx="9">
                <c:v>65.1</c:v>
              </c:pt>
              <c:pt idx="10">
                <c:v>40.3</c:v>
              </c:pt>
              <c:pt idx="11">
                <c:v>52.5</c:v>
              </c:pt>
              <c:pt idx="12">
                <c:v>70.4</c:v>
              </c:pt>
              <c:pt idx="13">
                <c:v>61.5</c:v>
              </c:pt>
              <c:pt idx="14">
                <c:v>85.9</c:v>
              </c:pt>
              <c:pt idx="15">
                <c:v>79.3</c:v>
              </c:pt>
              <c:pt idx="16">
                <c:v>86</c:v>
              </c:pt>
              <c:pt idx="17">
                <c:v>63.1</c:v>
              </c:pt>
              <c:pt idx="18">
                <c:v>44.9</c:v>
              </c:pt>
              <c:pt idx="19">
                <c:v>31.9</c:v>
              </c:pt>
              <c:pt idx="20">
                <c:v>41.4</c:v>
              </c:pt>
              <c:pt idx="21">
                <c:v>62.9</c:v>
              </c:pt>
              <c:pt idx="22">
                <c:v>82.4</c:v>
              </c:pt>
              <c:pt idx="23">
                <c:v>99.2</c:v>
              </c:pt>
              <c:pt idx="24">
                <c:v>107</c:v>
              </c:pt>
              <c:pt idx="25">
                <c:v>122.7</c:v>
              </c:pt>
              <c:pt idx="26">
                <c:v>121.9</c:v>
              </c:pt>
              <c:pt idx="27">
                <c:v>107.8</c:v>
              </c:pt>
              <c:pt idx="28">
                <c:v>111.9</c:v>
              </c:pt>
              <c:pt idx="29">
                <c:v>109.8</c:v>
              </c:pt>
              <c:pt idx="30">
                <c:v>109.2</c:v>
              </c:pt>
              <c:pt idx="31">
                <c:v>105.5</c:v>
              </c:pt>
              <c:pt idx="32" formatCode="General">
                <c:v/>
              </c:pt>
              <c:pt idx="33" formatCode="General">
                <c:v/>
              </c:pt>
              <c:pt idx="34" formatCode="General">
                <c:v/>
              </c:pt>
              <c:pt idx="35">
                <c:v>30.6</c:v>
              </c:pt>
              <c:pt idx="36">
                <c:v>49.8</c:v>
              </c:pt>
            </c:numLit>
          </c:val>
          <c:smooth val="0"/>
          <c:extLst>
            <c:ext xmlns:sm="sm" uri="sm">
              <sm:meanLine>
                <c:spPr>
                  <a:ln w="9525">
                    <a:noFill/>
                  </a:ln>
                </c:spPr>
              </sm:meanLine>
              <sm:minMaxLine>
                <c:spPr>
                  <a:ln w="9525">
                    <a:noFill/>
                  </a:ln>
                </c:spPr>
              </sm:minMaxLine>
              <sm:stDevLine>
                <c:spPr>
                  <a:ln w="9525">
                    <a:noFill/>
                  </a:ln>
                </c:spPr>
              </sm:stDevLine>
              <sm:trendLine>
                <c:spPr>
                  <a:ln w="9525">
                    <a:noFill/>
                  </a:ln>
                </c:spPr>
              </sm:trendLine>
            </c:ext>
          </c:extLst>
        </c:ser>
        <c:ser>
          <c:idx val="3"/>
          <c:order val="1"/>
          <c:tx>
            <c:v>Metall-
verarbeitung</c:v>
          </c:tx>
          <c:spPr>
            <a:ln w="9525">
              <a:solidFill>
                <a:srgbClr val="00FFFF"/>
              </a:solidFill>
            </a:ln>
          </c:spPr>
          <c:marker>
            <c:symbol val="none"/>
          </c:marker>
          <c:dLbls>
            <c:numFmt formatCode="General" sourceLinked="1"/>
            <c:spPr>
              <a:noFill/>
              <a:ln w="9525">
                <a:noFill/>
              </a:ln>
            </c:spPr>
            <c:txPr>
              <a:bodyPr anchor="ctr" anchorCtr="1"/>
              <a:lstStyle/>
              <a:p>
                <a:pPr>
                  <a:defRPr lang="de-de" sz="1000" b="0" i="0" u="none" strike="noStrike" kern="100">
                    <a:solidFill>
                      <a:srgbClr val="000000"/>
                    </a:solidFill>
                    <a:latin typeface="Arial" charset="0"/>
                  </a:defRPr>
                </a:pPr>
              </a:p>
            </c:txPr>
            <c:showLegendKey val="0"/>
            <c:showVal val="0"/>
            <c:showCatName val="0"/>
            <c:showSerName val="0"/>
            <c:showPercent val="0"/>
            <c:showBubbleSize val="0"/>
            <c:showLeaderLines val="0"/>
          </c:dLbls>
          <c:cat>
            <c:numLit>
              <c:formatCode>0</c:formatCode>
              <c:ptCount val="37"/>
              <c:pt idx="0">
                <c:v>1913</c:v>
              </c:pt>
              <c:pt idx="1">
                <c:v>1914</c:v>
              </c:pt>
              <c:pt idx="2">
                <c:v>1915</c:v>
              </c:pt>
              <c:pt idx="3">
                <c:v>1916</c:v>
              </c:pt>
              <c:pt idx="4">
                <c:v>1917</c:v>
              </c:pt>
              <c:pt idx="5">
                <c:v>1918</c:v>
              </c:pt>
              <c:pt idx="6">
                <c:v>1919</c:v>
              </c:pt>
              <c:pt idx="7">
                <c:v>1920</c:v>
              </c:pt>
              <c:pt idx="8">
                <c:v>1921</c:v>
              </c:pt>
              <c:pt idx="9">
                <c:v>1922</c:v>
              </c:pt>
              <c:pt idx="10">
                <c:v>1923</c:v>
              </c:pt>
              <c:pt idx="11">
                <c:v>1924</c:v>
              </c:pt>
              <c:pt idx="12">
                <c:v>1925</c:v>
              </c:pt>
              <c:pt idx="13">
                <c:v>1926</c:v>
              </c:pt>
              <c:pt idx="14">
                <c:v>1927</c:v>
              </c:pt>
              <c:pt idx="15">
                <c:v>1928</c:v>
              </c:pt>
              <c:pt idx="16">
                <c:v>1929</c:v>
              </c:pt>
              <c:pt idx="17">
                <c:v>1930</c:v>
              </c:pt>
              <c:pt idx="18">
                <c:v>1931</c:v>
              </c:pt>
              <c:pt idx="19">
                <c:v>1932</c:v>
              </c:pt>
              <c:pt idx="20">
                <c:v>1933</c:v>
              </c:pt>
              <c:pt idx="21">
                <c:v>1934</c:v>
              </c:pt>
              <c:pt idx="22">
                <c:v>1935</c:v>
              </c:pt>
              <c:pt idx="23">
                <c:v>1936</c:v>
              </c:pt>
              <c:pt idx="24">
                <c:v>1937</c:v>
              </c:pt>
              <c:pt idx="25">
                <c:v>1938</c:v>
              </c:pt>
              <c:pt idx="26">
                <c:v>1939</c:v>
              </c:pt>
              <c:pt idx="27">
                <c:v>1940</c:v>
              </c:pt>
              <c:pt idx="28">
                <c:v>1941</c:v>
              </c:pt>
              <c:pt idx="29">
                <c:v>1942</c:v>
              </c:pt>
              <c:pt idx="30">
                <c:v>1943</c:v>
              </c:pt>
              <c:pt idx="31">
                <c:v>1944</c:v>
              </c:pt>
              <c:pt idx="32">
                <c:v>1945</c:v>
              </c:pt>
              <c:pt idx="33">
                <c:v>1946</c:v>
              </c:pt>
              <c:pt idx="34">
                <c:v>1947</c:v>
              </c:pt>
              <c:pt idx="35">
                <c:v>1948</c:v>
              </c:pt>
              <c:pt idx="36">
                <c:v>1949</c:v>
              </c:pt>
            </c:numLit>
          </c:cat>
          <c:val>
            <c:numLit>
              <c:formatCode>0.0</c:formatCode>
              <c:ptCount val="37"/>
              <c:pt idx="0">
                <c:v>100</c:v>
              </c:pt>
              <c:pt idx="1">
                <c:v>81.6</c:v>
              </c:pt>
              <c:pt idx="2" formatCode="General">
                <c:v/>
              </c:pt>
              <c:pt idx="3" formatCode="General">
                <c:v/>
              </c:pt>
              <c:pt idx="4" formatCode="General">
                <c:v/>
              </c:pt>
              <c:pt idx="5" formatCode="General">
                <c:v/>
              </c:pt>
              <c:pt idx="6" formatCode="General">
                <c:v/>
              </c:pt>
              <c:pt idx="7" formatCode="General">
                <c:v/>
              </c:pt>
              <c:pt idx="8" formatCode="General">
                <c:v/>
              </c:pt>
              <c:pt idx="9" formatCode="General">
                <c:v/>
              </c:pt>
              <c:pt idx="10" formatCode="General">
                <c:v/>
              </c:pt>
              <c:pt idx="11">
                <c:v>92.9</c:v>
              </c:pt>
              <c:pt idx="12">
                <c:v>131.4</c:v>
              </c:pt>
              <c:pt idx="13">
                <c:v>103.9</c:v>
              </c:pt>
              <c:pt idx="14">
                <c:v>142.6</c:v>
              </c:pt>
              <c:pt idx="15">
                <c:v>163.5</c:v>
              </c:pt>
              <c:pt idx="16">
                <c:v>170.3</c:v>
              </c:pt>
              <c:pt idx="17">
                <c:v>156.9</c:v>
              </c:pt>
              <c:pt idx="18">
                <c:v>120.3</c:v>
              </c:pt>
              <c:pt idx="19">
                <c:v>84.2</c:v>
              </c:pt>
              <c:pt idx="20">
                <c:v>91.6</c:v>
              </c:pt>
              <c:pt idx="21">
                <c:v>125.5</c:v>
              </c:pt>
              <c:pt idx="22">
                <c:v>163.9</c:v>
              </c:pt>
              <c:pt idx="23">
                <c:v>202.6</c:v>
              </c:pt>
              <c:pt idx="24">
                <c:v>239.7</c:v>
              </c:pt>
              <c:pt idx="25">
                <c:v>281.1</c:v>
              </c:pt>
              <c:pt idx="26">
                <c:v>343.8</c:v>
              </c:pt>
              <c:pt idx="27" formatCode="General">
                <c:v/>
              </c:pt>
              <c:pt idx="28" formatCode="General">
                <c:v/>
              </c:pt>
              <c:pt idx="29" formatCode="General">
                <c:v/>
              </c:pt>
              <c:pt idx="30" formatCode="General">
                <c:v/>
              </c:pt>
              <c:pt idx="31" formatCode="General">
                <c:v/>
              </c:pt>
              <c:pt idx="32" formatCode="General">
                <c:v/>
              </c:pt>
              <c:pt idx="33" formatCode="General">
                <c:v/>
              </c:pt>
              <c:pt idx="34" formatCode="General">
                <c:v/>
              </c:pt>
              <c:pt idx="35">
                <c:v>68.8</c:v>
              </c:pt>
              <c:pt idx="36">
                <c:v>105</c:v>
              </c:pt>
            </c:numLit>
          </c:val>
          <c:smooth val="0"/>
          <c:extLst>
            <c:ext xmlns:sm="sm" uri="sm">
              <sm:meanLine>
                <c:spPr>
                  <a:ln w="9525">
                    <a:noFill/>
                  </a:ln>
                </c:spPr>
              </sm:meanLine>
              <sm:minMaxLine>
                <c:spPr>
                  <a:ln w="9525">
                    <a:noFill/>
                  </a:ln>
                </c:spPr>
              </sm:minMaxLine>
              <sm:stDevLine>
                <c:spPr>
                  <a:ln w="9525">
                    <a:noFill/>
                  </a:ln>
                </c:spPr>
              </sm:stDevLine>
              <sm:trendLine>
                <c:spPr>
                  <a:ln w="9525">
                    <a:noFill/>
                  </a:ln>
                </c:spPr>
              </sm:trendLine>
            </c:ext>
          </c:extLst>
        </c:ser>
        <c:ser>
          <c:idx val="4"/>
          <c:order val="2"/>
          <c:tx>
            <c:v>Chemie</c:v>
          </c:tx>
          <c:spPr>
            <a:ln w="9525">
              <a:solidFill>
                <a:srgbClr val="7F007F"/>
              </a:solidFill>
            </a:ln>
          </c:spPr>
          <c:marker>
            <c:symbol val="none"/>
          </c:marker>
          <c:dLbls>
            <c:numFmt formatCode="General" sourceLinked="1"/>
            <c:spPr>
              <a:noFill/>
              <a:ln w="9525">
                <a:noFill/>
              </a:ln>
            </c:spPr>
            <c:txPr>
              <a:bodyPr anchor="ctr" anchorCtr="1"/>
              <a:lstStyle/>
              <a:p>
                <a:pPr>
                  <a:defRPr lang="de-de" sz="1000" b="0" i="0" u="none" strike="noStrike" kern="100">
                    <a:solidFill>
                      <a:srgbClr val="000000"/>
                    </a:solidFill>
                    <a:latin typeface="Arial" charset="0"/>
                  </a:defRPr>
                </a:pPr>
              </a:p>
            </c:txPr>
            <c:showLegendKey val="0"/>
            <c:showVal val="0"/>
            <c:showCatName val="0"/>
            <c:showSerName val="0"/>
            <c:showPercent val="0"/>
            <c:showBubbleSize val="0"/>
            <c:showLeaderLines val="0"/>
          </c:dLbls>
          <c:cat>
            <c:numLit>
              <c:formatCode>0</c:formatCode>
              <c:ptCount val="37"/>
              <c:pt idx="0">
                <c:v>1913</c:v>
              </c:pt>
              <c:pt idx="1">
                <c:v>1914</c:v>
              </c:pt>
              <c:pt idx="2">
                <c:v>1915</c:v>
              </c:pt>
              <c:pt idx="3">
                <c:v>1916</c:v>
              </c:pt>
              <c:pt idx="4">
                <c:v>1917</c:v>
              </c:pt>
              <c:pt idx="5">
                <c:v>1918</c:v>
              </c:pt>
              <c:pt idx="6">
                <c:v>1919</c:v>
              </c:pt>
              <c:pt idx="7">
                <c:v>1920</c:v>
              </c:pt>
              <c:pt idx="8">
                <c:v>1921</c:v>
              </c:pt>
              <c:pt idx="9">
                <c:v>1922</c:v>
              </c:pt>
              <c:pt idx="10">
                <c:v>1923</c:v>
              </c:pt>
              <c:pt idx="11">
                <c:v>1924</c:v>
              </c:pt>
              <c:pt idx="12">
                <c:v>1925</c:v>
              </c:pt>
              <c:pt idx="13">
                <c:v>1926</c:v>
              </c:pt>
              <c:pt idx="14">
                <c:v>1927</c:v>
              </c:pt>
              <c:pt idx="15">
                <c:v>1928</c:v>
              </c:pt>
              <c:pt idx="16">
                <c:v>1929</c:v>
              </c:pt>
              <c:pt idx="17">
                <c:v>1930</c:v>
              </c:pt>
              <c:pt idx="18">
                <c:v>1931</c:v>
              </c:pt>
              <c:pt idx="19">
                <c:v>1932</c:v>
              </c:pt>
              <c:pt idx="20">
                <c:v>1933</c:v>
              </c:pt>
              <c:pt idx="21">
                <c:v>1934</c:v>
              </c:pt>
              <c:pt idx="22">
                <c:v>1935</c:v>
              </c:pt>
              <c:pt idx="23">
                <c:v>1936</c:v>
              </c:pt>
              <c:pt idx="24">
                <c:v>1937</c:v>
              </c:pt>
              <c:pt idx="25">
                <c:v>1938</c:v>
              </c:pt>
              <c:pt idx="26">
                <c:v>1939</c:v>
              </c:pt>
              <c:pt idx="27">
                <c:v>1940</c:v>
              </c:pt>
              <c:pt idx="28">
                <c:v>1941</c:v>
              </c:pt>
              <c:pt idx="29">
                <c:v>1942</c:v>
              </c:pt>
              <c:pt idx="30">
                <c:v>1943</c:v>
              </c:pt>
              <c:pt idx="31">
                <c:v>1944</c:v>
              </c:pt>
              <c:pt idx="32">
                <c:v>1945</c:v>
              </c:pt>
              <c:pt idx="33">
                <c:v>1946</c:v>
              </c:pt>
              <c:pt idx="34">
                <c:v>1947</c:v>
              </c:pt>
              <c:pt idx="35">
                <c:v>1948</c:v>
              </c:pt>
              <c:pt idx="36">
                <c:v>1949</c:v>
              </c:pt>
            </c:numLit>
          </c:cat>
          <c:val>
            <c:numLit>
              <c:formatCode>0.0</c:formatCode>
              <c:ptCount val="37"/>
              <c:pt idx="0">
                <c:v>100</c:v>
              </c:pt>
              <c:pt idx="1" formatCode="General">
                <c:v/>
              </c:pt>
              <c:pt idx="2" formatCode="General">
                <c:v/>
              </c:pt>
              <c:pt idx="3" formatCode="General">
                <c:v/>
              </c:pt>
              <c:pt idx="4" formatCode="General">
                <c:v/>
              </c:pt>
              <c:pt idx="5" formatCode="General">
                <c:v/>
              </c:pt>
              <c:pt idx="6" formatCode="General">
                <c:v/>
              </c:pt>
              <c:pt idx="7" formatCode="General">
                <c:v/>
              </c:pt>
              <c:pt idx="8" formatCode="General">
                <c:v/>
              </c:pt>
              <c:pt idx="9" formatCode="General">
                <c:v/>
              </c:pt>
              <c:pt idx="10" formatCode="General">
                <c:v/>
              </c:pt>
              <c:pt idx="11" formatCode="General">
                <c:v/>
              </c:pt>
              <c:pt idx="12">
                <c:v>133</c:v>
              </c:pt>
              <c:pt idx="13">
                <c:v>123.3</c:v>
              </c:pt>
              <c:pt idx="14">
                <c:v>155.1</c:v>
              </c:pt>
              <c:pt idx="15">
                <c:v>161.1</c:v>
              </c:pt>
              <c:pt idx="16">
                <c:v>186.1</c:v>
              </c:pt>
              <c:pt idx="17">
                <c:v>172.2</c:v>
              </c:pt>
              <c:pt idx="18">
                <c:v>148</c:v>
              </c:pt>
              <c:pt idx="19">
                <c:v>138.4</c:v>
              </c:pt>
              <c:pt idx="20">
                <c:v>151.9</c:v>
              </c:pt>
              <c:pt idx="21">
                <c:v>174.6</c:v>
              </c:pt>
              <c:pt idx="22">
                <c:v>201.9</c:v>
              </c:pt>
              <c:pt idx="23">
                <c:v>234.8</c:v>
              </c:pt>
              <c:pt idx="24">
                <c:v>312.3</c:v>
              </c:pt>
              <c:pt idx="25">
                <c:v>334.8</c:v>
              </c:pt>
              <c:pt idx="26" formatCode="General">
                <c:v/>
              </c:pt>
              <c:pt idx="27" formatCode="General">
                <c:v/>
              </c:pt>
              <c:pt idx="28" formatCode="General">
                <c:v/>
              </c:pt>
              <c:pt idx="29" formatCode="General">
                <c:v/>
              </c:pt>
              <c:pt idx="30" formatCode="General">
                <c:v/>
              </c:pt>
              <c:pt idx="31" formatCode="General">
                <c:v/>
              </c:pt>
              <c:pt idx="32" formatCode="General">
                <c:v/>
              </c:pt>
              <c:pt idx="33" formatCode="General">
                <c:v/>
              </c:pt>
              <c:pt idx="34" formatCode="General">
                <c:v/>
              </c:pt>
              <c:pt idx="35">
                <c:v>129.9</c:v>
              </c:pt>
              <c:pt idx="36">
                <c:v>185.5</c:v>
              </c:pt>
            </c:numLit>
          </c:val>
          <c:smooth val="0"/>
          <c:extLst>
            <c:ext xmlns:sm="sm" uri="sm">
              <sm:meanLine>
                <c:spPr>
                  <a:ln w="9525">
                    <a:noFill/>
                  </a:ln>
                </c:spPr>
              </sm:meanLine>
              <sm:minMaxLine>
                <c:spPr>
                  <a:ln w="9525">
                    <a:noFill/>
                  </a:ln>
                </c:spPr>
              </sm:minMaxLine>
              <sm:stDevLine>
                <c:spPr>
                  <a:ln w="9525">
                    <a:noFill/>
                  </a:ln>
                </c:spPr>
              </sm:stDevLine>
              <sm:trendLine>
                <c:spPr>
                  <a:ln w="9525">
                    <a:noFill/>
                  </a:ln>
                </c:spPr>
              </sm:trendLine>
            </c:ext>
          </c:extLst>
        </c:ser>
        <c:ser>
          <c:idx val="5"/>
          <c:order val="3"/>
          <c:tx>
            <c:v>Gesamt-
industrie</c:v>
          </c:tx>
          <c:spPr>
            <a:ln w="9525">
              <a:solidFill>
                <a:srgbClr val="0000FF"/>
              </a:solidFill>
            </a:ln>
          </c:spPr>
          <c:marker>
            <c:symbol val="none"/>
          </c:marker>
          <c:dLbls>
            <c:numFmt formatCode="General" sourceLinked="1"/>
            <c:spPr>
              <a:noFill/>
              <a:ln w="9525">
                <a:noFill/>
              </a:ln>
            </c:spPr>
            <c:txPr>
              <a:bodyPr anchor="ctr" anchorCtr="1"/>
              <a:lstStyle/>
              <a:p>
                <a:pPr>
                  <a:defRPr lang="de-de" sz="1000" b="0" i="0" u="none" strike="noStrike" kern="100">
                    <a:solidFill>
                      <a:srgbClr val="000000"/>
                    </a:solidFill>
                    <a:latin typeface="Arial" charset="0"/>
                  </a:defRPr>
                </a:pPr>
              </a:p>
            </c:txPr>
            <c:showLegendKey val="0"/>
            <c:showVal val="0"/>
            <c:showCatName val="0"/>
            <c:showSerName val="0"/>
            <c:showPercent val="0"/>
            <c:showBubbleSize val="0"/>
            <c:showLeaderLines val="0"/>
          </c:dLbls>
          <c:cat>
            <c:numLit>
              <c:formatCode>0</c:formatCode>
              <c:ptCount val="37"/>
              <c:pt idx="0">
                <c:v>1913</c:v>
              </c:pt>
              <c:pt idx="1">
                <c:v>1914</c:v>
              </c:pt>
              <c:pt idx="2">
                <c:v>1915</c:v>
              </c:pt>
              <c:pt idx="3">
                <c:v>1916</c:v>
              </c:pt>
              <c:pt idx="4">
                <c:v>1917</c:v>
              </c:pt>
              <c:pt idx="5">
                <c:v>1918</c:v>
              </c:pt>
              <c:pt idx="6">
                <c:v>1919</c:v>
              </c:pt>
              <c:pt idx="7">
                <c:v>1920</c:v>
              </c:pt>
              <c:pt idx="8">
                <c:v>1921</c:v>
              </c:pt>
              <c:pt idx="9">
                <c:v>1922</c:v>
              </c:pt>
              <c:pt idx="10">
                <c:v>1923</c:v>
              </c:pt>
              <c:pt idx="11">
                <c:v>1924</c:v>
              </c:pt>
              <c:pt idx="12">
                <c:v>1925</c:v>
              </c:pt>
              <c:pt idx="13">
                <c:v>1926</c:v>
              </c:pt>
              <c:pt idx="14">
                <c:v>1927</c:v>
              </c:pt>
              <c:pt idx="15">
                <c:v>1928</c:v>
              </c:pt>
              <c:pt idx="16">
                <c:v>1929</c:v>
              </c:pt>
              <c:pt idx="17">
                <c:v>1930</c:v>
              </c:pt>
              <c:pt idx="18">
                <c:v>1931</c:v>
              </c:pt>
              <c:pt idx="19">
                <c:v>1932</c:v>
              </c:pt>
              <c:pt idx="20">
                <c:v>1933</c:v>
              </c:pt>
              <c:pt idx="21">
                <c:v>1934</c:v>
              </c:pt>
              <c:pt idx="22">
                <c:v>1935</c:v>
              </c:pt>
              <c:pt idx="23">
                <c:v>1936</c:v>
              </c:pt>
              <c:pt idx="24">
                <c:v>1937</c:v>
              </c:pt>
              <c:pt idx="25">
                <c:v>1938</c:v>
              </c:pt>
              <c:pt idx="26">
                <c:v>1939</c:v>
              </c:pt>
              <c:pt idx="27">
                <c:v>1940</c:v>
              </c:pt>
              <c:pt idx="28">
                <c:v>1941</c:v>
              </c:pt>
              <c:pt idx="29">
                <c:v>1942</c:v>
              </c:pt>
              <c:pt idx="30">
                <c:v>1943</c:v>
              </c:pt>
              <c:pt idx="31">
                <c:v>1944</c:v>
              </c:pt>
              <c:pt idx="32">
                <c:v>1945</c:v>
              </c:pt>
              <c:pt idx="33">
                <c:v>1946</c:v>
              </c:pt>
              <c:pt idx="34">
                <c:v>1947</c:v>
              </c:pt>
              <c:pt idx="35">
                <c:v>1948</c:v>
              </c:pt>
              <c:pt idx="36">
                <c:v>1949</c:v>
              </c:pt>
            </c:numLit>
          </c:cat>
          <c:val>
            <c:numLit>
              <c:formatCode>0.0</c:formatCode>
              <c:ptCount val="37"/>
              <c:pt idx="0">
                <c:v>100</c:v>
              </c:pt>
              <c:pt idx="1" formatCode="General">
                <c:v/>
              </c:pt>
              <c:pt idx="2" formatCode="General">
                <c:v/>
              </c:pt>
              <c:pt idx="3" formatCode="General">
                <c:v/>
              </c:pt>
              <c:pt idx="4" formatCode="General">
                <c:v/>
              </c:pt>
              <c:pt idx="5" formatCode="General">
                <c:v/>
              </c:pt>
              <c:pt idx="6" formatCode="General">
                <c:v/>
              </c:pt>
              <c:pt idx="7" formatCode="General">
                <c:v/>
              </c:pt>
              <c:pt idx="8" formatCode="General">
                <c:v/>
              </c:pt>
              <c:pt idx="9" formatCode="General">
                <c:v/>
              </c:pt>
              <c:pt idx="10" formatCode="General">
                <c:v/>
              </c:pt>
              <c:pt idx="11" formatCode="General">
                <c:v/>
              </c:pt>
              <c:pt idx="12">
                <c:v>103.4</c:v>
              </c:pt>
              <c:pt idx="13">
                <c:v>93.7</c:v>
              </c:pt>
              <c:pt idx="14">
                <c:v>118.8</c:v>
              </c:pt>
              <c:pt idx="15">
                <c:v>119.1</c:v>
              </c:pt>
              <c:pt idx="16">
                <c:v>121.4</c:v>
              </c:pt>
              <c:pt idx="17">
                <c:v>106.1</c:v>
              </c:pt>
              <c:pt idx="18">
                <c:v>85.1</c:v>
              </c:pt>
              <c:pt idx="19">
                <c:v>72.8</c:v>
              </c:pt>
              <c:pt idx="20">
                <c:v>83.1</c:v>
              </c:pt>
              <c:pt idx="21">
                <c:v>103.1</c:v>
              </c:pt>
              <c:pt idx="22">
                <c:v>121.2</c:v>
              </c:pt>
              <c:pt idx="23">
                <c:v>137.1</c:v>
              </c:pt>
              <c:pt idx="24">
                <c:v>152.9</c:v>
              </c:pt>
              <c:pt idx="25">
                <c:v>168.1</c:v>
              </c:pt>
              <c:pt idx="26" formatCode="General">
                <c:v/>
              </c:pt>
              <c:pt idx="27" formatCode="General">
                <c:v/>
              </c:pt>
              <c:pt idx="28" formatCode="General">
                <c:v/>
              </c:pt>
              <c:pt idx="29" formatCode="General">
                <c:v/>
              </c:pt>
              <c:pt idx="30" formatCode="General">
                <c:v/>
              </c:pt>
              <c:pt idx="31" formatCode="General">
                <c:v/>
              </c:pt>
              <c:pt idx="32" formatCode="General">
                <c:v/>
              </c:pt>
              <c:pt idx="33" formatCode="General">
                <c:v/>
              </c:pt>
              <c:pt idx="34" formatCode="General">
                <c:v/>
              </c:pt>
              <c:pt idx="35" formatCode="General">
                <c:v/>
              </c:pt>
              <c:pt idx="36" formatCode="General">
                <c:v/>
              </c:pt>
            </c:numLit>
          </c:val>
          <c:smooth val="0"/>
          <c:extLst>
            <c:ext xmlns:sm="sm" uri="sm">
              <sm:meanLine>
                <c:spPr>
                  <a:ln w="9525">
                    <a:noFill/>
                  </a:ln>
                </c:spPr>
              </sm:meanLine>
              <sm:minMaxLine>
                <c:spPr>
                  <a:ln w="9525">
                    <a:noFill/>
                  </a:ln>
                </c:spPr>
              </sm:minMaxLine>
              <sm:stDevLine>
                <c:spPr>
                  <a:ln w="9525">
                    <a:noFill/>
                  </a:ln>
                </c:spPr>
              </sm:stDevLine>
              <sm:trendLine>
                <c:spPr>
                  <a:ln w="9525">
                    <a:noFill/>
                  </a:ln>
                </c:spPr>
              </sm:trendLine>
            </c:ext>
          </c:extLst>
        </c:ser>
        <c:dLbls>
          <c:showLegendKey val="0"/>
          <c:showVal val="0"/>
          <c:showCatName val="0"/>
          <c:showSerName val="0"/>
          <c:showPercent val="0"/>
          <c:showBubbleSize val="0"/>
          <c:showLeaderLines val="0"/>
        </c:dLbls>
        <c:extLst>
          <c:ext xmlns:sm="sm" uri="sm">
            <sm:boxPlot xmlns:sm="sm" val="0"/>
            <sm:turned xmlns:sm="sm" val="0"/>
          </c:ext>
        </c:extLst>
        <c:axId val="10"/>
        <c:axId val="11"/>
      </c:lineChart>
      <c:catAx>
        <c:axId val="10"/>
        <c:scaling>
          <c:orientation val="minMax"/>
        </c:scaling>
        <c:delete val="0"/>
        <c:axPos val="b"/>
        <c:numFmt formatCode="General" sourceLinked="1"/>
        <c:majorTickMark val="cross"/>
        <c:minorTickMark val="none"/>
        <c:tickLblPos val="nextTo"/>
        <c:txPr>
          <a:bodyPr anchor="ctr" anchorCtr="1" rot="-5400000"/>
          <a:lstStyle/>
          <a:p>
            <a:pPr>
              <a:defRPr lang="de-de" sz="800" b="0" i="0" u="none" strike="noStrike" kern="100">
                <a:solidFill>
                  <a:srgbClr val="000000"/>
                </a:solidFill>
                <a:latin typeface="Times New Roman" charset="0"/>
              </a:defRPr>
            </a:pPr>
          </a:p>
        </c:txPr>
        <c:crossAx val="11"/>
        <c:crosses val="autoZero"/>
        <c:auto val="1"/>
      </c:catAx>
      <c:valAx>
        <c:axId val="11"/>
        <c:scaling>
          <c:orientation val="minMax"/>
          <c:max val="350.000000"/>
        </c:scaling>
        <c:delete val="0"/>
        <c:axPos val="l"/>
        <c:majorGridlines/>
        <c:numFmt formatCode="General" sourceLinked="1"/>
        <c:majorTickMark val="cross"/>
        <c:minorTickMark val="none"/>
        <c:tickLblPos val="nextTo"/>
        <c:txPr>
          <a:bodyPr anchor="ctr" anchorCtr="1"/>
          <a:lstStyle/>
          <a:p>
            <a:pPr>
              <a:defRPr lang="de-de" sz="800" b="0" i="0" u="none" strike="noStrike" kern="100">
                <a:solidFill>
                  <a:srgbClr val="000000"/>
                </a:solidFill>
                <a:latin typeface="Times New Roman" charset="0"/>
              </a:defRPr>
            </a:pPr>
          </a:p>
        </c:txPr>
        <c:crossAx val="10"/>
        <c:crosses val="autoZero"/>
        <c:crossBetween val="between"/>
      </c:valAx>
    </c:plotArea>
    <c:legend>
      <c:legendPos val="b"/>
      <c:layout/>
      <c:overlay val="0"/>
      <c:spPr>
        <a:ln w="9525">
          <a:noFill/>
        </a:ln>
      </c:spPr>
      <c:txPr>
        <a:bodyPr anchor="t" numCol="4"/>
        <a:lstStyle/>
        <a:p>
          <a:pPr>
            <a:defRPr lang="de-de" sz="680" b="0" i="0" u="none" strike="noStrike" kern="100">
              <a:solidFill>
                <a:srgbClr val="000000"/>
              </a:solidFill>
              <a:latin typeface="Times New Roman" charset="0"/>
            </a:defRPr>
          </a:pPr>
        </a:p>
      </c:txPr>
    </c:legend>
    <c:plotVisOnly val="1"/>
    <c:dispBlanksAs val="gap"/>
  </c:chart>
  <c:spPr>
    <a:noFill/>
  </c:spPr>
  <c:txPr>
    <a:bodyPr anchor="ctr" anchorCtr="1"/>
    <a:lstStyle/>
    <a:p>
      <a:pPr>
        <a:defRPr lang="de-de" sz="1935" b="0" i="0" u="none" strike="noStrike" kern="100">
          <a:solidFill>
            <a:srgbClr val="000000"/>
          </a:solidFill>
          <a:latin typeface="Arial" charset="0"/>
        </a:defRPr>
      </a:pPr>
    </a:p>
  </c:txPr>
  <c:extLst>
    <c:ext xmlns:sm="sm" uri="sm">
      <sm:colorScheme xmlns:sm="sm" id="1785271755" val="0"/>
    </c:ext>
  </c:extLst>
</c:chartSpace>
</file>

<file path=word/theme/theme1.xml><?xml version="1.0" encoding="utf-8"?>
<a:theme xmlns:a="http://schemas.openxmlformats.org/drawingml/2006/main" name="Office">
  <a:themeElements>
    <a:clrScheme name="Office">
      <a:dk1>
        <a:srgbClr val="FFFFFF"/>
      </a:dk1>
      <a:lt1>
        <a:srgbClr val="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rev.1500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Uwis</dc:creator>
  <cp:keywords/>
  <dc:description/>
  <cp:lastModifiedBy>Thomas Uwis</cp:lastModifiedBy>
  <cp:revision>226</cp:revision>
  <dcterms:created xsi:type="dcterms:W3CDTF">2015-06-02T09:28:00Z</dcterms:created>
  <dcterms:modified xsi:type="dcterms:W3CDTF">2026-07-28T20:49:15Z</dcterms:modified>
</cp:coreProperties>
</file>