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svg" ContentType="image/svg+xml"/>
  <Default Extension="emf" ContentType="image/x-emf"/>
  <Default Extension="wmf" ContentType="image/x-wmf"/>
  <Default Extension="pct" ContentType="image/pct"/>
  <Default Extension="pcx" ContentType="image/pcx"/>
  <Default Extension="tga" ContentType="image/tga"/>
  <Default Extension="webp" ContentType="image/webp"/>
  <Default Extension="pdf" ContentType="application/pdf"/>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rPr>
          <w:b/>
          <w:bCs/>
          <w:sz w:val="56"/>
          <w:szCs w:val="56"/>
        </w:rPr>
      </w:pPr>
      <w:r>
        <w:rPr>
          <w:b/>
          <w:bCs/>
          <w:sz w:val="56"/>
          <w:szCs w:val="56"/>
        </w:rPr>
        <w:t>Medienrecht</w:t>
      </w:r>
    </w:p>
    <w:p>
      <w:r/>
    </w:p>
    <w:p>
      <w:r>
        <w:t>+ Nach Kapitelumbruch die Seiten 2 leer, 3 Schmutztitel, 4 Impressum, 5 Widmung</w:t>
      </w:r>
    </w:p>
    <w:p>
      <w:pPr>
        <w:sectPr>
          <w:footnotePr>
            <w:pos w:val="pageBottom"/>
            <w:numFmt w:val="decimal"/>
            <w:numStart w:val="1"/>
            <w:numRestart w:val="continuous"/>
            <w:tmFnProps w:left="0" w:right="5102" w:top="72" w:bottom="72">
              <w:tmFnLine w:val="single" w:sz="5" w:space="0" w:color="999999" tmln="12,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39" w:w="11907"/>
          <w:pgMar w:left="1134" w:top="1134" w:right="1134" w:bottom="1134" w:header="0" w:footer="0"/>
          <w:paperSrc w:first="0" w:other="0" a="0" b="0"/>
          <w:pgNumType w:fmt="decimal"/>
          <w:evenAndOddHeaders/>
          <w:tmGutter w:val="1"/>
          <w:mirrorMargins w:val="0"/>
          <w:tmSection w:h="-1"/>
          <w:guidesAndGridMasterPages Id="0" numberOfVerticalGuides="0" numberOfHorizontalGuides="0">
            <w:masterPageOptions>
              <w:masterPageFlags flags="15"/>
            </w:masterPageOptions>
          </w:guidesAndGridMasterPages>
          <w:guidesAndGridMasterPages Id="1" numberOfVerticalGuides="0" numberOfHorizontalGuides="0">
            <w:masterPageOptions>
              <w:masterPageFlags flags="15"/>
            </w:masterPageOptions>
          </w:guidesAndGridMasterPages>
          <w:guidesAndGridMasterPages Id="2" numberOfVerticalGuides="0" numberOfHorizontalGuides="0">
            <w:masterPageOptions>
              <w:masterPageFlags flags="15"/>
            </w:masterPageOptions>
          </w:guidesAndGridMasterPages>
          <w:foldMarks/>
        </w:sectPr>
      </w:pPr>
    </w:p>
    <w:p>
      <w:pPr>
        <w:pStyle w:val="para10"/>
      </w:pPr>
      <w:bookmarkStart w:id="0" w:name="_TOC000002"/>
      <w:r/>
      <w:bookmarkEnd w:id="0"/>
      <w:r>
        <w:t xml:space="preserve">Gliederung </w:t>
      </w:r>
    </w:p>
    <w:p>
      <w:pPr>
        <w:pStyle w:val="para10"/>
      </w:pPr>
      <w:r/>
    </w:p>
    <w:p>
      <w:pPr>
        <w:pStyle w:val="para11"/>
        <w:tabs defTabSz="708">
          <w:tab w:val="right" w:pos="9639" w:leader="dot"/>
        </w:tabs>
      </w:pPr>
      <w:r>
        <w:fldChar w:fldCharType="begin"/>
      </w:r>
      <w:r>
        <w:instrText xml:space="preserve"> TOC \o "1 - 9" \z </w:instrText>
      </w:r>
      <w:r>
        <w:fldChar w:fldCharType="separate"/>
      </w:r>
      <w:r>
        <w:rPr>
          <w:hyperlink w:anchor="_TOC000002"/>
        </w:rPr>
        <w:t>Gliederung</w:t>
        <w:tab/>
        <w:t>I</w:t>
      </w:r>
      <w:r/>
    </w:p>
    <w:p>
      <w:pPr>
        <w:pStyle w:val="para11"/>
        <w:tabs defTabSz="708">
          <w:tab w:val="right" w:pos="9639" w:leader="dot"/>
        </w:tabs>
      </w:pPr>
      <w:r>
        <w:rPr>
          <w:hyperlink w:anchor="_TOC000041"/>
        </w:rPr>
        <w:t>Literatur</w:t>
        <w:tab/>
        <w:t>III</w:t>
      </w:r>
      <w:r/>
    </w:p>
    <w:p>
      <w:pPr>
        <w:pStyle w:val="para11"/>
        <w:tabs defTabSz="708">
          <w:tab w:val="right" w:pos="9639" w:leader="dot"/>
        </w:tabs>
      </w:pPr>
      <w:r>
        <w:rPr>
          <w:hyperlink w:anchor="_TOC000005"/>
        </w:rPr>
        <w:t>Abkürzungen</w:t>
        <w:tab/>
        <w:t>IV</w:t>
      </w:r>
      <w:r/>
    </w:p>
    <w:p>
      <w:pPr>
        <w:pStyle w:val="para11"/>
        <w:tabs defTabSz="708">
          <w:tab w:val="right" w:pos="9639" w:leader="dot"/>
        </w:tabs>
        <w:rPr>
          <w:lang w:eastAsia="zh-cn" w:bidi="ar-sa"/>
        </w:rPr>
      </w:pPr>
      <w:r>
        <w:rPr>
          <w:lang w:eastAsia="zh-cn" w:bidi="ar-sa"/>
          <w:hyperlink w:anchor="_TOC000039"/>
        </w:rPr>
        <w:t>Vorbemerkungen NEU REINKOPIEREN</w:t>
        <w:tab/>
        <w:t>5</w:t>
      </w:r>
      <w:r>
        <w:rPr>
          <w:lang w:eastAsia="zh-cn" w:bidi="ar-sa"/>
        </w:rPr>
      </w:r>
    </w:p>
    <w:p>
      <w:pPr>
        <w:pStyle w:val="para11"/>
        <w:tabs defTabSz="708">
          <w:tab w:val="left" w:pos="567" w:leader="none"/>
          <w:tab w:val="right" w:pos="9639" w:leader="dot"/>
        </w:tabs>
      </w:pPr>
      <w:r>
        <w:rPr>
          <w:hyperlink w:anchor="__RefHeading___Toc37646_1817765274"/>
        </w:rPr>
        <w:t>A.</w:t>
        <w:tab/>
        <w:t xml:space="preserve"> Das Medienrecht</w:t>
        <w:tab/>
        <w:t>5</w:t>
      </w:r>
      <w:r/>
    </w:p>
    <w:p>
      <w:pPr>
        <w:pStyle w:val="para11"/>
        <w:tabs defTabSz="708">
          <w:tab w:val="left" w:pos="567" w:leader="none"/>
          <w:tab w:val="right" w:pos="9639" w:leader="dot"/>
        </w:tabs>
      </w:pPr>
      <w:r>
        <w:rPr>
          <w:hyperlink w:anchor="__RefHeading___Toc1465_463100521"/>
        </w:rPr>
        <w:t>B.</w:t>
        <w:tab/>
        <w:t xml:space="preserve"> Modulbezogene Hinweise</w:t>
        <w:tab/>
        <w:t>5</w:t>
      </w:r>
      <w:r/>
    </w:p>
    <w:p>
      <w:pPr>
        <w:pStyle w:val="para18"/>
        <w:tabs defTabSz="708">
          <w:tab w:val="left" w:pos="1304" w:leader="none"/>
          <w:tab w:val="right" w:pos="9639" w:leader="dot"/>
        </w:tabs>
      </w:pPr>
      <w:r>
        <w:rPr>
          <w:hyperlink w:anchor="__RefHeading___Toc35945_1817765274"/>
        </w:rPr>
        <w:t>I.</w:t>
        <w:tab/>
        <w:t xml:space="preserve"> Hinweise zur Nutzung des Skripts</w:t>
        <w:tab/>
        <w:t>5</w:t>
      </w:r>
      <w:r/>
    </w:p>
    <w:p>
      <w:pPr>
        <w:pStyle w:val="para18"/>
        <w:tabs defTabSz="708">
          <w:tab w:val="left" w:pos="1304" w:leader="none"/>
          <w:tab w:val="right" w:pos="9639" w:leader="dot"/>
        </w:tabs>
      </w:pPr>
      <w:r>
        <w:rPr>
          <w:hyperlink w:anchor="__RefHeading___Toc35943_1817765274"/>
        </w:rPr>
        <w:t>II.</w:t>
        <w:tab/>
        <w:t xml:space="preserve"> Lernziele</w:t>
        <w:tab/>
        <w:t>5</w:t>
      </w:r>
      <w:r/>
    </w:p>
    <w:p>
      <w:pPr>
        <w:pStyle w:val="para11"/>
        <w:tabs defTabSz="708">
          <w:tab w:val="right" w:pos="9639" w:leader="dot"/>
        </w:tabs>
      </w:pPr>
      <w:r>
        <w:rPr>
          <w:hyperlink w:anchor="_TOC000006"/>
        </w:rPr>
        <w:t>Kurseinheit 1 – Grundlagen des Rechts</w:t>
        <w:tab/>
        <w:t>7</w:t>
      </w:r>
      <w:r/>
    </w:p>
    <w:p>
      <w:pPr>
        <w:pStyle w:val="para11"/>
        <w:tabs defTabSz="708">
          <w:tab w:val="left" w:pos="567" w:leader="none"/>
          <w:tab w:val="right" w:pos="9639" w:leader="dot"/>
        </w:tabs>
      </w:pPr>
      <w:r>
        <w:rPr>
          <w:hyperlink w:anchor="_TOC000007"/>
        </w:rPr>
        <w:t>A.</w:t>
        <w:tab/>
        <w:t xml:space="preserve"> Einleitung</w:t>
        <w:tab/>
        <w:t>7</w:t>
      </w:r>
      <w:r/>
    </w:p>
    <w:p>
      <w:pPr>
        <w:pStyle w:val="para11"/>
        <w:tabs defTabSz="708">
          <w:tab w:val="left" w:pos="567" w:leader="none"/>
          <w:tab w:val="right" w:pos="9639" w:leader="dot"/>
        </w:tabs>
      </w:pPr>
      <w:r>
        <w:rPr>
          <w:hyperlink w:anchor="_TOC000008"/>
        </w:rPr>
        <w:t>B.</w:t>
        <w:tab/>
        <w:t xml:space="preserve"> Staat</w:t>
        <w:tab/>
        <w:t>7</w:t>
      </w:r>
      <w:r/>
    </w:p>
    <w:p>
      <w:pPr>
        <w:pStyle w:val="para18"/>
        <w:tabs defTabSz="708">
          <w:tab w:val="left" w:pos="1304" w:leader="none"/>
          <w:tab w:val="right" w:pos="9639" w:leader="dot"/>
        </w:tabs>
      </w:pPr>
      <w:r>
        <w:rPr>
          <w:hyperlink w:anchor="_TOC000009"/>
        </w:rPr>
        <w:t>I.</w:t>
        <w:tab/>
        <w:t xml:space="preserve"> Staatsbegriff</w:t>
        <w:tab/>
        <w:t>8</w:t>
      </w:r>
      <w:r/>
    </w:p>
    <w:p>
      <w:pPr>
        <w:pStyle w:val="para19"/>
        <w:tabs defTabSz="708">
          <w:tab w:val="left" w:pos="1587" w:leader="none"/>
          <w:tab w:val="right" w:pos="9639" w:leader="dot"/>
        </w:tabs>
      </w:pPr>
      <w:r>
        <w:rPr>
          <w:hyperlink w:anchor="_TOC000040"/>
        </w:rPr>
        <w:t>1.</w:t>
        <w:tab/>
        <w:t xml:space="preserve"> Wissenschaftliche Ansätze</w:t>
        <w:tab/>
        <w:t>8</w:t>
      </w:r>
      <w:r/>
    </w:p>
    <w:p>
      <w:pPr>
        <w:pStyle w:val="para19"/>
        <w:tabs defTabSz="708">
          <w:tab w:val="left" w:pos="1587" w:leader="none"/>
          <w:tab w:val="right" w:pos="9639" w:leader="dot"/>
        </w:tabs>
      </w:pPr>
      <w:r>
        <w:rPr>
          <w:hyperlink w:anchor="_TOC000044"/>
        </w:rPr>
        <w:t>2.</w:t>
        <w:tab/>
        <w:t xml:space="preserve"> Die Einzelaspekte</w:t>
        <w:tab/>
        <w:t>9</w:t>
      </w:r>
      <w:r/>
    </w:p>
    <w:p>
      <w:pPr>
        <w:pStyle w:val="para22"/>
        <w:tabs defTabSz="708">
          <w:tab w:val="left" w:pos="1870" w:leader="none"/>
          <w:tab w:val="right" w:pos="9639" w:leader="dot"/>
        </w:tabs>
      </w:pPr>
      <w:r>
        <w:rPr>
          <w:hyperlink w:anchor="_TOC000045"/>
        </w:rPr>
        <w:t>a.</w:t>
        <w:tab/>
        <w:t xml:space="preserve"> Staatsgebiet</w:t>
        <w:tab/>
        <w:t>9</w:t>
      </w:r>
      <w:r/>
    </w:p>
    <w:p>
      <w:pPr>
        <w:pStyle w:val="para22"/>
        <w:tabs defTabSz="708">
          <w:tab w:val="left" w:pos="1870" w:leader="none"/>
          <w:tab w:val="right" w:pos="9639" w:leader="dot"/>
        </w:tabs>
      </w:pPr>
      <w:r>
        <w:rPr>
          <w:hyperlink w:anchor="_TOC000046"/>
        </w:rPr>
        <w:t>b.</w:t>
        <w:tab/>
        <w:t xml:space="preserve"> Staatsvolk</w:t>
        <w:tab/>
        <w:t>9</w:t>
      </w:r>
      <w:r/>
    </w:p>
    <w:p>
      <w:pPr>
        <w:pStyle w:val="para22"/>
        <w:tabs defTabSz="708">
          <w:tab w:val="left" w:pos="1870" w:leader="none"/>
          <w:tab w:val="right" w:pos="9639" w:leader="dot"/>
        </w:tabs>
      </w:pPr>
      <w:r>
        <w:rPr>
          <w:hyperlink w:anchor="_TOC000047"/>
        </w:rPr>
        <w:t>c.</w:t>
        <w:tab/>
        <w:t xml:space="preserve"> Staatsgewalt</w:t>
        <w:tab/>
        <w:t>9</w:t>
      </w:r>
      <w:r/>
    </w:p>
    <w:p>
      <w:pPr>
        <w:pStyle w:val="para18"/>
        <w:tabs defTabSz="708">
          <w:tab w:val="left" w:pos="1304" w:leader="none"/>
          <w:tab w:val="right" w:pos="9639" w:leader="dot"/>
        </w:tabs>
      </w:pPr>
      <w:r>
        <w:rPr>
          <w:hyperlink w:anchor="_TOC000043"/>
        </w:rPr>
        <w:t>II.</w:t>
        <w:tab/>
        <w:t xml:space="preserve"> Staatsformen</w:t>
        <w:tab/>
        <w:t>9</w:t>
      </w:r>
      <w:r/>
    </w:p>
    <w:p>
      <w:pPr>
        <w:pStyle w:val="para18"/>
        <w:tabs defTabSz="708">
          <w:tab w:val="left" w:pos="1304" w:leader="none"/>
          <w:tab w:val="right" w:pos="9639" w:leader="dot"/>
        </w:tabs>
      </w:pPr>
      <w:r>
        <w:rPr>
          <w:hyperlink w:anchor="_TOC000010"/>
        </w:rPr>
        <w:t>III.</w:t>
        <w:tab/>
        <w:t xml:space="preserve"> Geschichte deutscher Staatlichkeit</w:t>
        <w:tab/>
        <w:t>10</w:t>
      </w:r>
      <w:r/>
    </w:p>
    <w:p>
      <w:pPr>
        <w:pStyle w:val="para19"/>
        <w:tabs defTabSz="708">
          <w:tab w:val="left" w:pos="1587" w:leader="none"/>
          <w:tab w:val="right" w:pos="9639" w:leader="dot"/>
        </w:tabs>
      </w:pPr>
      <w:r>
        <w:rPr>
          <w:hyperlink w:anchor="_TOC000011"/>
        </w:rPr>
        <w:t>1.</w:t>
        <w:tab/>
        <w:t xml:space="preserve"> Antike</w:t>
        <w:tab/>
        <w:t>10</w:t>
      </w:r>
      <w:r/>
    </w:p>
    <w:p>
      <w:pPr>
        <w:pStyle w:val="para19"/>
        <w:tabs defTabSz="708">
          <w:tab w:val="left" w:pos="1587" w:leader="none"/>
          <w:tab w:val="right" w:pos="9639" w:leader="dot"/>
        </w:tabs>
      </w:pPr>
      <w:r>
        <w:rPr>
          <w:hyperlink w:anchor="_TOC000012"/>
        </w:rPr>
        <w:t>2.</w:t>
        <w:tab/>
        <w:t xml:space="preserve"> Mittelalterliche Staaten</w:t>
        <w:tab/>
        <w:t>10</w:t>
      </w:r>
      <w:r/>
    </w:p>
    <w:p>
      <w:pPr>
        <w:pStyle w:val="para19"/>
        <w:tabs defTabSz="708">
          <w:tab w:val="left" w:pos="1587" w:leader="none"/>
          <w:tab w:val="right" w:pos="9639" w:leader="dot"/>
        </w:tabs>
      </w:pPr>
      <w:r>
        <w:rPr>
          <w:hyperlink w:anchor="_TOC000013"/>
        </w:rPr>
        <w:t>3.</w:t>
        <w:tab/>
        <w:t xml:space="preserve"> Entwicklung des Nationalstaats</w:t>
        <w:tab/>
        <w:t>10</w:t>
      </w:r>
      <w:r/>
    </w:p>
    <w:p>
      <w:pPr>
        <w:pStyle w:val="para19"/>
        <w:tabs defTabSz="708">
          <w:tab w:val="left" w:pos="1587" w:leader="none"/>
          <w:tab w:val="right" w:pos="9639" w:leader="dot"/>
        </w:tabs>
      </w:pPr>
      <w:r>
        <w:rPr>
          <w:hyperlink w:anchor="_TOC000014"/>
        </w:rPr>
        <w:t>4.</w:t>
        <w:tab/>
        <w:t xml:space="preserve"> Entstehung der Bundesrepublik Deutschland</w:t>
        <w:tab/>
        <w:t>10</w:t>
      </w:r>
      <w:r/>
    </w:p>
    <w:p>
      <w:pPr>
        <w:pStyle w:val="para19"/>
        <w:tabs defTabSz="708">
          <w:tab w:val="left" w:pos="1587" w:leader="none"/>
          <w:tab w:val="right" w:pos="9639" w:leader="dot"/>
        </w:tabs>
      </w:pPr>
      <w:r>
        <w:rPr>
          <w:hyperlink w:anchor="_TOC000015"/>
        </w:rPr>
        <w:t>5.</w:t>
        <w:tab/>
        <w:t xml:space="preserve"> Exkurs Fortbestehen des Deutschen Reichs / Weimarer Republik</w:t>
        <w:tab/>
        <w:t>10</w:t>
      </w:r>
      <w:r/>
    </w:p>
    <w:p>
      <w:pPr>
        <w:pStyle w:val="para11"/>
        <w:tabs defTabSz="708">
          <w:tab w:val="left" w:pos="567" w:leader="none"/>
          <w:tab w:val="right" w:pos="9639" w:leader="dot"/>
        </w:tabs>
      </w:pPr>
      <w:r>
        <w:rPr>
          <w:hyperlink w:anchor="_TOC000016"/>
        </w:rPr>
        <w:t>C.</w:t>
        <w:tab/>
        <w:t xml:space="preserve"> Rechtsgrundlagen der Bundesrepublik</w:t>
        <w:tab/>
        <w:t>10</w:t>
      </w:r>
      <w:r/>
    </w:p>
    <w:p>
      <w:pPr>
        <w:pStyle w:val="para18"/>
        <w:tabs defTabSz="708">
          <w:tab w:val="left" w:pos="1304" w:leader="none"/>
          <w:tab w:val="right" w:pos="9639" w:leader="dot"/>
        </w:tabs>
      </w:pPr>
      <w:r>
        <w:rPr>
          <w:hyperlink w:anchor="_TOC000017"/>
        </w:rPr>
        <w:t>I.</w:t>
        <w:tab/>
        <w:t xml:space="preserve"> Recht und Gesetze</w:t>
        <w:tab/>
        <w:t>10</w:t>
      </w:r>
      <w:r/>
    </w:p>
    <w:p>
      <w:pPr>
        <w:pStyle w:val="para19"/>
        <w:tabs defTabSz="708">
          <w:tab w:val="left" w:pos="1587" w:leader="none"/>
          <w:tab w:val="right" w:pos="9639" w:leader="dot"/>
        </w:tabs>
      </w:pPr>
      <w:r>
        <w:rPr>
          <w:hyperlink w:anchor="_TOC000018"/>
        </w:rPr>
        <w:t>1.</w:t>
        <w:tab/>
        <w:t xml:space="preserve"> Gesetzeshierarchie</w:t>
        <w:tab/>
        <w:t>10</w:t>
      </w:r>
      <w:r/>
    </w:p>
    <w:p>
      <w:pPr>
        <w:pStyle w:val="para19"/>
        <w:tabs defTabSz="708">
          <w:tab w:val="left" w:pos="1587" w:leader="none"/>
          <w:tab w:val="right" w:pos="9639" w:leader="dot"/>
        </w:tabs>
      </w:pPr>
      <w:r>
        <w:rPr>
          <w:hyperlink w:anchor="_TOC000019"/>
        </w:rPr>
        <w:t>2.</w:t>
        <w:tab/>
        <w:t xml:space="preserve"> Rechtsgebiete</w:t>
        <w:tab/>
        <w:t>10</w:t>
      </w:r>
      <w:r/>
    </w:p>
    <w:p>
      <w:pPr>
        <w:pStyle w:val="para19"/>
        <w:tabs defTabSz="708">
          <w:tab w:val="left" w:pos="1587" w:leader="none"/>
          <w:tab w:val="right" w:pos="9639" w:leader="dot"/>
        </w:tabs>
      </w:pPr>
      <w:r>
        <w:rPr>
          <w:hyperlink w:anchor="_TOC000020"/>
        </w:rPr>
        <w:t>3.</w:t>
        <w:tab/>
        <w:t xml:space="preserve"> Durchsetzung des Rechts</w:t>
        <w:tab/>
        <w:t>10</w:t>
      </w:r>
      <w:r/>
    </w:p>
    <w:p>
      <w:pPr>
        <w:pStyle w:val="para18"/>
        <w:tabs defTabSz="708">
          <w:tab w:val="left" w:pos="1304" w:leader="none"/>
          <w:tab w:val="right" w:pos="9639" w:leader="dot"/>
        </w:tabs>
      </w:pPr>
      <w:r>
        <w:rPr>
          <w:hyperlink w:anchor="_TOC000021"/>
        </w:rPr>
        <w:t>II.</w:t>
        <w:tab/>
        <w:t xml:space="preserve"> Verfassungsrecht</w:t>
        <w:tab/>
        <w:t>10</w:t>
      </w:r>
      <w:r/>
    </w:p>
    <w:p>
      <w:pPr>
        <w:pStyle w:val="para19"/>
        <w:tabs defTabSz="708">
          <w:tab w:val="left" w:pos="1587" w:leader="none"/>
          <w:tab w:val="right" w:pos="9639" w:leader="dot"/>
        </w:tabs>
      </w:pPr>
      <w:r>
        <w:rPr>
          <w:hyperlink w:anchor="_TOC000022"/>
        </w:rPr>
        <w:t>1.</w:t>
        <w:tab/>
        <w:t xml:space="preserve"> Funktion einer Verfassung</w:t>
        <w:tab/>
        <w:t>10</w:t>
      </w:r>
      <w:r/>
    </w:p>
    <w:p>
      <w:pPr>
        <w:pStyle w:val="para19"/>
        <w:tabs defTabSz="708">
          <w:tab w:val="left" w:pos="1587" w:leader="none"/>
          <w:tab w:val="right" w:pos="9639" w:leader="dot"/>
        </w:tabs>
      </w:pPr>
      <w:r>
        <w:rPr>
          <w:hyperlink w:anchor="_TOC000023"/>
        </w:rPr>
        <w:t>2.</w:t>
        <w:tab/>
        <w:t xml:space="preserve"> Entstehung des Grundgesetzes</w:t>
        <w:tab/>
        <w:t>10</w:t>
      </w:r>
      <w:r/>
    </w:p>
    <w:p>
      <w:pPr>
        <w:pStyle w:val="para19"/>
        <w:tabs defTabSz="708">
          <w:tab w:val="left" w:pos="1587" w:leader="none"/>
          <w:tab w:val="right" w:pos="9639" w:leader="dot"/>
        </w:tabs>
      </w:pPr>
      <w:r>
        <w:rPr>
          <w:hyperlink w:anchor="_TOC000024"/>
        </w:rPr>
        <w:t>3.</w:t>
        <w:tab/>
        <w:t xml:space="preserve"> Struktur des Grundgesetzes</w:t>
        <w:tab/>
        <w:t>10</w:t>
      </w:r>
      <w:r/>
    </w:p>
    <w:p>
      <w:pPr>
        <w:pStyle w:val="para19"/>
        <w:tabs defTabSz="708">
          <w:tab w:val="left" w:pos="1587" w:leader="none"/>
          <w:tab w:val="right" w:pos="9639" w:leader="dot"/>
        </w:tabs>
      </w:pPr>
      <w:r>
        <w:rPr>
          <w:hyperlink w:anchor="_TOC000025"/>
        </w:rPr>
        <w:t>4.</w:t>
        <w:tab/>
        <w:t xml:space="preserve"> Staatsprinzipien und Staatsziele</w:t>
        <w:tab/>
        <w:t>10</w:t>
      </w:r>
      <w:r/>
    </w:p>
    <w:p>
      <w:pPr>
        <w:pStyle w:val="para19"/>
        <w:tabs defTabSz="708">
          <w:tab w:val="left" w:pos="1587" w:leader="none"/>
          <w:tab w:val="right" w:pos="9639" w:leader="dot"/>
        </w:tabs>
      </w:pPr>
      <w:r>
        <w:rPr>
          <w:hyperlink w:anchor="_TOC000026"/>
        </w:rPr>
        <w:t>5.</w:t>
        <w:tab/>
        <w:t xml:space="preserve"> Einflüsse internationaler Organisationen</w:t>
        <w:tab/>
        <w:t>10</w:t>
      </w:r>
      <w:r/>
    </w:p>
    <w:p>
      <w:pPr>
        <w:pStyle w:val="para18"/>
        <w:tabs defTabSz="708">
          <w:tab w:val="left" w:pos="1304" w:leader="none"/>
          <w:tab w:val="right" w:pos="9639" w:leader="dot"/>
        </w:tabs>
      </w:pPr>
      <w:r>
        <w:rPr>
          <w:hyperlink w:anchor="_TOC000027"/>
        </w:rPr>
        <w:t>III.</w:t>
        <w:tab/>
        <w:t xml:space="preserve"> Grundrechte</w:t>
        <w:tab/>
        <w:t>10</w:t>
      </w:r>
      <w:r/>
    </w:p>
    <w:p>
      <w:pPr>
        <w:pStyle w:val="para19"/>
        <w:tabs defTabSz="708">
          <w:tab w:val="left" w:pos="1587" w:leader="none"/>
          <w:tab w:val="right" w:pos="9639" w:leader="dot"/>
        </w:tabs>
      </w:pPr>
      <w:r>
        <w:rPr>
          <w:hyperlink w:anchor="_TOC000028"/>
        </w:rPr>
        <w:t>1.</w:t>
        <w:tab/>
        <w:t xml:space="preserve"> Funktion</w:t>
        <w:tab/>
        <w:t>10</w:t>
      </w:r>
      <w:r/>
    </w:p>
    <w:p>
      <w:pPr>
        <w:pStyle w:val="para19"/>
        <w:tabs defTabSz="708">
          <w:tab w:val="left" w:pos="1587" w:leader="none"/>
          <w:tab w:val="right" w:pos="9639" w:leader="dot"/>
        </w:tabs>
      </w:pPr>
      <w:r>
        <w:rPr>
          <w:hyperlink w:anchor="_TOC000029"/>
        </w:rPr>
        <w:t>2.</w:t>
        <w:tab/>
        <w:t xml:space="preserve"> Bedeutung</w:t>
        <w:tab/>
        <w:t>10</w:t>
      </w:r>
      <w:r/>
    </w:p>
    <w:p>
      <w:pPr>
        <w:pStyle w:val="para19"/>
        <w:tabs defTabSz="708">
          <w:tab w:val="left" w:pos="1587" w:leader="none"/>
          <w:tab w:val="right" w:pos="9639" w:leader="dot"/>
        </w:tabs>
      </w:pPr>
      <w:r>
        <w:rPr>
          <w:hyperlink w:anchor="_TOC000030"/>
        </w:rPr>
        <w:t>3.</w:t>
        <w:tab/>
        <w:t xml:space="preserve"> Einzelne Grundrechte im Überblick</w:t>
        <w:tab/>
        <w:t>10</w:t>
      </w:r>
      <w:r/>
    </w:p>
    <w:p>
      <w:pPr>
        <w:pStyle w:val="para18"/>
        <w:tabs defTabSz="708">
          <w:tab w:val="left" w:pos="1304" w:leader="none"/>
          <w:tab w:val="right" w:pos="9639" w:leader="dot"/>
        </w:tabs>
      </w:pPr>
      <w:r>
        <w:rPr>
          <w:hyperlink w:anchor="_TOC000031"/>
        </w:rPr>
        <w:t>IV.</w:t>
        <w:tab/>
        <w:t xml:space="preserve"> Staatsorganisation</w:t>
        <w:tab/>
        <w:t>10</w:t>
      </w:r>
      <w:r/>
    </w:p>
    <w:p>
      <w:pPr>
        <w:pStyle w:val="para19"/>
        <w:tabs defTabSz="708">
          <w:tab w:val="left" w:pos="1587" w:leader="none"/>
          <w:tab w:val="right" w:pos="9639" w:leader="dot"/>
        </w:tabs>
      </w:pPr>
      <w:r>
        <w:rPr>
          <w:hyperlink w:anchor="_TOC000032"/>
        </w:rPr>
        <w:t>1.</w:t>
        <w:tab/>
        <w:t xml:space="preserve"> Staatsorgane</w:t>
        <w:tab/>
        <w:t>10</w:t>
      </w:r>
      <w:r/>
    </w:p>
    <w:p>
      <w:pPr>
        <w:pStyle w:val="para19"/>
        <w:tabs defTabSz="708">
          <w:tab w:val="left" w:pos="1587" w:leader="none"/>
          <w:tab w:val="right" w:pos="9639" w:leader="dot"/>
        </w:tabs>
      </w:pPr>
      <w:r>
        <w:rPr>
          <w:hyperlink w:anchor="_TOC000033"/>
        </w:rPr>
        <w:t>2.</w:t>
        <w:tab/>
        <w:t xml:space="preserve"> Gewaltenteilung</w:t>
        <w:tab/>
        <w:t>10</w:t>
      </w:r>
      <w:r/>
    </w:p>
    <w:p>
      <w:pPr>
        <w:pStyle w:val="para19"/>
        <w:tabs defTabSz="708">
          <w:tab w:val="left" w:pos="1587" w:leader="none"/>
          <w:tab w:val="right" w:pos="9639" w:leader="dot"/>
        </w:tabs>
      </w:pPr>
      <w:r>
        <w:rPr>
          <w:hyperlink w:anchor="_TOC000034"/>
        </w:rPr>
        <w:t>3.</w:t>
        <w:tab/>
        <w:t xml:space="preserve"> Wahlen als ….</w:t>
        <w:tab/>
        <w:t>10</w:t>
      </w:r>
      <w:r/>
    </w:p>
    <w:p>
      <w:pPr>
        <w:pStyle w:val="para19"/>
        <w:tabs defTabSz="708">
          <w:tab w:val="left" w:pos="1587" w:leader="none"/>
          <w:tab w:val="right" w:pos="9639" w:leader="dot"/>
        </w:tabs>
      </w:pPr>
      <w:r>
        <w:rPr>
          <w:hyperlink w:anchor="_TOC000035"/>
        </w:rPr>
        <w:t>4.</w:t>
        <w:tab/>
        <w:t xml:space="preserve"> Gesetzgebung</w:t>
        <w:tab/>
        <w:t>10</w:t>
      </w:r>
      <w:r/>
    </w:p>
    <w:p>
      <w:pPr>
        <w:pStyle w:val="para19"/>
        <w:tabs defTabSz="708">
          <w:tab w:val="left" w:pos="1587" w:leader="none"/>
          <w:tab w:val="right" w:pos="9639" w:leader="dot"/>
        </w:tabs>
      </w:pPr>
      <w:r>
        <w:rPr>
          <w:hyperlink w:anchor="_TOC000036"/>
        </w:rPr>
        <w:t>5.</w:t>
        <w:tab/>
        <w:t xml:space="preserve"> Recht und Gerichte</w:t>
        <w:tab/>
        <w:t>10</w:t>
      </w:r>
      <w:r/>
    </w:p>
    <w:p>
      <w:r>
        <w:fldChar w:fldCharType="end"/>
      </w:r>
      <w:r/>
    </w:p>
    <w:p>
      <w:bookmarkStart w:id="1" w:name="_TOC000004"/>
      <w:r/>
    </w:p>
    <w:p>
      <w:pPr>
        <w:pStyle w:val="para10"/>
      </w:pPr>
      <w:r>
        <w:br w:type="page"/>
      </w:r>
      <w:bookmarkStart w:id="2" w:name="_TOC000041"/>
      <w:r>
        <w:t>Literatur</w:t>
      </w:r>
      <w:bookmarkEnd w:id="1"/>
      <w:r/>
      <w:bookmarkEnd w:id="2"/>
      <w:r/>
    </w:p>
    <w:p>
      <w:pPr>
        <w:pStyle w:val="para21"/>
        <w:spacing w:after="240"/>
      </w:pPr>
      <w:r/>
    </w:p>
    <w:p>
      <w:pPr>
        <w:pStyle w:val="para21"/>
      </w:pPr>
      <w:r>
        <w:fldChar w:fldCharType="begin"/>
      </w:r>
      <w:r>
        <w:instrText xml:space="preserve">ADDIN ZOTERO_BIBL {"uncited":[],"omitted":[],"custom":[]} CSL_BIBLIOGRAPHY    </w:instrText>
      </w:r>
      <w:r>
        <w:fldChar w:fldCharType="separate"/>
      </w:r>
      <w:r>
        <w:t>Crawford, James, The creation of states in international law, 2. Auflage , Oxford 2007.</w:t>
      </w:r>
    </w:p>
    <w:p>
      <w:pPr>
        <w:pStyle w:val="para21"/>
      </w:pPr>
      <w:r>
        <w:t>Hegel, Georg Wilhelm Friedrich, Grundlinien der Philosophie des Rechts (Berliner Ausgabe, Erstdruck Nicolai 1820), 4. Auflage , Berlin 2017.</w:t>
      </w:r>
    </w:p>
    <w:p>
      <w:pPr>
        <w:pStyle w:val="para21"/>
      </w:pPr>
      <w:r>
        <w:t>Jahn, Egbert/ Fischer, Sabine/ Sahm, Astrid/ Universität Mannheim/ Evangelische Akademie Arnoldshain (Hrsg.), Die Zukunft des Friedens. Band 2: Die Friedens- und Konfliktforschung aus der Perspective der jüngeren Generationen, Wiesbaden 2005.</w:t>
      </w:r>
    </w:p>
    <w:p>
      <w:pPr>
        <w:pStyle w:val="para21"/>
      </w:pPr>
      <w:r>
        <w:t>Jellinek, Georg, Allgemeine Staatslehre, 3. Auflage , Berlin, Heidelberg 1914.</w:t>
      </w:r>
    </w:p>
    <w:p>
      <w:pPr>
        <w:pStyle w:val="para21"/>
      </w:pPr>
      <w:r>
        <w:t>Katz, Alfred, Staatsrecht: Grundkurs im öffentlichen Recht, 18. Auflage , Heidelberg 2010.</w:t>
      </w:r>
    </w:p>
    <w:p>
      <w:pPr>
        <w:pStyle w:val="para21"/>
      </w:pPr>
      <w:r>
        <w:t>Weber, Max, Wirtschaft und Gesellschaft. 1: Gemeinschaften, Tübingen 2009.</w:t>
      </w:r>
    </w:p>
    <w:p>
      <w:pPr>
        <w:pStyle w:val="para10"/>
      </w:pPr>
      <w:r>
        <w:fldChar w:fldCharType="end"/>
      </w:r>
      <w:r/>
    </w:p>
    <w:p>
      <w:r/>
    </w:p>
    <w:p>
      <w:r/>
    </w:p>
    <w:p>
      <w:pPr>
        <w:pStyle w:val="para10"/>
      </w:pPr>
      <w:r>
        <w:br w:type="page"/>
      </w:r>
      <w:bookmarkStart w:id="3" w:name="_TOC000005"/>
      <w:r>
        <w:t>Abkürzungen</w:t>
      </w:r>
      <w:bookmarkEnd w:id="3"/>
      <w:r/>
    </w:p>
    <w:p>
      <w:pPr>
        <w:sectPr>
          <w:footnotePr>
            <w:pos w:val="pageBottom"/>
            <w:numFmt w:val="decimal"/>
            <w:numStart w:val="1"/>
            <w:numRestart w:val="continuous"/>
            <w:tmFnProps w:left="0" w:right="5102" w:top="72" w:bottom="72">
              <w:tmFnLine w:val="single" w:sz="5" w:space="0" w:color="999999" tmln="12,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8"/>
          <w:footerReference w:type="default" r:id="rId9"/>
          <w:headerReference w:type="even" r:id="rId10"/>
          <w:footerReference w:type="even" r:id="rId11"/>
          <w:chapter/>
          <w:type w:val="nextPage"/>
          <w:pgSz w:h="16839" w:w="11907"/>
          <w:pgMar w:left="1134" w:top="1134" w:right="1134" w:bottom="1134" w:header="567" w:footer="567" w:gutter="567"/>
          <w:paperSrc w:first="0" w:other="0" a="0" b="0"/>
          <w:pgNumType w:fmt="upperRoman" w:start="1"/>
          <w:evenAndOddHeaders/>
          <w:tmGutter w:val="1"/>
          <w:mirrorMargins w:val="1"/>
          <w:tmSection w:h="-1">
            <w:tmHeader w:id="0" w:h="0" edge="567" text="0">
              <w:shd w:val="none"/>
              <w:bottom w:val="single" w:sz="0" w:space="0" w:color="000000" tmln="1, 20, 20, 0, 0"/>
            </w:tmHeader>
            <w:tmFooter w:id="0" w:h="0" edge="567" text="0">
              <w:shd w:val="none"/>
            </w:tmFooter>
            <w:tmHeader w:id="1" w:h="0" edge="567" text="0">
              <w:shd w:val="none"/>
              <w:bottom w:val="single" w:sz="0" w:space="0" w:color="000000" tmln="1, 20, 20, 0, 0"/>
            </w:tmHeader>
            <w:tmFooter w:id="1" w:h="0" edge="567" text="0">
              <w:shd w:val="none"/>
            </w:tmFooter>
          </w:tmSection>
          <w:guidesAndGridMasterPages Id="0" numberOfVerticalGuides="0" numberOfHorizontalGuides="0">
            <w:masterPageOptions>
              <w:masterPageFlags flags="15"/>
            </w:masterPageOptions>
          </w:guidesAndGridMasterPages>
          <w:guidesAndGridMasterPages Id="1" numberOfVerticalGuides="0" numberOfHorizontalGuides="0">
            <w:masterPageOptions>
              <w:masterPageFlags flags="15"/>
            </w:masterPageOptions>
          </w:guidesAndGridMasterPages>
          <w:guidesAndGridMasterPages Id="2" numberOfVerticalGuides="0" numberOfHorizontalGuides="0">
            <w:masterPageOptions>
              <w:masterPageFlags flags="15"/>
            </w:masterPageOptions>
          </w:guidesAndGridMasterPages>
          <w:foldMarks/>
        </w:sectPr>
      </w:pPr>
    </w:p>
    <w:p>
      <w:pPr>
        <w:pStyle w:val="para10"/>
        <w:rPr>
          <w:rFonts w:eastAsia="Arial Unicode MS"/>
          <w:sz w:val="28"/>
          <w:szCs w:val="28"/>
          <w:lang w:eastAsia="zh-cn" w:bidi="ar-sa"/>
        </w:rPr>
      </w:pPr>
      <w:r/>
      <w:bookmarkStart w:id="4" w:name="_TOC000039"/>
      <w:r/>
      <w:bookmarkStart w:id="5" w:name="_TOC000038"/>
      <w:r/>
      <w:bookmarkStart w:id="6" w:name="_TOC000042"/>
      <w:r/>
      <w:bookmarkStart w:id="7" w:name="_TOC000037"/>
      <w:r/>
      <w:bookmarkStart w:id="8" w:name="_TOC000003"/>
      <w:r/>
      <w:bookmarkStart w:id="9" w:name="__RefHeading___Toc1329_1817765274"/>
      <w:r/>
      <w:r>
        <w:rPr>
          <w:rFonts w:eastAsia="Arial Unicode MS"/>
          <w:sz w:val="28"/>
          <w:szCs w:val="28"/>
          <w:lang w:eastAsia="zh-cn" w:bidi="ar-sa"/>
        </w:rPr>
        <w:t>Vorbemerkungen</w:t>
      </w:r>
      <w:r/>
      <w:bookmarkEnd w:id="9"/>
      <w:r/>
      <w:bookmarkEnd w:id="8"/>
      <w:r/>
      <w:bookmarkEnd w:id="7"/>
      <w:r/>
      <w:bookmarkEnd w:id="6"/>
      <w:r/>
      <w:bookmarkEnd w:id="5"/>
      <w:r/>
      <w:r>
        <w:rPr>
          <w:rFonts w:eastAsia="Arial Unicode MS"/>
          <w:highlight w:val="yellow"/>
          <w:sz w:val="28"/>
          <w:szCs w:val="28"/>
          <w:lang w:eastAsia="zh-cn" w:bidi="ar-sa"/>
        </w:rPr>
        <w:t xml:space="preserve"> NEU REINKOPIEREN</w:t>
      </w:r>
      <w:r/>
      <w:bookmarkEnd w:id="4"/>
      <w:r/>
      <w:r>
        <w:rPr>
          <w:rFonts w:eastAsia="Arial Unicode MS"/>
          <w:sz w:val="28"/>
          <w:szCs w:val="28"/>
          <w:lang w:eastAsia="zh-cn" w:bidi="ar-sa"/>
        </w:rPr>
      </w:r>
    </w:p>
    <w:p>
      <w:pPr>
        <w:pStyle w:val="para1"/>
        <w:numPr>
          <w:ilvl w:val="0"/>
          <w:numId w:val="1"/>
        </w:numPr>
        <w:ind w:left="0" w:firstLine="0"/>
      </w:pPr>
      <w:bookmarkStart w:id="10" w:name="__RefHeading___Toc37646_1817765274"/>
      <w:r>
        <w:t>Das Medienrecht</w:t>
      </w:r>
      <w:bookmarkEnd w:id="10"/>
      <w:r/>
    </w:p>
    <w:p>
      <w:pPr>
        <w:pStyle w:val="para15"/>
      </w:pPr>
      <w:r>
        <w:t xml:space="preserve">Medienrecht ist ein Querschnittsgebiet und bedarf daher einer vielschichtigen Herangehensweise. Im Blickpunkt stehen sowohl verfassungs- und staatsrechtliche Themen, immerhin ist die Medienfreiheit ein Grundrecht, das jedoch mit anderen kollidieren kann. Dazu kommen zivilrechtliche Haftungsfragen, arbeitsrechtliche Aspekte, strafrechtliche Bestimmungen, Datenschutz, Wettbewerbsrecht und viele andere Themenbereiche. </w:t>
      </w:r>
    </w:p>
    <w:p>
      <w:pPr>
        <w:pStyle w:val="para1"/>
        <w:numPr>
          <w:ilvl w:val="0"/>
          <w:numId w:val="1"/>
        </w:numPr>
        <w:ind w:left="0" w:firstLine="0"/>
      </w:pPr>
      <w:bookmarkStart w:id="11" w:name="__RefHeading___Toc1465_463100521"/>
      <w:r>
        <w:t>Modulbezogene Hinweise</w:t>
      </w:r>
      <w:bookmarkEnd w:id="11"/>
      <w:r/>
    </w:p>
    <w:p>
      <w:pPr>
        <w:pStyle w:val="para2"/>
        <w:numPr>
          <w:ilvl w:val="1"/>
          <w:numId w:val="1"/>
        </w:numPr>
        <w:ind w:left="0" w:firstLine="0"/>
        <w:spacing w:line="276" w:lineRule="auto"/>
      </w:pPr>
      <w:bookmarkStart w:id="12" w:name="__RefHeading___Toc35945_1817765274"/>
      <w:r>
        <w:t>Hinweise zur Nutzung des Skripts</w:t>
      </w:r>
      <w:bookmarkEnd w:id="12"/>
      <w:r/>
    </w:p>
    <w:p>
      <w:pPr>
        <w:pStyle w:val="para15"/>
      </w:pPr>
      <w:r>
        <w:t xml:space="preserve">Dieses Veranstaltungsskript vertieft die in den Präsenzvorlesungen behandelten Themen und fügt weitere Informationen hinzu, um ein Gesamtbild zu schaffen. </w:t>
      </w:r>
    </w:p>
    <w:p>
      <w:pPr>
        <w:pStyle w:val="para15"/>
      </w:pPr>
      <w:r>
        <w:t xml:space="preserve">Da das Themenfeld wie bereits angesprochen umfangreich ist, lassen sich jedoch nicht alle Themen extrem vertiefend bearbeiten. Hierzu seien die in den jeweiligen Kapiteln genannten Lehrbücher sowie die Literatur aus dem Literaturverzeichnis heranzuziehen. </w:t>
      </w:r>
    </w:p>
    <w:p>
      <w:pPr>
        <w:pStyle w:val="para15"/>
      </w:pPr>
      <w:r>
        <w:t>Gleichzeitig wurde auf einen extrem umfangreichen Fußnotenapparat verzichtet, um die Lesbarkeit zu erhalten. Selbstverständlich sind aber alle Aussagen belegt. Es wird empfohlen, die herangezogenen Literaturstellen und Urteile durchzuarbeiten, um das Verständnis zu vertiefen. Dies ist insbesondere bei Urteilen meist sehr sinnvoll, da diese den Rechtsgedanken am Besten erläutern, auch wenn die Sprache manches Mal sicherlich etwas umständlich wirken könnte.</w:t>
      </w:r>
    </w:p>
    <w:p>
      <w:pPr>
        <w:pStyle w:val="para15"/>
      </w:pPr>
      <w:r>
        <w:t>Für Literatur wird neben der Hochschulbibliothek und ihren Möglichkeiten der Fernleihe auch auf die dort vorhandenen Online-Datenbanken verwiesen.</w:t>
      </w:r>
    </w:p>
    <w:p>
      <w:pPr>
        <w:pStyle w:val="para15"/>
      </w:pPr>
      <w:r>
        <w:t>Im Text finden sich zudem Hinweisboxen, die Ihnen Orientierung bieten. Diese sind:</w:t>
      </w:r>
    </w:p>
    <w:p>
      <w:pPr>
        <w:pStyle w:val="para12"/>
      </w:pPr>
      <w:r>
        <w:t>!Absätze in grauen Kästen und mit einem Ausrufezeichen vertiefen weitergehend für interessierte Leser, das dortige Wissen ist für die Modulabschlussprüfung nicht zwingend erforderlich, aber natürlich auch nicht schädlich.</w:t>
      </w:r>
    </w:p>
    <w:p>
      <w:pPr>
        <w:pStyle w:val="para12"/>
      </w:pPr>
      <w:r>
        <w:t>§Absätze in grauen Kästen und mit einem Paragrafen geben Fallbeispiele und -lösungen, Hinweise auf die Rechtsprechung und ähnliches, um die entsprechenden Informationen besser aufnehmen zu können.</w:t>
        <w:tab/>
      </w:r>
    </w:p>
    <w:p>
      <w:pPr>
        <w:pStyle w:val="para12"/>
      </w:pPr>
      <w:r>
        <w:t>#Absätze mit einem „#“ am Anfang bieten ein Prüfungsschema an, nach denen die Leser eine vorläufige Prüfung eines Sachverhalts vornehmen können, um wenigstens eine erste Einschätzung vornehmen zu können.</w:t>
      </w:r>
    </w:p>
    <w:p>
      <w:pPr>
        <w:pStyle w:val="para15"/>
      </w:pPr>
      <w:r/>
    </w:p>
    <w:p>
      <w:pPr>
        <w:pStyle w:val="para2"/>
        <w:numPr>
          <w:ilvl w:val="1"/>
          <w:numId w:val="1"/>
        </w:numPr>
        <w:ind w:left="0" w:firstLine="0"/>
      </w:pPr>
      <w:bookmarkStart w:id="13" w:name="__RefHeading___Toc35943_1817765274"/>
      <w:r>
        <w:t>Lernziele</w:t>
      </w:r>
      <w:bookmarkEnd w:id="13"/>
      <w:r/>
    </w:p>
    <w:p>
      <w:pPr>
        <w:pStyle w:val="para15"/>
      </w:pPr>
      <w:r>
        <w:t>Im Rahmen einer Vorlesung können diese naturgemäß nur angeschnitten werden und müssen auch einer Auswahl unterliegen, einer klassischen Schwerpunktsetzung. Und selbst diese können nicht immer in der notwendigen Tiefe (und Breite) dargestellt werden.</w:t>
      </w:r>
    </w:p>
    <w:p>
      <w:pPr>
        <w:pStyle w:val="para15"/>
      </w:pPr>
      <w:r>
        <w:t>Daher soll dieses Skript sowohl vertiefen als auch unterstützen.</w:t>
      </w:r>
    </w:p>
    <w:p>
      <w:pPr>
        <w:pStyle w:val="para15"/>
      </w:pPr>
      <w:r>
        <w:t xml:space="preserve">Ziel des Moduls und damit des Skripts ist es, </w:t>
      </w:r>
    </w:p>
    <w:p>
      <w:pPr>
        <w:pStyle w:val="para15"/>
        <w:numPr>
          <w:ilvl w:val="0"/>
          <w:numId w:val="4"/>
        </w:numPr>
        <w:ind w:left="1067" w:hanging="360"/>
      </w:pPr>
      <w:r>
        <w:t>die Grundlagen der Medienfreiheiten,</w:t>
      </w:r>
    </w:p>
    <w:p>
      <w:pPr>
        <w:pStyle w:val="para15"/>
        <w:numPr>
          <w:ilvl w:val="0"/>
          <w:numId w:val="4"/>
        </w:numPr>
        <w:ind w:left="1067" w:hanging="360"/>
      </w:pPr>
      <w:r>
        <w:t>die Grenzen der Medienfreiheiten und die Rechte Betroffener darzustellen,</w:t>
      </w:r>
    </w:p>
    <w:p>
      <w:pPr>
        <w:pStyle w:val="para15"/>
        <w:numPr>
          <w:ilvl w:val="0"/>
          <w:numId w:val="4"/>
        </w:numPr>
        <w:ind w:left="1067" w:hanging="360"/>
      </w:pPr>
      <w:r>
        <w:t>wettbewerbsrechtliche Probleme analog wie online zu beleuchten,</w:t>
      </w:r>
    </w:p>
    <w:p>
      <w:pPr>
        <w:pStyle w:val="para15"/>
        <w:numPr>
          <w:ilvl w:val="0"/>
          <w:numId w:val="4"/>
        </w:numPr>
        <w:ind w:left="1067" w:hanging="360"/>
      </w:pPr>
      <w:r>
        <w:t>Datenschutzprobleme und KI</w:t>
      </w:r>
      <w:r>
        <w:fldChar w:fldCharType="begin"/>
        <w:instrText xml:space="preserve">XE "KI"</w:instrText>
        <w:fldChar w:fldCharType="end"/>
      </w:r>
      <w:r>
        <w:fldChar w:fldCharType="begin"/>
        <w:instrText xml:space="preserve">XE "KI"</w:instrText>
        <w:fldChar w:fldCharType="end"/>
      </w:r>
      <w:r>
        <w:t>-Fragen behandeln,</w:t>
      </w:r>
    </w:p>
    <w:p>
      <w:pPr>
        <w:pStyle w:val="para15"/>
        <w:numPr>
          <w:ilvl w:val="0"/>
          <w:numId w:val="4"/>
        </w:numPr>
        <w:ind w:left="1067" w:hanging="360"/>
      </w:pPr>
      <w:r>
        <w:t>sowie weitere themenbezogene Aspekte</w:t>
      </w:r>
    </w:p>
    <w:p>
      <w:pPr>
        <w:pStyle w:val="para15"/>
      </w:pPr>
      <w:r>
        <w:t xml:space="preserve">zu vermitteln. </w:t>
      </w:r>
    </w:p>
    <w:p>
      <w:pPr>
        <w:pStyle w:val="para15"/>
      </w:pPr>
      <w:r>
        <w:t>Im Ergebnis sollen die Bearbeiter</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5"/>
      </w:r>
      <w:r>
        <w:t xml:space="preserve"> nach der erfolgreichen Absolvierung des Moduls in der Lage sein, rechtliche Fragen zu erkennen und auch beantworten zu können – soweit es für ihre Arbeit wichtig ist. Die Teilnehmer sollen für die möglichen Probleme und Schwierigkeiten sensibilisiert werden und ihre Arbeit daran durchaus ausrichten. </w:t>
      </w:r>
    </w:p>
    <w:p>
      <w:pPr>
        <w:pStyle w:val="para15"/>
      </w:pPr>
      <w:r>
        <w:t>Das bedeutet jedoch nicht, dass hier eine Schere im Kopf implementiert werden soll, denn die Arbeit der Medien ist wichtig für Staat und Gesellschaft. Sie soll sich nicht selbst beschränken oder in Form einer Selbstbeschränkung – böser Begriff – zensiert werden. Aber den Gedanken zu hegen, wie man seine Rechte als Medien und die Rechte der Betroffenen ausgleichen kann, darf erwartet werden.</w:t>
      </w:r>
    </w:p>
    <w:p>
      <w:pPr>
        <w:pStyle w:val="para15"/>
      </w:pPr>
      <w:r>
        <w:t>Sollten Fragen zu den Inhalten sein, bietet sich zunächst die Lehrveranstaltung als solche an. Natürlich besteht sonst auch die Möglichkeit, über die Moodle-Umgebung des Semesters oder per E-Mail Kontakt aufzunehmen.</w:t>
      </w:r>
    </w:p>
    <w:p>
      <w:pPr>
        <w:pStyle w:val="para15"/>
      </w:pPr>
      <w:r>
        <w:t>Viel Erfolg bei der Bearbeitung des Moduls.</w:t>
      </w:r>
    </w:p>
    <w:p>
      <w:pPr>
        <w:pStyle w:val="para10"/>
      </w:pPr>
      <w:r>
        <w:br w:type="page"/>
      </w:r>
      <w:bookmarkStart w:id="15" w:name="_TOC000006"/>
      <w:r>
        <w:t>Kurseinheit 1 – Grundlagen des Rechts</w:t>
      </w:r>
      <w:bookmarkEnd w:id="15"/>
      <w:r/>
    </w:p>
    <w:p>
      <w:pPr>
        <w:pStyle w:val="para1"/>
        <w:numPr>
          <w:ilvl w:val="0"/>
          <w:numId w:val="3"/>
        </w:numPr>
        <w:ind w:left="0" w:firstLine="0"/>
      </w:pPr>
      <w:bookmarkStart w:id="16" w:name="_TOC000007"/>
      <w:r>
        <w:t>Einleitung</w:t>
      </w:r>
      <w:bookmarkEnd w:id="16"/>
      <w:r/>
    </w:p>
    <w:p>
      <w:pPr>
        <w:pStyle w:val="para6"/>
        <w:numPr>
          <w:ilvl w:val="0"/>
          <w:numId w:val="2"/>
        </w:numPr>
        <w:ind w:left="0" w:hanging="340"/>
      </w:pPr>
      <w:r>
        <w:t>Recht ist kein abstrakter, steriler Bereich, sondern kann nur in einem bestimmten Umfeld entstehen, existieren und Wirkung entfalten. Dieser Rahmen ist der Staat. Bevor also thematisch Medienrecht behandelt werden kann, ist eine kurze Einführung in die Staatslehre angebracht.</w:t>
      </w:r>
    </w:p>
    <w:p>
      <w:pPr>
        <w:pStyle w:val="para6"/>
        <w:numPr>
          <w:ilvl w:val="0"/>
          <w:numId w:val="2"/>
        </w:numPr>
        <w:ind w:left="0" w:hanging="340"/>
      </w:pPr>
      <w:r>
        <w:t xml:space="preserve">Hierbei soll ein Überblick über die verschiedenen, für den Bereich Medienrecht notwendigen Grundlagen gegeben werden, mit besonderem Fokus auf Verfassungsrecht und die Grundrechte, da aus diesen wesentliche Aspekte der Medienarbeit für Journalisten und Publizisten im weiteren Sinne und der Rechte der von Medienarbeit betroffener Personen herzuleiten sind. </w:t>
      </w:r>
    </w:p>
    <w:p>
      <w:pPr>
        <w:pStyle w:val="para6"/>
        <w:numPr>
          <w:ilvl w:val="0"/>
          <w:numId w:val="2"/>
        </w:numPr>
        <w:ind w:left="0" w:hanging="340"/>
      </w:pPr>
      <w:r>
        <w:t>Darüber hinaus ist es aber auch erforderlich, Strukturen und Abhängigkeiten zum Beispiel der verschiedenen staatlichen Ebenen zu kennen, die Funktion der Gerichte und deren Aufbau nachvollziehen zu können und daraus nicht nur Schlüsse für die Tätigkeit im Journalismus zu ziehen, sondern auch für eine zutreffende Berichterstattung das notwendige Wissen zu erlangen.</w:t>
      </w:r>
    </w:p>
    <w:p>
      <w:pPr>
        <w:pStyle w:val="para12"/>
      </w:pPr>
      <w:r>
        <w:t>!</w:t>
      </w:r>
      <w:r>
        <w:rPr>
          <w:b/>
          <w:bCs/>
        </w:rPr>
        <w:t>Beispiel</w:t>
      </w:r>
      <w:r>
        <w:t>: Wenn in der Berichterstattung über ein Gerichtsverfahren von einer Revision gesprochen wird, obwohl es sich um eine Berufung handelt, liegt ein sachlicher Fehler vor. Auch kann das Bundeskabinett kein Gesetz beschließen, sondern lediglich beschließen, dass dieses in den Bundestag zur Diskussion und Entscheidung eingebracht werden kann. Dies sind häufig vorkommende Fehler in der Berichterstattung.</w:t>
      </w:r>
    </w:p>
    <w:p>
      <w:pPr>
        <w:pStyle w:val="para6"/>
        <w:numPr>
          <w:ilvl w:val="0"/>
          <w:numId w:val="2"/>
        </w:numPr>
        <w:ind w:left="0" w:hanging="340"/>
      </w:pPr>
      <w:r>
        <w:t>Hierzu wird daher zunächst der Staat als Konstrukt betrachtet, dann ein Überblick über Gesetze gegeben, um dann das deutsche Grundgesetz und die Grundrechte näher zu betrachten. Im Anschluss wird die Staatsorganisation der Bundesrepublik Deutschland dargestellt.</w:t>
      </w:r>
    </w:p>
    <w:p>
      <w:pPr>
        <w:pStyle w:val="para1"/>
        <w:numPr>
          <w:ilvl w:val="0"/>
          <w:numId w:val="3"/>
        </w:numPr>
        <w:ind w:left="0" w:firstLine="0"/>
      </w:pPr>
      <w:bookmarkStart w:id="17" w:name="_TOC000008"/>
      <w:r>
        <w:t>Staat</w:t>
      </w:r>
      <w:bookmarkEnd w:id="17"/>
      <w:r/>
    </w:p>
    <w:p>
      <w:pPr>
        <w:pStyle w:val="para6"/>
        <w:numPr>
          <w:ilvl w:val="0"/>
          <w:numId w:val="2"/>
        </w:numPr>
        <w:ind w:left="0" w:hanging="340"/>
      </w:pPr>
      <w:r>
        <w:t>Grundlegende Voraussetzung für die Entstehung von Recht und dessen Anwendung ist ein Staat. Was genau allerdings ein Staat ist, hängt von der Betrachtungsweise ab. Insgesamt haben sich vier Ansichten etabliert, wobei sich in der Rechtswissenschaft eine Ansicht durchgesetzt haben dürfte, die sogleich auch vorgestellt werden wird.</w:t>
      </w:r>
    </w:p>
    <w:p>
      <w:pPr>
        <w:pStyle w:val="para6"/>
        <w:numPr>
          <w:ilvl w:val="0"/>
          <w:numId w:val="2"/>
        </w:numPr>
        <w:ind w:left="0" w:hanging="340"/>
      </w:pPr>
      <w:r>
        <w:t xml:space="preserve">Vorab aber ist die Frage zu klären, warum der Staat so wichtig für das Recht? Dies ergibt sich sowohl aus der Definition des Staats als auch aus einer offensichtlichen Tatsache: Existiert ein Staat nicht oder funktioniert dieser nicht, wie er sollte, kann Recht entweder nicht entstehen oder ist aber nicht durchzusetzen. Dies ist unabhängig von der jeweiligen Staatsform ein limitierender Faktor: Fehlen die Strukturen, kann nicht angenommen werden, dass Recht zur Geltung kommen kann. </w:t>
      </w:r>
    </w:p>
    <w:p>
      <w:pPr>
        <w:pStyle w:val="para6"/>
        <w:numPr>
          <w:ilvl w:val="0"/>
          <w:numId w:val="2"/>
        </w:numPr>
        <w:ind w:left="0" w:hanging="340"/>
      </w:pPr>
      <w:r>
        <w:t>Dies ist insbesondere in sogenannten failed states ein Problem, also gescheiterten Staaten, in denen die wesentlichen Merkmale aus verschiedenen Gründen heraus entweder nicht richtig, gar nicht funktionieren oder schlicht nicht funktionieren</w:t>
      </w:r>
      <w:r>
        <w:rPr>
          <w:rStyle w:val="char1"/>
        </w:rPr>
      </w:r>
      <w:r>
        <w:rPr>
          <w:rStyle w:val="char1"/>
        </w:rPr>
        <w:footnoteReference w:id="19"/>
      </w:r>
      <w:r>
        <w:t>. Allerdings kann auch in funktionierenden Staaten durch autoritäre Regierungen oder aktive Einflussnahme etwa auf Justiz und Gerichte eine Situation entstehen, in denen das Recht in Bedrängnis gelangt.</w:t>
      </w:r>
    </w:p>
    <w:p>
      <w:pPr>
        <w:pStyle w:val="para6"/>
        <w:numPr>
          <w:ilvl w:val="0"/>
          <w:numId w:val="2"/>
        </w:numPr>
        <w:ind w:left="0" w:hanging="340"/>
      </w:pPr>
      <w:r>
        <w:t xml:space="preserve">Eine derartige Annahme wurde für Deutschland insbesondere im Rahmen der Corona-Pandemie von einigen Kreisen unterstellt. So solle sich die Bundesrepublik wahlweise in eine Diktatur, ein Schreckensregime oder einfach einen Unterdrückerstaat verwandelt haben. Als Grundlage hierfür verwiesen die Wortführer auf die Maßnahmen, die in den bundesweiten Gesetzen wie dem Infektionsschutzgesetz und den in der Tat zahlreichen Landesvorschriften niederschlagen würden. </w:t>
      </w:r>
    </w:p>
    <w:p>
      <w:pPr>
        <w:pStyle w:val="para6"/>
        <w:numPr>
          <w:ilvl w:val="0"/>
          <w:numId w:val="2"/>
        </w:numPr>
        <w:ind w:left="0" w:hanging="340"/>
      </w:pPr>
      <w:r>
        <w:t>Diese Behauptungen waren allerdings schon deswegen haltlos, weil die zuständigen Verwaltungsgerichte (und in der Folge zahlreiche andere Gerichtszweige bis hin zum BVerfG) schnell die entsprechenden Regeln überprüften und auch aufgehoben haben, wo es angezeigt gewesen ist. Gleichwohl belegt dies, wie wichtig die Institutionen und deren Absicherung sind, um dem Recht sowohl genüge zu tun als auch Geltung zu verschaffen.</w:t>
      </w:r>
    </w:p>
    <w:p>
      <w:pPr>
        <w:pStyle w:val="para2"/>
        <w:numPr>
          <w:ilvl w:val="1"/>
          <w:numId w:val="3"/>
        </w:numPr>
        <w:ind w:left="0" w:firstLine="0"/>
      </w:pPr>
      <w:bookmarkStart w:id="19" w:name="_TOC000009"/>
      <w:r>
        <w:t>Staatsbegriff</w:t>
      </w:r>
      <w:bookmarkEnd w:id="19"/>
      <w:r/>
    </w:p>
    <w:p>
      <w:pPr>
        <w:pStyle w:val="para6"/>
        <w:numPr>
          <w:ilvl w:val="0"/>
          <w:numId w:val="2"/>
        </w:numPr>
        <w:ind w:left="0" w:hanging="340"/>
      </w:pPr>
      <w:r>
        <w:t>Der Staat ist also notwendig für die Existenz und die Anwendung von Recht. Die Ansichten darüber, was ein Staat ist, haben sich über die Jahrhunderte entwickelt, bis heute gibt es mehrere Begriffsbestimmungen, die vom jeweiligen wissenschaftlichen Fachgebiet abhängig sind. Diese werde im Folgenden kurz dargestellt.</w:t>
      </w:r>
    </w:p>
    <w:p>
      <w:pPr>
        <w:pStyle w:val="para3"/>
        <w:numPr>
          <w:ilvl w:val="2"/>
          <w:numId w:val="1"/>
        </w:numPr>
        <w:ind w:left="0" w:firstLine="0"/>
      </w:pPr>
      <w:bookmarkStart w:id="20" w:name="_TOC000040"/>
      <w:r>
        <w:t>Wissenschaftliche Ansätze</w:t>
      </w:r>
      <w:bookmarkEnd w:id="20"/>
      <w:r/>
    </w:p>
    <w:p>
      <w:pPr>
        <w:pStyle w:val="para6"/>
        <w:numPr>
          <w:ilvl w:val="0"/>
          <w:numId w:val="2"/>
        </w:numPr>
        <w:ind w:left="0" w:hanging="340"/>
      </w:pPr>
      <w:r>
        <w:t xml:space="preserve">In der </w:t>
      </w:r>
      <w:r>
        <w:rPr>
          <w:b/>
          <w:bCs/>
        </w:rPr>
        <w:t>Rechtswissenschaft</w:t>
      </w:r>
      <w:r>
        <w:t xml:space="preserve"> hat sich dabei letzten Endes die von </w:t>
      </w:r>
      <w:r>
        <w:rPr>
          <w:i/>
          <w:iCs/>
        </w:rPr>
        <w:t xml:space="preserve">Jellinek </w:t>
      </w:r>
      <w:r>
        <w:t>entwickelte Drei-Elemente-Lehre durchgesetzt. Nach dieser ist ein Staat „die mit ursprünglicher Herrschaftsmacht ausgerüstete Körperschaft eines sesshaften Volkes (Gebietskörperschaft)“</w:t>
      </w:r>
      <w:r>
        <w:rPr>
          <w:rStyle w:val="char1"/>
        </w:rPr>
      </w:r>
      <w:r>
        <w:rPr>
          <w:rStyle w:val="char1"/>
        </w:rPr>
        <w:footnoteReference w:id="22"/>
      </w:r>
      <w:r>
        <w:t>. Aus dieser leitet sich ab, dass ein moderner Staat aus drei Bestandteilen, die kumulativ vorliegen müssen:</w:t>
      </w:r>
    </w:p>
    <w:p>
      <w:pPr>
        <w:pStyle w:val="para6"/>
        <w:numPr>
          <w:ilvl w:val="0"/>
          <w:numId w:val="0"/>
        </w:numPr>
        <w:ind w:left="728" w:firstLine="0"/>
      </w:pPr>
      <w:r>
        <w:t xml:space="preserve">ein umrissenes, nicht zwingend zusammenhängendes </w:t>
      </w:r>
      <w:r>
        <w:rPr>
          <w:b/>
          <w:bCs/>
        </w:rPr>
        <w:t>Staatsgebiet</w:t>
      </w:r>
      <w:r>
        <w:t>.</w:t>
      </w:r>
    </w:p>
    <w:p>
      <w:pPr>
        <w:pStyle w:val="para6"/>
        <w:numPr>
          <w:ilvl w:val="0"/>
          <w:numId w:val="0"/>
        </w:numPr>
        <w:ind w:left="728" w:firstLine="0"/>
      </w:pPr>
      <w:r>
        <w:t xml:space="preserve">ein in diesem lebendes </w:t>
      </w:r>
      <w:r>
        <w:rPr>
          <w:b/>
          <w:bCs/>
        </w:rPr>
        <w:t>Staatsvolk</w:t>
      </w:r>
      <w:r>
        <w:t>.</w:t>
      </w:r>
    </w:p>
    <w:p>
      <w:pPr>
        <w:pStyle w:val="para6"/>
        <w:numPr>
          <w:ilvl w:val="0"/>
          <w:numId w:val="0"/>
        </w:numPr>
        <w:ind w:left="728" w:firstLine="0"/>
      </w:pPr>
      <w:r>
        <w:t xml:space="preserve">eine den Staat verwaltende und leitende </w:t>
      </w:r>
      <w:r>
        <w:rPr>
          <w:b/>
          <w:bCs/>
        </w:rPr>
        <w:t>Staatsgewalt</w:t>
      </w:r>
      <w:r>
        <w:rPr>
          <w:rStyle w:val="char1"/>
        </w:rPr>
      </w:r>
      <w:r>
        <w:rPr>
          <w:rStyle w:val="char1"/>
        </w:rPr>
        <w:footnoteReference w:id="23"/>
      </w:r>
      <w:r>
        <w:t>.</w:t>
      </w:r>
    </w:p>
    <w:p>
      <w:pPr>
        <w:pStyle w:val="para6"/>
        <w:numPr>
          <w:ilvl w:val="0"/>
          <w:numId w:val="2"/>
        </w:numPr>
        <w:ind w:left="0" w:hanging="340"/>
      </w:pPr>
      <w:r>
        <w:t xml:space="preserve">Zwar wird dies als teilweise unzureichend angesehen und entsprechend durch eine vierte und fünfte Ebene erweitert. Im Wesentlichen allerdings wird auch durch die Rechtsprechung an der Ansicht </w:t>
      </w:r>
      <w:r>
        <w:rPr>
          <w:i/>
          <w:iCs/>
        </w:rPr>
        <w:t>Jellineks</w:t>
      </w:r>
      <w:r>
        <w:t xml:space="preserve"> festgehalten</w:t>
      </w:r>
      <w:r>
        <w:rPr>
          <w:rStyle w:val="char1"/>
        </w:rPr>
      </w:r>
      <w:r>
        <w:rPr>
          <w:rStyle w:val="char1"/>
        </w:rPr>
        <w:footnoteReference w:id="24"/>
      </w:r>
      <w:r>
        <w:t>.</w:t>
      </w:r>
    </w:p>
    <w:p>
      <w:pPr>
        <w:pStyle w:val="para6"/>
        <w:numPr>
          <w:ilvl w:val="0"/>
          <w:numId w:val="2"/>
        </w:numPr>
        <w:ind w:left="0" w:hanging="340"/>
      </w:pPr>
      <w:r>
        <w:t>Die bezeichnete Definition ist dabei weiterhin sehr allgemein gehalten. Dies ist den unterschiedlichen Ansätzen der verschiedenen wissenschaftlichen Disziplinen geschuldet, die sich mit dem Staat auseinandersetzen. Neben der rechtswissenschaftlichen Ansicht bestehen weitere Definitionen im Bereich der Soziologie, der Politikwissenschaft sowie der Philosophie.</w:t>
      </w:r>
    </w:p>
    <w:p>
      <w:pPr>
        <w:pStyle w:val="para6"/>
        <w:numPr>
          <w:ilvl w:val="0"/>
          <w:numId w:val="2"/>
        </w:numPr>
        <w:ind w:left="0" w:hanging="340"/>
        <w:rPr>
          <w:b/>
          <w:bCs/>
        </w:rPr>
      </w:pPr>
      <w:r>
        <w:rPr>
          <w:b/>
          <w:bCs/>
        </w:rPr>
        <w:t>Soziologisch</w:t>
      </w:r>
      <w:r>
        <w:t xml:space="preserve"> ist ein Staat nach der weithin anerkannten Auffassung </w:t>
      </w:r>
      <w:r>
        <w:rPr>
          <w:i/>
          <w:iCs/>
        </w:rPr>
        <w:t>Weber</w:t>
      </w:r>
      <w:r>
        <w:t>s eine „Gemeinschaft, die innerhalb eines bestimmten Gebietes das Monopol legitimer physischer Gewaltsamkeit für sich (mit Erfolg) beansprucht“</w:t>
      </w:r>
      <w:r>
        <w:rPr>
          <w:b/>
          <w:bCs/>
        </w:rPr>
        <w:t xml:space="preserve">. </w:t>
      </w:r>
      <w:r>
        <w:t>Im Ergebnis führe diese Sicht, die jedoch unterschiedlich ausgelegt wird, zu einem Herrschaftsverhältnis von Menschen über Menschen</w:t>
      </w:r>
      <w:r>
        <w:rPr>
          <w:rStyle w:val="char1"/>
        </w:rPr>
      </w:r>
      <w:r>
        <w:rPr>
          <w:rStyle w:val="char1"/>
        </w:rPr>
        <w:footnoteReference w:id="25"/>
      </w:r>
      <w:r>
        <w:t>.</w:t>
      </w:r>
      <w:r>
        <w:rPr>
          <w:b/>
          <w:bCs/>
        </w:rPr>
      </w:r>
    </w:p>
    <w:p>
      <w:pPr>
        <w:pStyle w:val="para6"/>
        <w:numPr>
          <w:ilvl w:val="0"/>
          <w:numId w:val="2"/>
        </w:numPr>
        <w:ind w:left="0" w:hanging="340"/>
      </w:pPr>
      <w:r>
        <w:t xml:space="preserve">In der </w:t>
      </w:r>
      <w:r>
        <w:rPr>
          <w:b/>
          <w:bCs/>
        </w:rPr>
        <w:t>Politikwissenschaft</w:t>
      </w:r>
      <w:r>
        <w:t xml:space="preserve"> wird der Staat als System öffentlicher Institutionen zur Regelung der Angelegenheiten des Gemeinwesens angesehen, letztlich also auf die Instanzen abgestellt und auch das Staatsvolk berücksichtigt. Besonders wichtig ist eine politische Instanz, die Recht setzt und durchsetzt, wobei sie sich einer Verwaltung bedient. Das Staatsgebiet spielt eher eine untergeordnete Rolle, wird aber auch nicht ausgeblendet.</w:t>
      </w:r>
    </w:p>
    <w:p>
      <w:pPr>
        <w:pStyle w:val="para6"/>
        <w:numPr>
          <w:ilvl w:val="0"/>
          <w:numId w:val="2"/>
        </w:numPr>
        <w:ind w:left="0" w:hanging="340"/>
      </w:pPr>
      <w:r>
        <w:t xml:space="preserve">Eine weitere Bestimmung eines Staats hat sich in Jahrtausenden in der </w:t>
      </w:r>
      <w:r>
        <w:rPr>
          <w:b/>
          <w:bCs/>
        </w:rPr>
        <w:t>Philosophie</w:t>
      </w:r>
      <w:r>
        <w:t xml:space="preserve"> entwickelt, unter anderem durch die antiken Denker </w:t>
      </w:r>
      <w:r>
        <w:rPr>
          <w:i/>
          <w:iCs/>
        </w:rPr>
        <w:t>Platon</w:t>
      </w:r>
      <w:r>
        <w:t xml:space="preserve"> und </w:t>
      </w:r>
      <w:r>
        <w:rPr>
          <w:i/>
          <w:iCs/>
        </w:rPr>
        <w:t>Aristoteles</w:t>
      </w:r>
      <w:r>
        <w:t xml:space="preserve">, aber auch in moderneren Auffassungen wie der </w:t>
      </w:r>
      <w:r>
        <w:rPr>
          <w:i/>
          <w:iCs/>
        </w:rPr>
        <w:t>Hegel</w:t>
      </w:r>
      <w:r>
        <w:t>s. Allen gemein ist die Meinung, dass der Staat hauptsächlich dazu diene, dass ein Staat der Verwirklichung der moralischen Ziele des Einzelnen und der Gesellschaft diene</w:t>
      </w:r>
      <w:r>
        <w:rPr>
          <w:rStyle w:val="char1"/>
        </w:rPr>
      </w:r>
      <w:r>
        <w:rPr>
          <w:rStyle w:val="char1"/>
        </w:rPr>
        <w:footnoteReference w:id="26"/>
      </w:r>
      <w:r>
        <w:t>.</w:t>
      </w:r>
    </w:p>
    <w:p>
      <w:pPr>
        <w:pStyle w:val="para6"/>
        <w:numPr>
          <w:ilvl w:val="0"/>
          <w:numId w:val="2"/>
        </w:numPr>
        <w:ind w:left="0" w:hanging="340"/>
      </w:pPr>
      <w:r>
        <w:t xml:space="preserve">Auch wenn die vorgenannten Ansätze sich unterscheiden, führen sie dennoch bei genauerer Betrachtung im Ergebnis alle zurück auf die von </w:t>
      </w:r>
      <w:r>
        <w:rPr>
          <w:i/>
          <w:iCs/>
        </w:rPr>
        <w:t>Jellinek</w:t>
      </w:r>
      <w:r>
        <w:t xml:space="preserve"> festgelegten Begriffe des Staatsvolks, der Staatsgewalt und des Staatsgebiets. Insofern wird die Drei-Elemente-Lehre somit bestätigt.</w:t>
      </w:r>
    </w:p>
    <w:p>
      <w:pPr>
        <w:pStyle w:val="para3"/>
        <w:numPr>
          <w:ilvl w:val="2"/>
          <w:numId w:val="1"/>
        </w:numPr>
        <w:ind w:left="0" w:firstLine="0"/>
      </w:pPr>
      <w:bookmarkStart w:id="26" w:name="_TOC000044"/>
      <w:r>
        <w:t>Die Einzelaspekte</w:t>
      </w:r>
      <w:bookmarkEnd w:id="26"/>
      <w:r/>
    </w:p>
    <w:p>
      <w:pPr>
        <w:pStyle w:val="para6"/>
        <w:numPr>
          <w:ilvl w:val="0"/>
          <w:numId w:val="2"/>
        </w:numPr>
        <w:ind w:left="0" w:hanging="340"/>
      </w:pPr>
      <w:r/>
    </w:p>
    <w:p>
      <w:pPr>
        <w:pStyle w:val="para8"/>
        <w:numPr>
          <w:ilvl w:val="3"/>
          <w:numId w:val="1"/>
        </w:numPr>
        <w:ind w:left="0" w:firstLine="0"/>
      </w:pPr>
      <w:bookmarkStart w:id="27" w:name="_TOC000045"/>
      <w:r>
        <w:t>Staatsgebiet</w:t>
      </w:r>
      <w:bookmarkEnd w:id="27"/>
      <w:r/>
    </w:p>
    <w:p>
      <w:pPr>
        <w:pStyle w:val="para6"/>
        <w:numPr>
          <w:ilvl w:val="0"/>
          <w:numId w:val="2"/>
        </w:numPr>
        <w:ind w:left="0" w:hanging="340"/>
      </w:pPr>
      <w:r/>
    </w:p>
    <w:p>
      <w:pPr>
        <w:pStyle w:val="para8"/>
        <w:numPr>
          <w:ilvl w:val="3"/>
          <w:numId w:val="1"/>
        </w:numPr>
        <w:ind w:left="0" w:firstLine="0"/>
      </w:pPr>
      <w:bookmarkStart w:id="28" w:name="_TOC000046"/>
      <w:r>
        <w:t>Staatsvolk</w:t>
      </w:r>
      <w:bookmarkEnd w:id="28"/>
      <w:r/>
    </w:p>
    <w:p>
      <w:pPr>
        <w:pStyle w:val="para6"/>
        <w:numPr>
          <w:ilvl w:val="0"/>
          <w:numId w:val="2"/>
        </w:numPr>
        <w:ind w:left="0" w:hanging="340"/>
      </w:pPr>
      <w:r/>
    </w:p>
    <w:p>
      <w:pPr>
        <w:pStyle w:val="para8"/>
        <w:numPr>
          <w:ilvl w:val="3"/>
          <w:numId w:val="1"/>
        </w:numPr>
        <w:ind w:left="0" w:firstLine="0"/>
      </w:pPr>
      <w:bookmarkStart w:id="29" w:name="_TOC000047"/>
      <w:r>
        <w:t>Staatsgewalt</w:t>
      </w:r>
      <w:bookmarkEnd w:id="29"/>
      <w:r/>
    </w:p>
    <w:p>
      <w:pPr>
        <w:pStyle w:val="para6"/>
        <w:numPr>
          <w:ilvl w:val="0"/>
          <w:numId w:val="2"/>
        </w:numPr>
        <w:ind w:left="0" w:hanging="340"/>
      </w:pPr>
      <w:r/>
    </w:p>
    <w:p>
      <w:pPr>
        <w:pStyle w:val="para2"/>
        <w:numPr>
          <w:ilvl w:val="1"/>
          <w:numId w:val="3"/>
        </w:numPr>
        <w:ind w:left="0" w:firstLine="0"/>
      </w:pPr>
      <w:bookmarkStart w:id="30" w:name="_TOC000043"/>
      <w:r>
        <w:t>Staatsformen</w:t>
      </w:r>
      <w:bookmarkEnd w:id="30"/>
      <w:r/>
    </w:p>
    <w:p>
      <w:pPr>
        <w:pStyle w:val="para6"/>
        <w:numPr>
          <w:ilvl w:val="0"/>
          <w:numId w:val="2"/>
        </w:numPr>
        <w:ind w:left="0" w:hanging="340"/>
      </w:pPr>
      <w:r/>
    </w:p>
    <w:p>
      <w:pPr>
        <w:pStyle w:val="para2"/>
        <w:numPr>
          <w:ilvl w:val="1"/>
          <w:numId w:val="3"/>
        </w:numPr>
        <w:ind w:left="0" w:firstLine="0"/>
      </w:pPr>
      <w:bookmarkStart w:id="31" w:name="_TOC000010"/>
      <w:r>
        <w:t>Geschichte deutscher Staatlichkeit</w:t>
      </w:r>
      <w:bookmarkEnd w:id="31"/>
      <w:r/>
    </w:p>
    <w:p>
      <w:pPr>
        <w:pStyle w:val="para3"/>
        <w:numPr>
          <w:ilvl w:val="2"/>
          <w:numId w:val="3"/>
        </w:numPr>
        <w:ind w:left="0" w:firstLine="0"/>
      </w:pPr>
      <w:bookmarkStart w:id="32" w:name="_TOC000011"/>
      <w:r>
        <w:t>Antike</w:t>
      </w:r>
      <w:bookmarkEnd w:id="32"/>
      <w:r/>
    </w:p>
    <w:p>
      <w:pPr>
        <w:pStyle w:val="para3"/>
        <w:numPr>
          <w:ilvl w:val="2"/>
          <w:numId w:val="3"/>
        </w:numPr>
        <w:ind w:left="0" w:firstLine="0"/>
      </w:pPr>
      <w:bookmarkStart w:id="33" w:name="_TOC000012"/>
      <w:r>
        <w:t>Mittelalterliche Staaten</w:t>
      </w:r>
      <w:bookmarkEnd w:id="33"/>
      <w:r/>
    </w:p>
    <w:p>
      <w:pPr>
        <w:pStyle w:val="para3"/>
        <w:numPr>
          <w:ilvl w:val="2"/>
          <w:numId w:val="3"/>
        </w:numPr>
        <w:ind w:left="0" w:firstLine="0"/>
      </w:pPr>
      <w:bookmarkStart w:id="34" w:name="_TOC000013"/>
      <w:r>
        <w:t>Entwicklung des Nationalstaats</w:t>
      </w:r>
      <w:bookmarkEnd w:id="34"/>
      <w:r/>
    </w:p>
    <w:p>
      <w:pPr>
        <w:pStyle w:val="para3"/>
        <w:numPr>
          <w:ilvl w:val="2"/>
          <w:numId w:val="3"/>
        </w:numPr>
        <w:ind w:left="0" w:firstLine="0"/>
      </w:pPr>
      <w:bookmarkStart w:id="35" w:name="_TOC000014"/>
      <w:r>
        <w:t>Entstehung der Bundesrepublik Deutschland</w:t>
      </w:r>
      <w:bookmarkEnd w:id="35"/>
      <w:r/>
    </w:p>
    <w:p>
      <w:pPr>
        <w:pStyle w:val="para3"/>
        <w:numPr>
          <w:ilvl w:val="2"/>
          <w:numId w:val="3"/>
        </w:numPr>
        <w:ind w:left="0" w:firstLine="0"/>
      </w:pPr>
      <w:bookmarkStart w:id="36" w:name="_TOC000015"/>
      <w:r>
        <w:t>Exkurs Fortbestehen des Deutschen Reichs / Weimarer Republik</w:t>
      </w:r>
      <w:bookmarkEnd w:id="36"/>
      <w:r/>
    </w:p>
    <w:p>
      <w:pPr>
        <w:pStyle w:val="para1"/>
        <w:numPr>
          <w:ilvl w:val="0"/>
          <w:numId w:val="3"/>
        </w:numPr>
        <w:ind w:left="0" w:firstLine="0"/>
      </w:pPr>
      <w:bookmarkStart w:id="37" w:name="_TOC000016"/>
      <w:r>
        <w:t>Rechtsgrundlagen der Bundesrepublik</w:t>
      </w:r>
      <w:bookmarkEnd w:id="37"/>
      <w:r/>
    </w:p>
    <w:p>
      <w:pPr>
        <w:pStyle w:val="para2"/>
        <w:numPr>
          <w:ilvl w:val="1"/>
          <w:numId w:val="3"/>
        </w:numPr>
        <w:ind w:left="0" w:firstLine="0"/>
      </w:pPr>
      <w:bookmarkStart w:id="38" w:name="_TOC000017"/>
      <w:r>
        <w:t>Recht und Gesetze</w:t>
      </w:r>
      <w:bookmarkEnd w:id="38"/>
      <w:r/>
    </w:p>
    <w:p>
      <w:pPr>
        <w:pStyle w:val="para3"/>
        <w:numPr>
          <w:ilvl w:val="2"/>
          <w:numId w:val="3"/>
        </w:numPr>
        <w:ind w:left="0" w:firstLine="0"/>
      </w:pPr>
      <w:bookmarkStart w:id="39" w:name="_TOC000018"/>
      <w:r>
        <w:t>Gesetzeshierarchie</w:t>
      </w:r>
      <w:bookmarkEnd w:id="39"/>
      <w:r/>
    </w:p>
    <w:p>
      <w:pPr>
        <w:pStyle w:val="para3"/>
        <w:numPr>
          <w:ilvl w:val="2"/>
          <w:numId w:val="3"/>
        </w:numPr>
        <w:ind w:left="0" w:firstLine="0"/>
      </w:pPr>
      <w:bookmarkStart w:id="40" w:name="_TOC000019"/>
      <w:r>
        <w:t>Rechtsgebiete</w:t>
      </w:r>
      <w:bookmarkEnd w:id="40"/>
      <w:r/>
    </w:p>
    <w:p>
      <w:pPr>
        <w:pStyle w:val="para3"/>
        <w:numPr>
          <w:ilvl w:val="2"/>
          <w:numId w:val="3"/>
        </w:numPr>
        <w:ind w:left="0" w:firstLine="0"/>
      </w:pPr>
      <w:bookmarkStart w:id="41" w:name="_TOC000020"/>
      <w:r>
        <w:t>Durchsetzung des Rechts</w:t>
      </w:r>
      <w:bookmarkEnd w:id="41"/>
      <w:r/>
    </w:p>
    <w:p>
      <w:pPr>
        <w:pStyle w:val="para2"/>
        <w:numPr>
          <w:ilvl w:val="1"/>
          <w:numId w:val="3"/>
        </w:numPr>
        <w:ind w:left="0" w:firstLine="0"/>
      </w:pPr>
      <w:bookmarkStart w:id="42" w:name="_TOC000021"/>
      <w:r>
        <w:t>Verfassungsrecht</w:t>
      </w:r>
      <w:bookmarkEnd w:id="42"/>
      <w:r/>
    </w:p>
    <w:p>
      <w:pPr>
        <w:pStyle w:val="para3"/>
        <w:numPr>
          <w:ilvl w:val="2"/>
          <w:numId w:val="3"/>
        </w:numPr>
        <w:ind w:left="0" w:firstLine="0"/>
      </w:pPr>
      <w:bookmarkStart w:id="43" w:name="_TOC000022"/>
      <w:r>
        <w:t>Funktion einer Verfassung</w:t>
      </w:r>
      <w:bookmarkEnd w:id="43"/>
      <w:r/>
    </w:p>
    <w:p>
      <w:pPr>
        <w:pStyle w:val="para3"/>
        <w:numPr>
          <w:ilvl w:val="2"/>
          <w:numId w:val="3"/>
        </w:numPr>
        <w:ind w:left="0" w:firstLine="0"/>
      </w:pPr>
      <w:bookmarkStart w:id="44" w:name="_TOC000023"/>
      <w:r>
        <w:t>Entstehung des Grundgesetzes</w:t>
      </w:r>
      <w:bookmarkEnd w:id="44"/>
      <w:r/>
    </w:p>
    <w:p>
      <w:pPr>
        <w:pStyle w:val="para3"/>
        <w:numPr>
          <w:ilvl w:val="2"/>
          <w:numId w:val="3"/>
        </w:numPr>
        <w:ind w:left="0" w:firstLine="0"/>
      </w:pPr>
      <w:bookmarkStart w:id="45" w:name="_TOC000024"/>
      <w:r>
        <w:t>Struktur des Grundgesetzes</w:t>
      </w:r>
      <w:bookmarkEnd w:id="45"/>
      <w:r/>
    </w:p>
    <w:p>
      <w:pPr>
        <w:pStyle w:val="para3"/>
        <w:numPr>
          <w:ilvl w:val="2"/>
          <w:numId w:val="3"/>
        </w:numPr>
        <w:ind w:left="0" w:firstLine="0"/>
      </w:pPr>
      <w:bookmarkStart w:id="46" w:name="_TOC000025"/>
      <w:r>
        <w:t>Staatsprinzipien und Staatsziele</w:t>
      </w:r>
      <w:bookmarkEnd w:id="46"/>
      <w:r/>
    </w:p>
    <w:p>
      <w:pPr>
        <w:pStyle w:val="para3"/>
        <w:numPr>
          <w:ilvl w:val="2"/>
          <w:numId w:val="3"/>
        </w:numPr>
        <w:ind w:left="0" w:firstLine="0"/>
      </w:pPr>
      <w:bookmarkStart w:id="47" w:name="_TOC000026"/>
      <w:r>
        <w:t>Einflüsse internationaler Organisationen</w:t>
      </w:r>
      <w:bookmarkEnd w:id="47"/>
      <w:r/>
    </w:p>
    <w:p>
      <w:pPr>
        <w:pStyle w:val="para2"/>
        <w:numPr>
          <w:ilvl w:val="1"/>
          <w:numId w:val="3"/>
        </w:numPr>
        <w:ind w:left="0" w:firstLine="0"/>
      </w:pPr>
      <w:bookmarkStart w:id="48" w:name="_TOC000027"/>
      <w:r>
        <w:t>Grundrechte</w:t>
      </w:r>
      <w:bookmarkEnd w:id="48"/>
      <w:r/>
    </w:p>
    <w:p>
      <w:pPr>
        <w:pStyle w:val="para3"/>
        <w:numPr>
          <w:ilvl w:val="2"/>
          <w:numId w:val="3"/>
        </w:numPr>
        <w:ind w:left="0" w:firstLine="0"/>
      </w:pPr>
      <w:bookmarkStart w:id="49" w:name="_TOC000028"/>
      <w:r>
        <w:t>Funktion</w:t>
      </w:r>
      <w:bookmarkEnd w:id="49"/>
      <w:r/>
    </w:p>
    <w:p>
      <w:pPr>
        <w:pStyle w:val="para3"/>
        <w:numPr>
          <w:ilvl w:val="2"/>
          <w:numId w:val="3"/>
        </w:numPr>
        <w:ind w:left="0" w:firstLine="0"/>
      </w:pPr>
      <w:bookmarkStart w:id="50" w:name="_TOC000029"/>
      <w:r>
        <w:t>Bedeutung</w:t>
      </w:r>
      <w:bookmarkEnd w:id="50"/>
      <w:r/>
    </w:p>
    <w:p>
      <w:pPr>
        <w:pStyle w:val="para3"/>
        <w:numPr>
          <w:ilvl w:val="2"/>
          <w:numId w:val="3"/>
        </w:numPr>
        <w:ind w:left="0" w:firstLine="0"/>
      </w:pPr>
      <w:bookmarkStart w:id="51" w:name="_TOC000030"/>
      <w:r>
        <w:t>Einzelne Grundrechte im Überblick</w:t>
      </w:r>
      <w:bookmarkEnd w:id="51"/>
      <w:r/>
    </w:p>
    <w:p>
      <w:pPr>
        <w:pStyle w:val="para2"/>
        <w:numPr>
          <w:ilvl w:val="1"/>
          <w:numId w:val="3"/>
        </w:numPr>
        <w:ind w:left="0" w:firstLine="0"/>
      </w:pPr>
      <w:bookmarkStart w:id="52" w:name="_TOC000031"/>
      <w:r>
        <w:t>Staatsorganisation</w:t>
      </w:r>
      <w:bookmarkEnd w:id="52"/>
      <w:r/>
    </w:p>
    <w:p>
      <w:pPr>
        <w:pStyle w:val="para3"/>
        <w:numPr>
          <w:ilvl w:val="2"/>
          <w:numId w:val="3"/>
        </w:numPr>
        <w:ind w:left="0" w:firstLine="0"/>
      </w:pPr>
      <w:bookmarkStart w:id="53" w:name="_TOC000032"/>
      <w:r>
        <w:t>Staatsorgane</w:t>
      </w:r>
      <w:bookmarkEnd w:id="53"/>
      <w:r/>
    </w:p>
    <w:p>
      <w:pPr>
        <w:pStyle w:val="para3"/>
        <w:numPr>
          <w:ilvl w:val="2"/>
          <w:numId w:val="3"/>
        </w:numPr>
        <w:ind w:left="0" w:firstLine="0"/>
      </w:pPr>
      <w:bookmarkStart w:id="54" w:name="_TOC000033"/>
      <w:r>
        <w:t>Gewaltenteilung</w:t>
      </w:r>
      <w:bookmarkEnd w:id="54"/>
      <w:r/>
    </w:p>
    <w:p>
      <w:pPr>
        <w:pStyle w:val="para3"/>
        <w:numPr>
          <w:ilvl w:val="2"/>
          <w:numId w:val="3"/>
        </w:numPr>
        <w:ind w:left="0" w:firstLine="0"/>
      </w:pPr>
      <w:bookmarkStart w:id="55" w:name="_TOC000034"/>
      <w:r>
        <w:t>Wahlen als ….</w:t>
      </w:r>
      <w:bookmarkEnd w:id="55"/>
      <w:r/>
    </w:p>
    <w:p>
      <w:pPr>
        <w:pStyle w:val="para3"/>
        <w:numPr>
          <w:ilvl w:val="2"/>
          <w:numId w:val="3"/>
        </w:numPr>
        <w:ind w:left="0" w:firstLine="0"/>
      </w:pPr>
      <w:bookmarkStart w:id="56" w:name="_TOC000035"/>
      <w:r>
        <w:t>Gesetzgebung</w:t>
      </w:r>
      <w:bookmarkEnd w:id="56"/>
      <w:r/>
    </w:p>
    <w:p>
      <w:pPr>
        <w:pStyle w:val="para3"/>
        <w:numPr>
          <w:ilvl w:val="2"/>
          <w:numId w:val="3"/>
        </w:numPr>
        <w:ind w:left="0" w:firstLine="0"/>
      </w:pPr>
      <w:bookmarkStart w:id="57" w:name="_TOC000036"/>
      <w:r>
        <w:t>Recht und Gerichte</w:t>
      </w:r>
      <w:bookmarkEnd w:id="57"/>
      <w:r/>
    </w:p>
    <w:p>
      <w:pPr>
        <w:pStyle w:val="para2"/>
        <w:numPr>
          <w:ilvl w:val="0"/>
          <w:numId w:val="0"/>
        </w:numPr>
        <w:ind w:left="0"/>
      </w:pPr>
      <w:r/>
    </w:p>
    <w:sectPr>
      <w:footnotePr>
        <w:pos w:val="pageBottom"/>
        <w:numFmt w:val="decimal"/>
        <w:numStart w:val="1"/>
        <w:numRestart w:val="continuous"/>
        <w:tmFnProps w:left="0" w:right="5102" w:top="72" w:bottom="72">
          <w:tmFnLine w:val="single" w:sz="5" w:space="0" w:color="999999" tmln="12,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13"/>
      <w:footerReference w:type="default" r:id="rId14"/>
      <w:headerReference w:type="even" r:id="rId15"/>
      <w:footerReference w:type="even" r:id="rId16"/>
      <w:chapter/>
      <w:type w:val="nextPage"/>
      <w:pgSz w:h="16839" w:w="11907"/>
      <w:pgMar w:left="1134" w:top="1134" w:right="1134" w:bottom="1134" w:header="567" w:footer="567" w:gutter="567"/>
      <w:paperSrc w:first="0" w:other="0" a="0" b="0"/>
      <w:pgNumType w:fmt="decimal"/>
      <w:evenAndOddHeaders/>
      <w:tmGutter w:val="1"/>
      <w:mirrorMargins w:val="1"/>
      <w:tmSection w:h="-1">
        <w:tmHeader w:id="0" w:h="0" edge="567" text="0">
          <w:shd w:val="none"/>
          <w:bottom w:val="single" w:sz="0" w:space="0" w:color="000000" tmln="1, 20, 20, 0, 0"/>
        </w:tmHeader>
        <w:tmFooter w:id="0" w:h="0" edge="567" text="0">
          <w:shd w:val="none"/>
        </w:tmFooter>
        <w:tmHeader w:id="1" w:h="0" edge="567" text="0">
          <w:shd w:val="none"/>
          <w:bottom w:val="single" w:sz="0" w:space="0" w:color="000000" tmln="1, 20, 20, 0, 0"/>
        </w:tmHeader>
        <w:tmFooter w:id="1" w:h="0" edge="567" text="0">
          <w:shd w:val="none"/>
        </w:tmFooter>
      </w:tmSection>
      <w:guidesAndGridMasterPages Id="0" numberOfVerticalGuides="0" numberOfHorizontalGuides="0">
        <w:masterPageOptions>
          <w:masterPageFlags flags="15"/>
        </w:masterPageOptions>
      </w:guidesAndGridMasterPages>
      <w:guidesAndGridMasterPages Id="1" numberOfVerticalGuides="0" numberOfHorizontalGuides="0">
        <w:masterPageOptions>
          <w:masterPageFlags flags="15"/>
        </w:masterPageOptions>
      </w:guidesAndGridMasterPages>
      <w:guidesAndGridMasterPages Id="2" numberOfVerticalGuides="0" numberOfHorizontalGuides="0">
        <w:masterPageOptions>
          <w:masterPageFlags flags="15"/>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charset w:val="00"/>
    <w:family w:val="roman"/>
    <w:pitch w:val="default"/>
  </w:font>
  <w:font w:name="SimSun">
    <w:charset w:val="00"/>
    <w:family w:val="auto"/>
    <w:pitch w:val="default"/>
  </w:font>
  <w:font w:name="Palatino">
    <w:charset w:val="00"/>
    <w:family w:val="roman"/>
    <w:pitch w:val="default"/>
  </w:font>
  <w:font w:name="Arial Unicode MS">
    <w:charset w:val="00"/>
    <w:family w:val="roman"/>
    <w:pitch w:val="default"/>
  </w:font>
  <w:font w:name="Segoe UI">
    <w:charset w:val="00"/>
    <w:family w:val="auto"/>
    <w:pitch w:val="default"/>
  </w:font>
  <w:font w:name="Arial">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5"/>
      <w:spacing/>
      <w:jc w:val="right"/>
    </w:pPr>
    <w:r>
      <w:fldChar w:fldCharType="begin"/>
      <w:instrText xml:space="preserve"> PAGE \* ROMAN  \CA </w:instrText>
      <w:fldChar w:fldCharType="separate"/>
      <w:t>II</w:t>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5"/>
      <w:spacing/>
      <w:jc w:val="left"/>
    </w:pPr>
    <w:r>
      <w:fldChar w:fldCharType="begin"/>
      <w:instrText xml:space="preserve"> PAGE \* ROMAN  \CA </w:instrText>
      <w:fldChar w:fldCharType="separate"/>
      <w:t>I</w:t>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5"/>
      <w:spacing/>
      <w:jc w:val="right"/>
    </w:pPr>
    <w:r>
      <w:fldChar w:fldCharType="begin"/>
      <w:instrText xml:space="preserve"> PAGE  \CA </w:instrText>
      <w:fldChar w:fldCharType="separate"/>
      <w:t>6</w:t>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5"/>
      <w:spacing/>
      <w:jc w:val="left"/>
    </w:pPr>
    <w:r>
      <w:fldChar w:fldCharType="begin"/>
      <w:instrText xml:space="preserve"> PAGE  \CA </w:instrText>
      <w:fldChar w:fldCharType="separate"/>
      <w:t>5</w:t>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footnote w:id="15">
    <w:p>
      <w:pPr>
        <w:pStyle w:val="para7"/>
      </w:pPr>
      <w:r>
        <w:rPr>
          <w:rStyle w:val="char1"/>
        </w:rPr>
      </w:r>
      <w:r>
        <w:rPr>
          <w:rStyle w:val="char1"/>
        </w:rPr>
        <w:footnoteRef/>
      </w:r>
      <w:r>
        <w:t xml:space="preserve">  Dieses Skript verwendet aus Gründen der Lesbarkeit das generische Maskulinum. Grundsätzlich sind, sofern nicht extra angegeben, alle biologischen und soziologischen Geschlechter gemeint.</w:t>
      </w:r>
    </w:p>
  </w:footnote>
  <w:footnote w:id="19">
    <w:p>
      <w:pPr>
        <w:pStyle w:val="para7"/>
      </w:pPr>
      <w:r>
        <w:rPr>
          <w:rStyle w:val="char1"/>
        </w:rPr>
      </w:r>
      <w:r>
        <w:rPr>
          <w:rStyle w:val="char1"/>
        </w:rPr>
        <w:footnoteRef/>
      </w:r>
      <w:r/>
      <w:r>
        <w:fldChar w:fldCharType="begin"/>
      </w:r>
      <w:r>
        <w:instrText xml:space="preserve">ADDIN ZOTERO_ITEM CSL_CITATION {"citationID":"mX3yVrBj","properties":{"formattedCitation":"Schnerckener in: {\\i{}Jahn u.\\uc0\\u160{}a.}, Die Zukunft des Friedens. Band 2, S.\\uc0\\u160{}194\\uc0\\u8211{}198.","plainCitation":"Schnerckener in: Jahn u. a., Die Zukunft des Friedens. Band 2, S. 194–198.","noteIndex":1},"citationItems":[{"id":7141,"uris":["http://zotero.org/users/3298408/items/TTSQ82L3"],"itemData":{"id":7141,"type":"book","call-number":"JZ5527 .Z85 2005","ISBN":"978-3-531-14142-8","number-of-pages":"560","publisher":"VS Verlag für Sozialwissenschaften","publisher-place":"Wiesbaden","source":"Library of Congress ISBN","title":"Die Zukunft des Friedens. Band 2: Die Friedens- und Konfliktforschung aus der Perspective der jüngeren Generationen","title-short":"Die Zukunft des Friedens. Band 2","editor":[{"family":"Jahn","given":"Egbert"},{"family":"Fischer","given":"Sabine"},{"family":"Sahm","given":"Astrid"},{"literal":"Universität Mannheim"},{"literal":"Evangelische Akademie Arnoldshain"}],"issued":{"date-parts":[["2005"]]}},"locator":"194-198","label":"page","prefix":"Schnerckener in:"}],"schema":"https://github.com/citation-style-language/schema/raw/master/csl-citation.json"}</w:instrText>
      </w:r>
      <w:r>
        <w:fldChar w:fldCharType="separate"/>
      </w:r>
      <w:r>
        <w:t xml:space="preserve">Schnerckener in: </w:t>
      </w:r>
      <w:r>
        <w:rPr>
          <w:i/>
          <w:iCs/>
        </w:rPr>
        <w:t>Jahn u. a.</w:t>
      </w:r>
      <w:r>
        <w:t>, Die Zukunft des Friedens. Band 2, S. 194–198.</w:t>
      </w:r>
      <w:r>
        <w:fldChar w:fldCharType="end"/>
      </w:r>
    </w:p>
  </w:footnote>
  <w:footnote w:id="22">
    <w:p>
      <w:pPr>
        <w:pStyle w:val="para7"/>
      </w:pPr>
      <w:r>
        <w:rPr>
          <w:rStyle w:val="char1"/>
        </w:rPr>
      </w:r>
      <w:r>
        <w:rPr>
          <w:rStyle w:val="char1"/>
        </w:rPr>
        <w:footnoteRef/>
      </w:r>
      <w:r>
        <w:rPr>
          <w:i/>
          <w:iCs/>
        </w:rPr>
      </w:r>
      <w:r>
        <w:rPr>
          <w:i/>
          <w:iCs/>
        </w:rPr>
        <w:fldChar w:fldCharType="begin"/>
      </w:r>
      <w:r>
        <w:rPr>
          <w:i/>
          <w:iCs/>
        </w:rPr>
        <w:instrText xml:space="preserve">ADDIN ZOTERO_ITEM CSL_CITATION {"citationID":"TdxJGNkO","properties":{"formattedCitation":"{\\i{}Jellinek}, Allgemeine Staatslehre, S.\\uc0\\u160{}XXXX.","plainCitation":"Jellinek, Allgemeine Staatslehre, S. XXXX.","noteIndex":2},"citationItems":[{"id":7119,"uris":["http://zotero.org/users/3298408/items/BTPWBDYC"],"itemData":{"id":7119,"type":"book","edition":"3. Auflage","ISBN":"978-3-662-42822-1","language":"ger","number-of-pages":"1","publisher":"Springer Berlin / Heidelberg","publisher-place":"Berlin, Heidelberg","source":"K10plus ISBN","title":"Allgemeine Staatslehre","URL":"https://ia800102.us.archive.org/3/items/allgemeinestaats00jelliala/allgemeinestaats00jelliala.pdf","author":[{"family":"Jellinek","given":"Georg"}],"contributor":[{"family":"Jellinek","given":"Walter"}],"issued":{"date-parts":[["1914"]]}},"locator":"XXXX","label":"page"}],"schema":"https://github.com/citation-style-language/schema/raw/master/csl-citation.json"}</w:instrText>
      </w:r>
      <w:r>
        <w:rPr>
          <w:i/>
          <w:iCs/>
        </w:rPr>
        <w:fldChar w:fldCharType="separate"/>
      </w:r>
      <w:r>
        <w:rPr>
          <w:i/>
          <w:iCs/>
        </w:rPr>
        <w:t>Jellinek</w:t>
      </w:r>
      <w:r>
        <w:t>, Allgemeine Staatslehre, S. XXXX.</w:t>
      </w:r>
      <w:r>
        <w:fldChar w:fldCharType="end"/>
      </w:r>
    </w:p>
  </w:footnote>
  <w:footnote w:id="23">
    <w:p>
      <w:pPr>
        <w:pStyle w:val="para7"/>
      </w:pPr>
      <w:r>
        <w:rPr>
          <w:rStyle w:val="char1"/>
        </w:rPr>
      </w:r>
      <w:r>
        <w:rPr>
          <w:rStyle w:val="char1"/>
        </w:rPr>
        <w:footnoteRef/>
      </w:r>
      <w:r>
        <w:rPr>
          <w:i/>
          <w:iCs/>
        </w:rPr>
      </w:r>
      <w:r>
        <w:rPr>
          <w:i/>
          <w:iCs/>
        </w:rPr>
        <w:fldChar w:fldCharType="begin"/>
      </w:r>
      <w:r>
        <w:rPr>
          <w:i/>
          <w:iCs/>
        </w:rPr>
        <w:instrText xml:space="preserve">ADDIN ZOTERO_ITEM CSL_CITATION {"citationID":"elb7fVU0","properties":{"formattedCitation":"{\\i{}Katz}, Staatsrecht, S.\\uc0\\u160{}13.","plainCitation":"Katz, Staatsrecht, S. 13.","noteIndex":3},"citationItems":[{"id":7118,"uris":["http://zotero.org/users/3298408/items/P9I2PCKK"],"itemData":{"id":7118,"type":"book","collection-title":"Jurathek Studium","edition":"18. Auflage","ISBN":"978-3-8114-0811-1","language":"ger","number-of-pages":"420","publisher":"C.F. Müller Verlag","publisher-place":"Heidelberg","source":"K10plus ISBN","title":"Staatsrecht: Grundkurs im öffentlichen Recht","title-short":"Staatsrecht","author":[{"family":"Katz","given":"Alfred"}],"issued":{"date-parts":[["2010"]]}},"locator":"13","label":"page"}],"schema":"https://github.com/citation-style-language/schema/raw/master/csl-citation.json"}</w:instrText>
      </w:r>
      <w:r>
        <w:rPr>
          <w:i/>
          <w:iCs/>
        </w:rPr>
        <w:fldChar w:fldCharType="separate"/>
      </w:r>
      <w:r>
        <w:rPr>
          <w:i/>
          <w:iCs/>
        </w:rPr>
        <w:t>Katz</w:t>
      </w:r>
      <w:r>
        <w:t>, Staatsrecht, S. 13.</w:t>
      </w:r>
      <w:r>
        <w:fldChar w:fldCharType="end"/>
      </w:r>
    </w:p>
  </w:footnote>
  <w:footnote w:id="24">
    <w:p>
      <w:pPr>
        <w:pStyle w:val="para7"/>
      </w:pPr>
      <w:r>
        <w:rPr>
          <w:rStyle w:val="char1"/>
        </w:rPr>
      </w:r>
      <w:r>
        <w:rPr>
          <w:rStyle w:val="char1"/>
        </w:rPr>
        <w:footnoteRef/>
      </w:r>
      <w:r/>
      <w:r>
        <w:fldChar w:fldCharType="begin"/>
      </w:r>
      <w:r>
        <w:instrText xml:space="preserve">ADDIN ZOTERO_ITEM CSL_CITATION {"citationID":"QPem1yFz","properties":{"formattedCitation":"Siehe Zusammenfassung bei {\\i{}Crawford}, The creation of states in international law, S.\\uc0\\u160{}422 ff.","plainCitation":"Siehe Zusammenfassung bei Crawford, The creation of states in international law, S. 422 ff.","noteIndex":4},"citationItems":[{"id":7143,"uris":["http://zotero.org/users/3298408/items/JDUT4J7H"],"itemData":{"id":7143,"type":"book","abstract":"Statehood and recognition -- The criteria for statehood: statehood as effectiveness -- International law conditions for the creation of states -- Issues of statehood before united nations organs -- The criteria for statehood applied: some special cases -- Original acquisition and problems of statehood -- Dependent states and other dependent entities -- Devolution -- Secession -- Divided states and reunification -- Unions and federations of states -- International dispositive powers -- Mandates and trust territories -- Non-self-governing territories: the law and practice of decolonization -- The commencement of states -- Problems of identity, continuity and reversion -- The extinction of states","edition":"2. Auflage","ISBN":"978-0-19-922842-3","language":"eng","number-of-pages":"870","publisher":"Clarendon Press","publisher-place":"Oxford","source":"K10plus ISBN","title":"The creation of states in international law","author":[{"family":"Crawford","given":"James"}],"issued":{"date-parts":[["2007"]]}},"locator":"422 ff.","label":"page","prefix":"Siehe Zusammenfassung bei "}],"schema":"https://github.com/citation-style-language/schema/raw/master/csl-citation.json"}</w:instrText>
      </w:r>
      <w:r>
        <w:fldChar w:fldCharType="separate"/>
      </w:r>
      <w:r>
        <w:t xml:space="preserve">Siehe Zusammenfassung bei </w:t>
      </w:r>
      <w:r>
        <w:rPr>
          <w:i/>
          <w:iCs/>
        </w:rPr>
        <w:t>Crawford</w:t>
      </w:r>
      <w:r>
        <w:t>, The creation of states in international law, S. 422 ff.</w:t>
      </w:r>
      <w:r>
        <w:fldChar w:fldCharType="end"/>
      </w:r>
    </w:p>
  </w:footnote>
  <w:footnote w:id="25">
    <w:p>
      <w:pPr>
        <w:pStyle w:val="para7"/>
      </w:pPr>
      <w:r>
        <w:rPr>
          <w:rStyle w:val="char1"/>
        </w:rPr>
      </w:r>
      <w:r>
        <w:rPr>
          <w:rStyle w:val="char1"/>
        </w:rPr>
        <w:footnoteRef/>
      </w:r>
      <w:r/>
      <w:r>
        <w:fldChar w:fldCharType="begin"/>
      </w:r>
      <w:r>
        <w:instrText xml:space="preserve">ADDIN ZOTERO_ITEM CSL_CITATION {"citationID":"YVM2VbP4","properties":{"formattedCitation":"Vgl. {\\i{}Weber}, (822 f.).","plainCitation":"Vgl. Weber, (822 f.).","noteIndex":5},"citationItems":[{"id":7146,"uris":["http://zotero.org/users/3298408/items/J8IKJFYM"],"itemData":{"id":7146,"type":"chapter","collection-number":"I/22","collection-title":"Studienausgabe der Max Weber-Gesamtausgabe","ISBN":"978-3-16-148516-9","language":"ger","publisher":"Mohr Siebeck","publisher-place":"Tübingen","source":"K10plus ISBN","title":"Wirtschaft und Gesellschaft. 1: Gemeinschaften","title-short":"Wirtschaft und Gesellschaft. 1","author":[{"family":"Weber","given":"Max"}],"issued":{"date-parts":[["2009"]]}},"locator":"822 f.","label":"page","prefix":"Vgl. "}],"schema":"https://github.com/citation-style-language/schema/raw/master/csl-citation.json"}</w:instrText>
      </w:r>
      <w:r>
        <w:fldChar w:fldCharType="separate"/>
      </w:r>
      <w:r>
        <w:t xml:space="preserve">Vgl. </w:t>
      </w:r>
      <w:r>
        <w:rPr>
          <w:i/>
          <w:iCs/>
        </w:rPr>
        <w:t>Weber</w:t>
      </w:r>
      <w:r>
        <w:t>, (822 f.).</w:t>
      </w:r>
      <w:r>
        <w:fldChar w:fldCharType="end"/>
      </w:r>
    </w:p>
  </w:footnote>
  <w:footnote w:id="26">
    <w:p>
      <w:pPr>
        <w:pStyle w:val="para7"/>
      </w:pPr>
      <w:r>
        <w:rPr>
          <w:rStyle w:val="char1"/>
        </w:rPr>
      </w:r>
      <w:r>
        <w:rPr>
          <w:rStyle w:val="char1"/>
        </w:rPr>
        <w:footnoteRef/>
      </w:r>
      <w:r>
        <w:rPr>
          <w:i/>
          <w:iCs/>
        </w:rPr>
      </w:r>
      <w:r>
        <w:rPr>
          <w:i/>
          <w:iCs/>
        </w:rPr>
        <w:fldChar w:fldCharType="begin"/>
      </w:r>
      <w:r>
        <w:rPr>
          <w:i/>
          <w:iCs/>
        </w:rPr>
        <w:instrText xml:space="preserve">ADDIN ZOTERO_ITEM CSL_CITATION {"citationID":"q8SgftJ3","properties":{"formattedCitation":"{\\i{}Hegel}, Grundlinien, S.\\uc0\\u160{}309, 403.","plainCitation":"Hegel, Grundlinien, S. 309, 403.","noteIndex":6},"citationItems":[{"id":7147,"uris":["http://zotero.org/users/3298408/items/JCTWQET7"],"itemData":{"id":7147,"type":"book","collection-title":"Edition Holzinger","edition":"4. Auflage","publisher":"CreateSpace Independent Publishing Platform","publisher-place":"Berlin","title":"Grundlinien der Philosophie des Rechts (Berliner Ausgabe, Erstdruck Nicolai 1820)","title-short":"Grundlinien","author":[{"family":"Hegel","given":"Georg Wilhelm Friedrich"}],"issued":{"date-parts":[["2017"]]}},"locator":"309, 403","label":"page"}],"schema":"https://github.com/citation-style-language/schema/raw/master/csl-citation.json"}</w:instrText>
      </w:r>
      <w:r>
        <w:rPr>
          <w:i/>
          <w:iCs/>
        </w:rPr>
        <w:fldChar w:fldCharType="separate"/>
      </w:r>
      <w:r>
        <w:rPr>
          <w:i/>
          <w:iCs/>
        </w:rPr>
        <w:tab/>
        <w:t>Hegel</w:t>
      </w:r>
      <w:r>
        <w:t>, Grundlinien, S. 309, 403.</w:t>
      </w:r>
      <w:r>
        <w:fldChar w:fldCharType="end"/>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4"/>
      <w:spacing/>
      <w:jc w:val="right"/>
    </w:pPr>
    <w:r>
      <w:fldChar w:fldCharType="begin"/>
      <w:instrText xml:space="preserve"> STYLEREF "Titel"  </w:instrText>
      <w:fldChar w:fldCharType="separate"/>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4"/>
      <w:spacing/>
      <w:jc w:val="left"/>
    </w:pPr>
    <w:r>
      <w:fldChar w:fldCharType="begin"/>
      <w:instrText xml:space="preserve"> TITLE </w:instrText>
      <w:fldChar w:fldCharType="separate"/>
      <w:t>Medienrecht</w:t>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4"/>
      <w:spacing/>
      <w:jc w:val="right"/>
    </w:pPr>
    <w:r>
      <w:fldChar w:fldCharType="begin"/>
      <w:instrText xml:space="preserve"> STYLEREF "Titel"  </w:instrText>
      <w:fldChar w:fldCharType="separate"/>
      <w:t>Kurseinheit 1 – Grundlagen des Rechts</w:t>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4"/>
      <w:spacing/>
      <w:jc w:val="left"/>
    </w:pPr>
    <w:r>
      <w:fldChar w:fldCharType="begin"/>
      <w:instrText xml:space="preserve"> TITLE </w:instrText>
      <w:fldChar w:fldCharType="separate"/>
      <w:t>Medienrecht</w:t>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jc w:val="left"/>
        <w:after w:val="."/>
      </w:bPr>
    </w:lvl>
    <w:lvl w:ilvl="1">
      <w:numFmt w:val="none"/>
      <w:suff w:val="dxa"/>
      <w:lvlText w:val=""/>
      <w:lvlJc w:val="left"/>
      <w:addIndent w:val="0"/>
      <w:bPr>
        <w:type w:val="none"/>
        <w:position w:dxa="360" w:dya="0"/>
        <w:jc w:val="left"/>
        <w:after w:val="."/>
      </w:bPr>
    </w:lvl>
    <w:lvl w:ilvl="2">
      <w:numFmt w:val="none"/>
      <w:suff w:val="dxa"/>
      <w:lvlText w:val=""/>
      <w:lvlJc w:val="left"/>
      <w:addIndent w:val="0"/>
      <w:bPr>
        <w:type w:val="none"/>
        <w:position w:dxa="360" w:dya="0"/>
        <w:jc w:val="left"/>
        <w:after w:val="."/>
      </w:bPr>
    </w:lvl>
    <w:lvl w:ilvl="3">
      <w:numFmt w:val="none"/>
      <w:suff w:val="dxa"/>
      <w:lvlText w:val=""/>
      <w:lvlJc w:val="left"/>
      <w:addIndent w:val="0"/>
      <w:bPr>
        <w:type w:val="none"/>
        <w:position w:dxa="360" w:dya="0"/>
        <w:jc w:val="left"/>
        <w:after w:val="."/>
      </w:bPr>
    </w:lvl>
    <w:lvl w:ilvl="4">
      <w:numFmt w:val="none"/>
      <w:suff w:val="dxa"/>
      <w:lvlText w:val=""/>
      <w:lvlJc w:val="left"/>
      <w:addIndent w:val="0"/>
      <w:bPr>
        <w:type w:val="none"/>
        <w:position w:dxa="360" w:dya="0"/>
        <w:jc w:val="left"/>
        <w:after w:val="."/>
      </w:bPr>
    </w:lvl>
    <w:lvl w:ilvl="5">
      <w:numFmt w:val="none"/>
      <w:suff w:val="dxa"/>
      <w:lvlText w:val=""/>
      <w:lvlJc w:val="left"/>
      <w:addIndent w:val="0"/>
      <w:bPr>
        <w:type w:val="none"/>
        <w:position w:dxa="360" w:dya="0"/>
        <w:jc w:val="left"/>
        <w:after w:val="."/>
      </w:bPr>
    </w:lvl>
    <w:lvl w:ilvl="6">
      <w:numFmt w:val="none"/>
      <w:suff w:val="dxa"/>
      <w:lvlText w:val=""/>
      <w:lvlJc w:val="left"/>
      <w:addIndent w:val="0"/>
      <w:bPr>
        <w:type w:val="none"/>
        <w:position w:dxa="360" w:dya="0"/>
        <w:jc w:val="left"/>
        <w:after w:val="."/>
      </w:bPr>
    </w:lvl>
    <w:lvl w:ilvl="7">
      <w:numFmt w:val="none"/>
      <w:suff w:val="dxa"/>
      <w:lvlText w:val=""/>
      <w:lvlJc w:val="left"/>
      <w:addIndent w:val="0"/>
      <w:bPr>
        <w:type w:val="none"/>
        <w:position w:dxa="360" w:dya="0"/>
        <w:jc w:val="left"/>
        <w:after w:val="."/>
      </w:bPr>
    </w:lvl>
    <w:lvl w:ilvl="8">
      <w:numFmt w:val="none"/>
      <w:suff w:val="dxa"/>
      <w:lvlText w:val=""/>
      <w:lvlJc w:val="left"/>
      <w:addIndent w:val="0"/>
      <w:bPr>
        <w:type w:val="none"/>
        <w:position w:dxa="360" w:dya="0"/>
        <w:jc w:val="left"/>
        <w:after w:val="."/>
      </w:bPr>
    </w:lvl>
    <w:tmUseOutlineLevel val="0"/>
  </w:abstractNum>
  <w:abstractNum w:abstractNumId="1">
    <w:multiLevelType w:val="hybridMultilevel"/>
    <w:name w:val="Juristisch"/>
    <w:lvl w:ilvl="0">
      <w:start w:val="1"/>
      <w:numFmt w:val="upperLetter"/>
      <w:pStyle w:val="para1"/>
      <w:suff w:val="tab"/>
      <w:lvlText w:val="%1."/>
      <w:lvlJc w:val="left"/>
      <w:addIndent w:val="0"/>
      <w:bPr>
        <w:type w:val="num"/>
        <w:numType w:val="2"/>
        <w:position w:dxa="0" w:dya="0"/>
        <w:jc w:val="left"/>
      </w:bPr>
    </w:lvl>
    <w:lvl w:ilvl="1">
      <w:start w:val="1"/>
      <w:numFmt w:val="upperRoman"/>
      <w:pStyle w:val="para2"/>
      <w:suff w:val="tab"/>
      <w:lvlText w:val="%2."/>
      <w:lvlJc w:val="left"/>
      <w:addIndent w:val="0"/>
      <w:bPr>
        <w:type w:val="num"/>
        <w:numType w:val="4"/>
        <w:position w:dxa="0" w:dya="0"/>
        <w:jc w:val="left"/>
      </w:bPr>
    </w:lvl>
    <w:lvl w:ilvl="2">
      <w:start w:val="1"/>
      <w:numFmt w:val="ordinal"/>
      <w:pStyle w:val="para3"/>
      <w:suff w:val="tab"/>
      <w:lvlText w:val="%3"/>
      <w:lvlJc w:val="left"/>
      <w:addIndent w:val="0"/>
      <w:bPr>
        <w:type w:val="num"/>
        <w:numType w:val="0"/>
        <w:position w:dxa="0" w:dya="0"/>
        <w:jc w:val="left"/>
      </w:bPr>
    </w:lvl>
    <w:lvl w:ilvl="3">
      <w:start w:val="1"/>
      <w:numFmt w:val="lowerLetter"/>
      <w:pStyle w:val="para8"/>
      <w:suff w:val="tab"/>
      <w:lvlText w:val="%4."/>
      <w:lvlJc w:val="left"/>
      <w:addIndent w:val="0"/>
      <w:bPr>
        <w:type w:val="num"/>
        <w:numType w:val="3"/>
        <w:position w:dxa="0" w:dya="0"/>
        <w:jc w:val="left"/>
      </w:bPr>
    </w:lvl>
    <w:lvl w:ilvl="4">
      <w:start w:val="27"/>
      <w:numFmt w:val="lowerLetter"/>
      <w:pStyle w:val="para9"/>
      <w:suff w:val="tab"/>
      <w:lvlText w:val="%5.) "/>
      <w:lvlJc w:val="left"/>
      <w:addIndent w:val="0"/>
      <w:bPr>
        <w:type w:val="num"/>
        <w:numType w:val="3"/>
        <w:position w:dxa="0" w:dya="0"/>
        <w:jc w:val="left"/>
      </w:bPr>
    </w:lvl>
    <w:lvl w:ilvl="5">
      <w:start w:val="1"/>
      <w:numFmt w:val="decimal"/>
      <w:suff w:val="tab"/>
      <w:lvlText w:val="%1.%2.%3.%4.%5.%6."/>
      <w:lvlJc w:val="left"/>
      <w:addIndent w:val="0"/>
      <w:bPr>
        <w:type w:val="num"/>
        <w:numType w:val="1"/>
        <w:position w:dxa="0" w:dya="0"/>
        <w:jc w:val="left"/>
      </w:bPr>
    </w:lvl>
    <w:lvl w:ilvl="6">
      <w:start w:val="1"/>
      <w:numFmt w:val="decimal"/>
      <w:suff w:val="tab"/>
      <w:lvlText w:val="%1.%2.%3.%4.%5.%6.%7."/>
      <w:lvlJc w:val="left"/>
      <w:addIndent w:val="0"/>
      <w:bPr>
        <w:type w:val="num"/>
        <w:numType w:val="1"/>
        <w:position w:dxa="0" w:dya="0"/>
        <w:jc w:val="left"/>
      </w:bPr>
    </w:lvl>
    <w:lvl w:ilvl="7">
      <w:start w:val="1"/>
      <w:numFmt w:val="decimal"/>
      <w:suff w:val="tab"/>
      <w:lvlText w:val="%1.%2.%3.%4.%5.%6.%7.%8."/>
      <w:lvlJc w:val="left"/>
      <w:addIndent w:val="0"/>
      <w:bPr>
        <w:type w:val="num"/>
        <w:numType w:val="1"/>
        <w:position w:dxa="0" w:dya="0"/>
        <w:jc w:val="left"/>
      </w:bPr>
    </w:lvl>
    <w:lvl w:ilvl="8">
      <w:start w:val="1"/>
      <w:numFmt w:val="decimal"/>
      <w:suff w:val="tab"/>
      <w:lvlText w:val="%1.%2.%3.%4.%5.%6.%7.%8.%9."/>
      <w:lvlJc w:val="left"/>
      <w:addIndent w:val="0"/>
      <w:bPr>
        <w:type w:val="num"/>
        <w:numType w:val="1"/>
        <w:position w:dxa="0" w:dya="0"/>
        <w:jc w:val="left"/>
      </w:bPr>
    </w:lvl>
    <w:tmUseOutlineLevel val="1"/>
  </w:abstractNum>
  <w:abstractNum w:abstractNumId="2">
    <w:multiLevelType w:val="singleLevel"/>
    <w:name w:val="Randnummer"/>
    <w:lvl w:ilvl="0">
      <w:start w:val="1"/>
      <w:numFmt w:val="decimal"/>
      <w:pStyle w:val="para6"/>
      <w:suff w:val="tab"/>
      <w:lvlText w:val="%1"/>
      <w:lvlJc w:val="left"/>
      <w:addIndent w:val="0"/>
      <w:bPr>
        <w:type w:val="num"/>
        <w:numType w:val="1"/>
        <w:position w:dxa="0" w:dya="0"/>
        <w:jc w:val="left"/>
      </w:bPr>
      <w:rPr>
        <w:b/>
        <w:bCs/>
        <w:color w:val="FF0000"/>
      </w:rPr>
    </w:lvl>
    <w:tmUseOutlineLevel val="0"/>
  </w:abstractNum>
  <w:abstractNum w:abstractNumId="3">
    <w:multiLevelType w:val="hybridMultilevel"/>
    <w:name w:val="Nummerierungsliste 1"/>
    <w:lvl w:ilvl="0">
      <w:start w:val="1"/>
      <w:numFmt w:val="upperLetter"/>
      <w:suff w:val="tab"/>
      <w:lvlText w:val="%1."/>
      <w:lvlJc w:val="left"/>
      <w:addIndent w:val="0"/>
      <w:bPr>
        <w:type w:val="num"/>
        <w:numType w:val="2"/>
        <w:position w:dxa="0" w:dya="0"/>
        <w:jc w:val="left"/>
      </w:bPr>
    </w:lvl>
    <w:lvl w:ilvl="1">
      <w:start w:val="1"/>
      <w:numFmt w:val="upperRoman"/>
      <w:suff w:val="tab"/>
      <w:lvlText w:val="%2."/>
      <w:lvlJc w:val="left"/>
      <w:addIndent w:val="0"/>
      <w:bPr>
        <w:type w:val="num"/>
        <w:numType w:val="4"/>
        <w:position w:dxa="0" w:dya="0"/>
        <w:jc w:val="left"/>
      </w:bPr>
    </w:lvl>
    <w:lvl w:ilvl="2">
      <w:start w:val="1"/>
      <w:numFmt w:val="ordinal"/>
      <w:suff w:val="tab"/>
      <w:lvlText w:val="%3"/>
      <w:lvlJc w:val="left"/>
      <w:addIndent w:val="0"/>
      <w:bPr>
        <w:type w:val="num"/>
        <w:numType w:val="0"/>
        <w:position w:dxa="0" w:dya="0"/>
        <w:jc w:val="left"/>
      </w:bPr>
    </w:lvl>
    <w:lvl w:ilvl="3">
      <w:start w:val="1"/>
      <w:numFmt w:val="lowerLetter"/>
      <w:suff w:val="tab"/>
      <w:lvlText w:val="%4.)"/>
      <w:lvlJc w:val="left"/>
      <w:addIndent w:val="0"/>
      <w:bPr>
        <w:type w:val="num"/>
        <w:numType w:val="3"/>
        <w:position w:dxa="0" w:dya="0"/>
        <w:jc w:val="left"/>
      </w:bPr>
    </w:lvl>
    <w:lvl w:ilvl="4">
      <w:start w:val="27"/>
      <w:numFmt w:val="lowerLetter"/>
      <w:suff w:val="tab"/>
      <w:lvlText w:val="%5.) "/>
      <w:lvlJc w:val="left"/>
      <w:addIndent w:val="0"/>
      <w:bPr>
        <w:type w:val="num"/>
        <w:numType w:val="3"/>
        <w:position w:dxa="0" w:dya="0"/>
        <w:jc w:val="left"/>
      </w:bPr>
    </w:lvl>
    <w:lvl w:ilvl="5">
      <w:start w:val="1"/>
      <w:numFmt w:val="decimal"/>
      <w:suff w:val="tab"/>
      <w:lvlText w:val="%1.%2.%3.%4.%5.%6."/>
      <w:lvlJc w:val="left"/>
      <w:addIndent w:val="0"/>
      <w:bPr>
        <w:type w:val="num"/>
        <w:numType w:val="1"/>
        <w:position w:dxa="0" w:dya="0"/>
        <w:jc w:val="left"/>
      </w:bPr>
    </w:lvl>
    <w:lvl w:ilvl="6">
      <w:start w:val="1"/>
      <w:numFmt w:val="decimal"/>
      <w:suff w:val="tab"/>
      <w:lvlText w:val="%1.%2.%3.%4.%5.%6.%7."/>
      <w:lvlJc w:val="left"/>
      <w:addIndent w:val="0"/>
      <w:bPr>
        <w:type w:val="num"/>
        <w:numType w:val="1"/>
        <w:position w:dxa="0" w:dya="0"/>
        <w:jc w:val="left"/>
      </w:bPr>
    </w:lvl>
    <w:lvl w:ilvl="7">
      <w:start w:val="1"/>
      <w:numFmt w:val="decimal"/>
      <w:suff w:val="tab"/>
      <w:lvlText w:val="%1.%2.%3.%4.%5.%6.%7.%8."/>
      <w:lvlJc w:val="left"/>
      <w:addIndent w:val="0"/>
      <w:bPr>
        <w:type w:val="num"/>
        <w:numType w:val="1"/>
        <w:position w:dxa="0" w:dya="0"/>
        <w:jc w:val="left"/>
      </w:bPr>
    </w:lvl>
    <w:lvl w:ilvl="8">
      <w:start w:val="1"/>
      <w:numFmt w:val="decimal"/>
      <w:suff w:val="tab"/>
      <w:lvlText w:val="%1.%2.%3.%4.%5.%6.%7.%8.%9."/>
      <w:lvlJc w:val="left"/>
      <w:addIndent w:val="0"/>
      <w:bPr>
        <w:type w:val="num"/>
        <w:numType w:val="1"/>
        <w:position w:dxa="0" w:dya="0"/>
        <w:jc w:val="left"/>
      </w:bPr>
    </w:lvl>
    <w:tmUseOutlineLevel val="1"/>
  </w:abstractNum>
  <w:abstractNum w:abstractNumId="4">
    <w:multiLevelType w:val="singleLevel"/>
    <w:name w:val="Bullet 4"/>
    <w:tmBullet/>
    <w:lvl w:ilvl="0">
      <w:numFmt w:val="bullet"/>
      <w:suff w:val="dxa"/>
      <w:lvlText w:val=""/>
      <w:lvlJc w:val="left"/>
      <w:addIndent w:val="0"/>
      <w:bPr>
        <w:type w:val="round"/>
        <w:position w:dxa="360" w:dya="0"/>
        <w:jc w:val="left"/>
        <w:before w:val=""/>
        <w:after w:val="."/>
      </w:bPr>
      <w:rPr>
        <w:rFonts w:ascii="Wingdings" w:hAnsi="Wingdings" w:eastAsia="Wingdings" w:cs="Wingdings"/>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775625710" w:val="1411" w:fileVer="343" w:fileVer64="64" w:fileVerOS="1"/>
  <w:zoom w:percent="125"/>
  <w:view w:book="1" w:val="print"/>
  <w:defaultTabStop w:val="708"/>
  <w:evenAndOddHeaders/>
  <w:mirrorMargins/>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footnotePr>
    <w:pos w:val="pageBottom"/>
    <w:numFmt w:val="decimal"/>
    <w:numStart w:val="1"/>
    <w:numRestart w:val="continuous"/>
    <w:tmFnProps w:left="0" w:right="5102" w:top="72" w:bottom="72">
      <w:tmFnLine w:val="single" w:sz="5" w:space="0" w:color="999999" tmln="12, 20, 20, 0, 0"/>
    </w:tmFnProps>
  </w:footnotePr>
  <w:endnotePr>
    <w:pos w:val="docEnd"/>
    <w:numFmt w:val="lowerRoman"/>
    <w:numStart w:val="1"/>
    <w:numRestart w:val="continuous"/>
    <w:tmFnProps w:left="0" w:right="0" w:top="72" w:bottom="72">
      <w:tmFnLine w:val="single" w:sz="5" w:space="0" w:color="000000" tmln="12, 20, 20, 0, 0"/>
    </w:tmFnProps>
  </w:endnotePr>
  <w:compat>
    <w:suppressSpBfAfterPgBrk w:val="1"/>
    <w:compatSetting w:name="compatibilityMode" w:uri="http://schemas.microsoft.com/office/word" w:val="15"/>
  </w:compat>
  <w:shapeDefaults>
    <o:shapedefaults v:ext="edit" spidmax="9217"/>
    <o:shapelayout v:ext="edit">
      <o:rules v:ext="edit"/>
    </o:shapelayout>
  </w:shapeDefaults>
  <w:tmPrefOne w:val="16"/>
  <w:tmPrefTwo w:val="1"/>
  <w:tmFmtPref w:val="55090283"/>
  <w:tmCommentsPr>
    <w:tmCommentsPlace w:val="0"/>
    <w:tmCommentsWidth w:val="3119"/>
    <w:tmCommentsColor w:val="-1"/>
  </w:tmCommentsPr>
  <w:tmReviewPr>
    <w:tmReviewEnabled w:val="0"/>
    <w:tmReviewShow w:val="1"/>
    <w:tmReviewPrint w:val="0"/>
    <w:tmRevisionNum w:val="26"/>
    <w:tmReviewMarkIns w:val="4"/>
    <w:tmReviewColorIns w:val="-1"/>
    <w:tmReviewMarkDel w:val="7"/>
    <w:tmReviewColorDel w:val="-1"/>
    <w:tmReviewMarkFmt w:val="7"/>
    <w:tmReviewColorFmt w:val="-1"/>
    <w:tmReviewMarkLn w:val="1"/>
    <w:tmReviewColorLn w:val="0"/>
    <w:tmReviewToolTip w:val="1"/>
  </w:tmReviewPr>
  <w:tmLastPos>
    <w:tmLastPosPage w:val="0"/>
    <w:tmLastPosSelect w:val="1"/>
    <w:tmLastPosFrameIdx w:val="0"/>
    <w:tmLastPosCaret>
      <w:tmLastPosPgfIdx w:val="0"/>
      <w:tmLastPosIdx w:val="11"/>
    </w:tmLastPosCaret>
    <w:tmLastPosAnchor>
      <w:tmLastPosPgfIdx w:val="0"/>
      <w:tmLastPosIdx w:val="0"/>
    </w:tmLastPosAnchor>
    <w:tmLastPosTblRect w:left="0" w:top="0" w:right="0" w:bottom="0"/>
  </w:tmLastPos>
  <w:indexPr/>
  <bibliography>
    <biboptions val="0" w:num="0"/>
  </bibliography>
  <w:guidesAndGrid showGuides="0" lockGuides="0" snapToGuides="1" snapToPageMargins="0" snapToOtherObjects="1" tolerance="8" gridDistanceHorizontal="283" gridDistanceVertical="283" showGrid="0" snapToGrid="0"/>
  <w:pdfExportOpt pagesRangeIndex="1" pagesSelectionIndex="0" qualityIndex="2" embedFonts="2" pdfaType="0" useJpegs="0" useSubsetFonts="1" useAlpha="1" relativeLinks="0" useInteractiveForms="0" taggedPdf="0" pane="0" zoom="0" zoomScale="100" layout="0" includeDoc="0" viewFlags="0" openViewer="1" jpegQuality="90" flags="252" tocGen="1" tocLevels="9" exportComments="0" exportChanges="0" dpi="2" resample="1"/>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kern="1"/>
        <w:sz w:val="20"/>
        <w:szCs w:val="20"/>
        <w:lang w:val="de-de" w:eastAsia="zh-cn" w:bidi="ar-sa"/>
      </w:rPr>
    </w:rPrDefault>
    <w:pPrDefault>
      <w:pPr>
        <w:spacing/>
        <w:jc w:val="both"/>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Palatino" w:hAnsi="Palatino" w:eastAsia="Palatino" w:cs="Palatino"/>
      <w:sz w:val="24"/>
      <w:szCs w:val="24"/>
      <w:lang w:eastAsia="de-de" w:bidi="de-de"/>
    </w:rPr>
    <w:key w:val="3120"/>
  </w:style>
  <w:style w:type="paragraph" w:styleId="para1">
    <w:name w:val="heading 1"/>
    <w:qFormat/>
    <w:basedOn w:val="para0"/>
    <w:next w:val="para6"/>
    <w:pPr>
      <w:numPr>
        <w:ilvl w:val="0"/>
        <w:numId w:val="1"/>
      </w:numPr>
      <w:ind w:left="0" w:firstLine="0"/>
      <w:spacing w:before="200" w:after="200"/>
      <w:jc w:val="left"/>
      <w:keepNext/>
      <w:outlineLvl w:val="0"/>
      <w:keepLines/>
    </w:pPr>
    <w:rPr>
      <w:b/>
      <w:bCs/>
    </w:rPr>
    <w:key w:val="3121"/>
  </w:style>
  <w:style w:type="paragraph" w:styleId="para2">
    <w:name w:val="heading 2"/>
    <w:qFormat/>
    <w:basedOn w:val="para1"/>
    <w:next w:val="para6"/>
    <w:pPr>
      <w:numPr>
        <w:ilvl w:val="1"/>
        <w:numId w:val="1"/>
      </w:numPr>
      <w:ind w:left="0" w:firstLine="0"/>
      <w:outlineLvl w:val="1"/>
    </w:pPr>
    <w:key w:val="3122"/>
  </w:style>
  <w:style w:type="paragraph" w:styleId="para3">
    <w:name w:val="heading 3"/>
    <w:qFormat/>
    <w:basedOn w:val="para2"/>
    <w:next w:val="para6"/>
    <w:pPr>
      <w:numPr>
        <w:ilvl w:val="2"/>
        <w:numId w:val="1"/>
      </w:numPr>
      <w:ind w:left="0" w:firstLine="0"/>
      <w:outlineLvl w:val="2"/>
    </w:pPr>
    <w:key w:val="3123"/>
  </w:style>
  <w:style w:type="paragraph" w:styleId="para4">
    <w:name w:val="Header"/>
    <w:qFormat/>
    <w:basedOn w:val="para0"/>
    <w:pPr>
      <w:tabs defTabSz="708">
        <w:tab w:val="center" w:pos="4819" w:leader="none"/>
        <w:tab w:val="right" w:pos="9639" w:leader="none"/>
      </w:tabs>
    </w:pPr>
    <w:rPr>
      <w:smallCaps w:percent="75"/>
      <w:color w:val="7F7F7F"/>
      <w:sz w:val="20"/>
      <w:szCs w:val="20"/>
    </w:rPr>
  </w:style>
  <w:style w:type="paragraph" w:styleId="para5">
    <w:name w:val="Footer"/>
    <w:qFormat/>
    <w:basedOn w:val="para0"/>
    <w:pPr>
      <w:tabs defTabSz="708">
        <w:tab w:val="center" w:pos="4819" w:leader="none"/>
        <w:tab w:val="right" w:pos="9639" w:leader="none"/>
      </w:tabs>
    </w:pPr>
    <w:rPr>
      <w:sz w:val="20"/>
      <w:szCs w:val="20"/>
    </w:rPr>
  </w:style>
  <w:style w:type="paragraph" w:styleId="para6" w:customStyle="1">
    <w:name w:val="Fließtext"/>
    <w:qFormat/>
    <w:basedOn w:val="para0"/>
    <w:pPr>
      <w:numPr>
        <w:ilvl w:val="0"/>
        <w:numId w:val="2"/>
      </w:numPr>
      <w:ind w:left="0" w:hanging="340"/>
      <w:spacing w:after="120" w:line="276" w:lineRule="auto"/>
      <w:widowControl/>
    </w:pPr>
  </w:style>
  <w:style w:type="paragraph" w:styleId="para7">
    <w:name w:val="Footnote Text"/>
    <w:qFormat/>
    <w:basedOn w:val="para0"/>
    <w:pPr>
      <w:ind w:left="170" w:hanging="168"/>
    </w:pPr>
    <w:rPr>
      <w:sz w:val="18"/>
      <w:szCs w:val="18"/>
    </w:rPr>
  </w:style>
  <w:style w:type="paragraph" w:styleId="para8">
    <w:name w:val="heading 4"/>
    <w:qFormat/>
    <w:basedOn w:val="para3"/>
    <w:next w:val="para6"/>
    <w:pPr>
      <w:numPr>
        <w:ilvl w:val="3"/>
        <w:numId w:val="1"/>
      </w:numPr>
      <w:ind w:left="0" w:firstLine="0"/>
      <w:outlineLvl w:val="3"/>
    </w:pPr>
    <w:key w:val="3124"/>
  </w:style>
  <w:style w:type="paragraph" w:styleId="para9">
    <w:name w:val="heading 5"/>
    <w:qFormat/>
    <w:basedOn w:val="para8"/>
    <w:next w:val="para0"/>
    <w:pPr>
      <w:numPr>
        <w:ilvl w:val="4"/>
        <w:numId w:val="1"/>
      </w:numPr>
      <w:ind w:left="0" w:firstLine="0"/>
      <w:outlineLvl w:val="4"/>
    </w:pPr>
    <w:key w:val="3125"/>
  </w:style>
  <w:style w:type="paragraph" w:styleId="para10">
    <w:name w:val="Title"/>
    <w:qFormat/>
    <w:basedOn w:val="para0"/>
    <w:pPr>
      <w:spacing w:before="240" w:after="60"/>
      <w:jc w:val="left"/>
      <w:keepNext/>
      <w:outlineLvl w:val="0"/>
    </w:pPr>
    <w:rPr>
      <w:b/>
      <w:bCs/>
      <w:sz w:val="32"/>
      <w:szCs w:val="32"/>
    </w:rPr>
  </w:style>
  <w:style w:type="paragraph" w:styleId="para11">
    <w:name w:val="toc 1"/>
    <w:qFormat/>
    <w:basedOn w:val="para0"/>
    <w:next w:val="para0"/>
    <w:pPr>
      <w:spacing w:before="100" w:after="100"/>
      <w:jc w:val="left"/>
    </w:pPr>
  </w:style>
  <w:style w:type="paragraph" w:styleId="para12" w:customStyle="1">
    <w:name w:val="Infobox Einschub"/>
    <w:qFormat/>
    <w:basedOn w:val="para0"/>
    <w:pPr>
      <w:ind w:left="567" w:right="567"/>
      <w:spacing w:before="200" w:after="200" w:line="276" w:lineRule="auto"/>
      <w:widowControl/>
      <w:pBdr>
        <w:top w:val="single" w:sz="6" w:space="2" w:color="666666" tmln="14, 20, 20, 0, 57"/>
        <w:left w:val="single" w:sz="6" w:space="2" w:color="666666" tmln="14, 20, 20, 0, 57"/>
        <w:bottom w:val="single" w:sz="6" w:space="2" w:color="666666" tmln="14, 20, 20, 0, 57"/>
        <w:right w:val="single" w:sz="6" w:space="2" w:color="666666" tmln="14, 20, 20, 0, 57"/>
        <w:between w:val="nil" w:sz="0" w:space="0" w:color="000000" tmln="20, 20, 20, 0, 0"/>
      </w:pBdr>
      <w:shd w:val="solid" w:color="DDDDDD" tmshd="1684275456, 14540253, 16777215"/>
      <w:dropCapPr w:type="normal" w:left="0" w:right="200" w:top="200" w:bottom="200"/>
    </w:pPr>
    <w:rPr>
      <w:sz w:val="22"/>
      <w:szCs w:val="22"/>
      <w:shd w:fill="DDDDDD" w:val="clear"/>
    </w:rPr>
  </w:style>
  <w:style w:type="paragraph" w:styleId="para13" w:customStyle="1">
    <w:name w:val="Standard"/>
    <w:qFormat/>
    <w:basedOn w:val="para0"/>
    <w:pPr>
      <w:suppressAutoHyphens/>
      <w:hyphenationLines w:val="0"/>
    </w:pPr>
  </w:style>
  <w:style w:type="paragraph" w:styleId="para14" w:customStyle="1">
    <w:name w:val="Heading"/>
    <w:qFormat/>
    <w:basedOn w:val="para13"/>
    <w:next w:val="para15"/>
    <w:pPr>
      <w:spacing w:before="240" w:after="120"/>
      <w:keepNext/>
    </w:pPr>
    <w:rPr>
      <w:rFonts w:eastAsia="Arial Unicode MS" w:cs="Arial Unicode MS"/>
      <w:sz w:val="28"/>
      <w:szCs w:val="28"/>
    </w:rPr>
  </w:style>
  <w:style w:type="paragraph" w:styleId="para15" w:customStyle="1">
    <w:name w:val="Text body"/>
    <w:qFormat/>
    <w:basedOn w:val="para13"/>
    <w:pPr>
      <w:spacing w:after="227" w:line="276" w:lineRule="auto"/>
      <w:hyphenationLines w:val="1"/>
    </w:pPr>
  </w:style>
  <w:style w:type="paragraph" w:styleId="para16">
    <w:name w:val="Comment Text"/>
    <w:qFormat/>
    <w:basedOn w:val="para0"/>
    <w:rPr>
      <w:sz w:val="20"/>
      <w:szCs w:val="20"/>
    </w:rPr>
  </w:style>
  <w:style w:type="paragraph" w:styleId="para17">
    <w:name w:val="Balloon Text"/>
    <w:qFormat/>
    <w:basedOn w:val="para0"/>
    <w:rPr>
      <w:rFonts w:ascii="Segoe UI" w:hAnsi="Segoe UI" w:eastAsia="SimSun" w:cs="Segoe UI"/>
      <w:sz w:val="18"/>
      <w:szCs w:val="18"/>
    </w:rPr>
  </w:style>
  <w:style w:type="paragraph" w:styleId="para18">
    <w:name w:val="toc 2"/>
    <w:qFormat/>
    <w:basedOn w:val="para0"/>
    <w:next w:val="para0"/>
    <w:pPr>
      <w:ind w:left="283"/>
      <w:spacing w:before="100" w:after="100"/>
    </w:pPr>
  </w:style>
  <w:style w:type="paragraph" w:styleId="para19">
    <w:name w:val="toc 3"/>
    <w:qFormat/>
    <w:basedOn w:val="para0"/>
    <w:next w:val="para0"/>
    <w:pPr>
      <w:ind w:left="566"/>
    </w:pPr>
  </w:style>
  <w:style w:type="paragraph" w:styleId="para20">
    <w:name w:val="Index Heading"/>
    <w:qFormat/>
    <w:basedOn w:val="para0"/>
    <w:next w:val="para0"/>
    <w:pPr>
      <w:spacing w:before="80"/>
      <w:keepNext/>
      <w:keepLines/>
    </w:pPr>
    <w:rPr>
      <w:rFonts w:ascii="Arial" w:hAnsi="Arial" w:eastAsia="SimSun" w:cs="Arial"/>
      <w:b/>
      <w:bCs/>
      <w:sz w:val="28"/>
      <w:szCs w:val="28"/>
    </w:rPr>
  </w:style>
  <w:style w:type="paragraph" w:styleId="para21">
    <w:name w:val="Bibliography"/>
    <w:qFormat/>
    <w:basedOn w:val="para0"/>
    <w:next w:val="para0"/>
    <w:pPr>
      <w:spacing w:after="120"/>
    </w:pPr>
    <w:rPr>
      <w:sz w:val="20"/>
      <w:szCs w:val="20"/>
    </w:rPr>
  </w:style>
  <w:style w:type="paragraph" w:styleId="para22">
    <w:name w:val="toc 4"/>
    <w:qFormat/>
    <w:basedOn w:val="para0"/>
    <w:next w:val="para0"/>
    <w:pPr>
      <w:ind w:left="849"/>
    </w:pPr>
  </w:style>
  <w:style w:type="character" w:styleId="char0" w:default="1">
    <w:name w:val="Default Paragraph Font"/>
  </w:style>
  <w:style w:type="character" w:styleId="char1">
    <w:name w:val="Footnote Reference"/>
    <w:rPr>
      <w:vertAlign w:val="superscript" ssSize="66" ssDist="20"/>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kern="1"/>
        <w:sz w:val="20"/>
        <w:szCs w:val="20"/>
        <w:lang w:val="de-de" w:eastAsia="zh-cn" w:bidi="ar-sa"/>
      </w:rPr>
    </w:rPrDefault>
    <w:pPrDefault>
      <w:pPr>
        <w:spacing/>
        <w:jc w:val="both"/>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Palatino" w:hAnsi="Palatino" w:eastAsia="Palatino" w:cs="Palatino"/>
      <w:sz w:val="24"/>
      <w:szCs w:val="24"/>
      <w:lang w:eastAsia="de-de" w:bidi="de-de"/>
    </w:rPr>
    <w:key w:val="3120"/>
  </w:style>
  <w:style w:type="paragraph" w:styleId="para1">
    <w:name w:val="heading 1"/>
    <w:qFormat/>
    <w:basedOn w:val="para0"/>
    <w:next w:val="para6"/>
    <w:pPr>
      <w:numPr>
        <w:ilvl w:val="0"/>
        <w:numId w:val="1"/>
      </w:numPr>
      <w:ind w:left="0" w:firstLine="0"/>
      <w:spacing w:before="200" w:after="200"/>
      <w:jc w:val="left"/>
      <w:keepNext/>
      <w:outlineLvl w:val="0"/>
      <w:keepLines/>
    </w:pPr>
    <w:rPr>
      <w:b/>
      <w:bCs/>
    </w:rPr>
    <w:key w:val="3121"/>
  </w:style>
  <w:style w:type="paragraph" w:styleId="para2">
    <w:name w:val="heading 2"/>
    <w:qFormat/>
    <w:basedOn w:val="para1"/>
    <w:next w:val="para6"/>
    <w:pPr>
      <w:numPr>
        <w:ilvl w:val="1"/>
        <w:numId w:val="1"/>
      </w:numPr>
      <w:ind w:left="0" w:firstLine="0"/>
      <w:outlineLvl w:val="1"/>
    </w:pPr>
    <w:key w:val="3122"/>
  </w:style>
  <w:style w:type="paragraph" w:styleId="para3">
    <w:name w:val="heading 3"/>
    <w:qFormat/>
    <w:basedOn w:val="para2"/>
    <w:next w:val="para6"/>
    <w:pPr>
      <w:numPr>
        <w:ilvl w:val="2"/>
        <w:numId w:val="1"/>
      </w:numPr>
      <w:ind w:left="0" w:firstLine="0"/>
      <w:outlineLvl w:val="2"/>
    </w:pPr>
    <w:key w:val="3123"/>
  </w:style>
  <w:style w:type="paragraph" w:styleId="para4">
    <w:name w:val="Header"/>
    <w:qFormat/>
    <w:basedOn w:val="para0"/>
    <w:pPr>
      <w:tabs defTabSz="708">
        <w:tab w:val="center" w:pos="4819" w:leader="none"/>
        <w:tab w:val="right" w:pos="9639" w:leader="none"/>
      </w:tabs>
    </w:pPr>
    <w:rPr>
      <w:smallCaps w:percent="75"/>
      <w:color w:val="7F7F7F"/>
      <w:sz w:val="20"/>
      <w:szCs w:val="20"/>
    </w:rPr>
  </w:style>
  <w:style w:type="paragraph" w:styleId="para5">
    <w:name w:val="Footer"/>
    <w:qFormat/>
    <w:basedOn w:val="para0"/>
    <w:pPr>
      <w:tabs defTabSz="708">
        <w:tab w:val="center" w:pos="4819" w:leader="none"/>
        <w:tab w:val="right" w:pos="9639" w:leader="none"/>
      </w:tabs>
    </w:pPr>
    <w:rPr>
      <w:sz w:val="20"/>
      <w:szCs w:val="20"/>
    </w:rPr>
  </w:style>
  <w:style w:type="paragraph" w:styleId="para6" w:customStyle="1">
    <w:name w:val="Fließtext"/>
    <w:qFormat/>
    <w:basedOn w:val="para0"/>
    <w:pPr>
      <w:numPr>
        <w:ilvl w:val="0"/>
        <w:numId w:val="2"/>
      </w:numPr>
      <w:ind w:left="0" w:hanging="340"/>
      <w:spacing w:after="120" w:line="276" w:lineRule="auto"/>
      <w:widowControl/>
    </w:pPr>
  </w:style>
  <w:style w:type="paragraph" w:styleId="para7">
    <w:name w:val="Footnote Text"/>
    <w:qFormat/>
    <w:basedOn w:val="para0"/>
    <w:pPr>
      <w:ind w:left="170" w:hanging="168"/>
    </w:pPr>
    <w:rPr>
      <w:sz w:val="18"/>
      <w:szCs w:val="18"/>
    </w:rPr>
  </w:style>
  <w:style w:type="paragraph" w:styleId="para8">
    <w:name w:val="heading 4"/>
    <w:qFormat/>
    <w:basedOn w:val="para3"/>
    <w:next w:val="para6"/>
    <w:pPr>
      <w:numPr>
        <w:ilvl w:val="3"/>
        <w:numId w:val="1"/>
      </w:numPr>
      <w:ind w:left="0" w:firstLine="0"/>
      <w:outlineLvl w:val="3"/>
    </w:pPr>
    <w:key w:val="3124"/>
  </w:style>
  <w:style w:type="paragraph" w:styleId="para9">
    <w:name w:val="heading 5"/>
    <w:qFormat/>
    <w:basedOn w:val="para8"/>
    <w:next w:val="para0"/>
    <w:pPr>
      <w:numPr>
        <w:ilvl w:val="4"/>
        <w:numId w:val="1"/>
      </w:numPr>
      <w:ind w:left="0" w:firstLine="0"/>
      <w:outlineLvl w:val="4"/>
    </w:pPr>
    <w:key w:val="3125"/>
  </w:style>
  <w:style w:type="paragraph" w:styleId="para10">
    <w:name w:val="Title"/>
    <w:qFormat/>
    <w:basedOn w:val="para0"/>
    <w:pPr>
      <w:spacing w:before="240" w:after="60"/>
      <w:jc w:val="left"/>
      <w:keepNext/>
      <w:outlineLvl w:val="0"/>
    </w:pPr>
    <w:rPr>
      <w:b/>
      <w:bCs/>
      <w:sz w:val="32"/>
      <w:szCs w:val="32"/>
    </w:rPr>
  </w:style>
  <w:style w:type="paragraph" w:styleId="para11">
    <w:name w:val="toc 1"/>
    <w:qFormat/>
    <w:basedOn w:val="para0"/>
    <w:next w:val="para0"/>
    <w:pPr>
      <w:spacing w:before="100" w:after="100"/>
      <w:jc w:val="left"/>
    </w:pPr>
  </w:style>
  <w:style w:type="paragraph" w:styleId="para12" w:customStyle="1">
    <w:name w:val="Infobox Einschub"/>
    <w:qFormat/>
    <w:basedOn w:val="para0"/>
    <w:pPr>
      <w:ind w:left="567" w:right="567"/>
      <w:spacing w:before="200" w:after="200" w:line="276" w:lineRule="auto"/>
      <w:widowControl/>
      <w:pBdr>
        <w:top w:val="single" w:sz="6" w:space="2" w:color="666666" tmln="14, 20, 20, 0, 57"/>
        <w:left w:val="single" w:sz="6" w:space="2" w:color="666666" tmln="14, 20, 20, 0, 57"/>
        <w:bottom w:val="single" w:sz="6" w:space="2" w:color="666666" tmln="14, 20, 20, 0, 57"/>
        <w:right w:val="single" w:sz="6" w:space="2" w:color="666666" tmln="14, 20, 20, 0, 57"/>
        <w:between w:val="nil" w:sz="0" w:space="0" w:color="000000" tmln="20, 20, 20, 0, 0"/>
      </w:pBdr>
      <w:shd w:val="solid" w:color="DDDDDD" tmshd="1684275456, 14540253, 16777215"/>
      <w:dropCapPr w:type="normal" w:left="0" w:right="200" w:top="200" w:bottom="200"/>
    </w:pPr>
    <w:rPr>
      <w:sz w:val="22"/>
      <w:szCs w:val="22"/>
      <w:shd w:fill="DDDDDD" w:val="clear"/>
    </w:rPr>
  </w:style>
  <w:style w:type="paragraph" w:styleId="para13" w:customStyle="1">
    <w:name w:val="Standard"/>
    <w:qFormat/>
    <w:basedOn w:val="para0"/>
    <w:pPr>
      <w:suppressAutoHyphens/>
      <w:hyphenationLines w:val="0"/>
    </w:pPr>
  </w:style>
  <w:style w:type="paragraph" w:styleId="para14" w:customStyle="1">
    <w:name w:val="Heading"/>
    <w:qFormat/>
    <w:basedOn w:val="para13"/>
    <w:next w:val="para15"/>
    <w:pPr>
      <w:spacing w:before="240" w:after="120"/>
      <w:keepNext/>
    </w:pPr>
    <w:rPr>
      <w:rFonts w:eastAsia="Arial Unicode MS" w:cs="Arial Unicode MS"/>
      <w:sz w:val="28"/>
      <w:szCs w:val="28"/>
    </w:rPr>
  </w:style>
  <w:style w:type="paragraph" w:styleId="para15" w:customStyle="1">
    <w:name w:val="Text body"/>
    <w:qFormat/>
    <w:basedOn w:val="para13"/>
    <w:pPr>
      <w:spacing w:after="227" w:line="276" w:lineRule="auto"/>
      <w:hyphenationLines w:val="1"/>
    </w:pPr>
  </w:style>
  <w:style w:type="paragraph" w:styleId="para16">
    <w:name w:val="Comment Text"/>
    <w:qFormat/>
    <w:basedOn w:val="para0"/>
    <w:rPr>
      <w:sz w:val="20"/>
      <w:szCs w:val="20"/>
    </w:rPr>
  </w:style>
  <w:style w:type="paragraph" w:styleId="para17">
    <w:name w:val="Balloon Text"/>
    <w:qFormat/>
    <w:basedOn w:val="para0"/>
    <w:rPr>
      <w:rFonts w:ascii="Segoe UI" w:hAnsi="Segoe UI" w:eastAsia="SimSun" w:cs="Segoe UI"/>
      <w:sz w:val="18"/>
      <w:szCs w:val="18"/>
    </w:rPr>
  </w:style>
  <w:style w:type="paragraph" w:styleId="para18">
    <w:name w:val="toc 2"/>
    <w:qFormat/>
    <w:basedOn w:val="para0"/>
    <w:next w:val="para0"/>
    <w:pPr>
      <w:ind w:left="283"/>
      <w:spacing w:before="100" w:after="100"/>
    </w:pPr>
  </w:style>
  <w:style w:type="paragraph" w:styleId="para19">
    <w:name w:val="toc 3"/>
    <w:qFormat/>
    <w:basedOn w:val="para0"/>
    <w:next w:val="para0"/>
    <w:pPr>
      <w:ind w:left="566"/>
    </w:pPr>
  </w:style>
  <w:style w:type="paragraph" w:styleId="para20">
    <w:name w:val="Index Heading"/>
    <w:qFormat/>
    <w:basedOn w:val="para0"/>
    <w:next w:val="para0"/>
    <w:pPr>
      <w:spacing w:before="80"/>
      <w:keepNext/>
      <w:keepLines/>
    </w:pPr>
    <w:rPr>
      <w:rFonts w:ascii="Arial" w:hAnsi="Arial" w:eastAsia="SimSun" w:cs="Arial"/>
      <w:b/>
      <w:bCs/>
      <w:sz w:val="28"/>
      <w:szCs w:val="28"/>
    </w:rPr>
  </w:style>
  <w:style w:type="paragraph" w:styleId="para21">
    <w:name w:val="Bibliography"/>
    <w:qFormat/>
    <w:basedOn w:val="para0"/>
    <w:next w:val="para0"/>
    <w:pPr>
      <w:spacing w:after="120"/>
    </w:pPr>
    <w:rPr>
      <w:sz w:val="20"/>
      <w:szCs w:val="20"/>
    </w:rPr>
  </w:style>
  <w:style w:type="paragraph" w:styleId="para22">
    <w:name w:val="toc 4"/>
    <w:qFormat/>
    <w:basedOn w:val="para0"/>
    <w:next w:val="para0"/>
    <w:pPr>
      <w:ind w:left="849"/>
    </w:pPr>
  </w:style>
  <w:style w:type="character" w:styleId="char0" w:default="1">
    <w:name w:val="Default Paragraph Font"/>
  </w:style>
  <w:style w:type="character" w:styleId="char1">
    <w:name w:val="Footnote Reference"/>
    <w:rPr>
      <w:vertAlign w:val="superscript" ssSize="66" ssDist="20"/>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 Id="rId11" Type="http://schemas.openxmlformats.org/officeDocument/2006/relationships/footer" Target="footer2.xml"/><Relationship Id="rId12" Type="http://schemas.openxmlformats.org/officeDocument/2006/relationships/footnotes" Target="footnotes.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a:themeElements>
    <a:clrScheme name="Office">
      <a:dk1>
        <a:srgbClr val="D3D3D3"/>
      </a:dk1>
      <a:lt1>
        <a:srgbClr val="181818"/>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Palatino"/>
        <a:ea typeface="Palatino"/>
        <a:cs typeface="Palatino"/>
      </a:majorFont>
      <a:minorFont>
        <a:latin typeface="Palatino"/>
        <a:ea typeface="Palatino"/>
        <a:cs typeface="Palatin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algn="tl" rotWithShape="0">
              <a:srgbClr val="000000">
                <a:alpha val="38000"/>
              </a:srgbClr>
            </a:outerShdw>
          </a:effectLst>
        </a:effectStyle>
        <a:effectStyle>
          <a:effectLst>
            <a:outerShdw blurRad="40000" dist="23000" dir="5400000" algn="tl" rotWithShape="0">
              <a:srgbClr val="000000">
                <a:alpha val="35000"/>
              </a:srgbClr>
            </a:outerShdw>
          </a:effectLst>
        </a:effectStyle>
        <a:effectStyle>
          <a:effectLst>
            <a:outerShdw blurRad="40000" dist="23000" dir="5400000" algn="tl" rotWithShape="0">
              <a:srgbClr val="000000">
                <a:alpha val="35000"/>
              </a:srgbClr>
            </a:outerShdw>
          </a:effectLst>
          <a:scene3d>
            <a:camera prst="orthographicFront">
              <a:rot lat="0" lon="0" rev="0"/>
            </a:camera>
            <a:lightRig rig="threePt" dir="t">
              <a:rot lat="0" lon="0" rev="1200000"/>
            </a:lightRig>
          </a:scene3d>
          <a:sp3d prstMaterial="warmMatte">
            <a:bevelT w="63500" h="25400" prst="circle"/>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txBody vertOverflow="clip" horzOverflow="clip"/>
  </a:objectDefaults>
  <a:extraClrSchemeLst/>
</a:theme>
</file>

<file path=docProps/app.xml><?xml version="1.0" encoding="utf-8"?>
<Properties xmlns="http://schemas.openxmlformats.org/officeDocument/2006/extended-properties" xmlns:vt="http://schemas.openxmlformats.org/officeDocument/2006/docPropsVTypes">
  <Application>TextMaker NX rev.1411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Medienrecht</dc:title>
  <dc:subject/>
  <dc:creator>Frank Miener LL.B.</dc:creator>
  <cp:keywords>Jade-HS, Skript</cp:keywords>
  <dc:description/>
  <cp:lastModifiedBy>Frank Miener</cp:lastModifiedBy>
  <cp:revision>26</cp:revision>
  <cp:lastPrinted>2026-04-07T08:36:18Z</cp:lastPrinted>
  <dcterms:created xsi:type="dcterms:W3CDTF">2026-04-05T19:10:53Z</dcterms:created>
  <dcterms:modified xsi:type="dcterms:W3CDTF">2026-04-08T05:21:50Z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zotero-version="8.0.4"&gt;&lt;session id="PPWIC1kD"/&gt;&lt;style id="http://www.zotero.org/styles/juristische-zitierweise" hasBibliography="1" bibliographyStyleHasBeenSet="1"/&gt;&lt;prefs&gt;&lt;pref name="fieldType" value="Field"/&gt;&lt;pref name=</vt:lpwstr>
  </property>
  <property fmtid="{D5CDD505-2E9C-101B-9397-08002B2CF9AE}" pid="3" name="ZOTERO_PREF_2">
    <vt:lpwstr>"automaticJournalAbbreviations" value="true"/&gt;&lt;pref name="noteType" value="1"/&gt;&lt;/prefs&gt;&lt;/data&gt;</vt:lpwstr>
  </property>
</Properties>
</file>