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4"/>
      </w:pPr>
      <w:r>
        <w:t>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w:t>
      </w:r>
      <w:r>
        <w:rPr>
          <w:rStyle w:val="char5"/>
          <w:rFonts w:ascii="Times New Roman" w:hAnsi="Times New Roman" w:eastAsia="SimSun" w:cs="Times New Roman"/>
          <w:sz w:val="20"/>
          <w:szCs w:val="20"/>
          <w:lang w:eastAsia="zh-cn"/>
        </w:rPr>
      </w:r>
      <w:r>
        <w:rPr>
          <w:rStyle w:val="char5"/>
          <w:rFonts w:ascii="Times New Roman" w:hAnsi="Times New Roman" w:eastAsia="SimSun" w:cs="Times New Roman"/>
          <w:sz w:val="20"/>
          <w:szCs w:val="20"/>
          <w:lang w:eastAsia="zh-cn"/>
        </w:rPr>
        <w:footnoteReference w:id="1"/>
      </w:r>
      <w:r>
        <w:t xml:space="preserve">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w:t>
      </w:r>
      <w:r>
        <w:rPr>
          <w:rStyle w:val="char6"/>
        </w:rPr>
      </w:r>
      <w:r>
        <w:rPr>
          <w:rStyle w:val="char6"/>
        </w:rPr>
        <w:fldChar w:fldCharType="begin"/>
        <w:instrText xml:space="preserve">ADDIN ZOTERO_ITEM CSL_CITATION {"citationID":"eYwXneIi","properties":{"formattedCitation":"(vgl. Dittrich 2004)","plainCitation":"(vgl. Dittrich 2004)","noteIndex":0},"citationItems":[{"id":997,"uris":["http://zotero.org/users/12071236/items/PHPXIYEM"],"itemData":{"id":997,"type":"chapter","citation-key":"dittrichZurProblematikFreiheitsbegriffs2004","container-title":"Kant-Reader: Was kann ich wissen? ; Was soll ich tun? ; Was darf ich hoffen?","ISBN":"978-3-8260-2605-8","page":"169-194","publisher":"Königshausen &amp; Neumann","publisher-place":"Würzburg","title":"Zur Problematik des Freiheitsbegriffs in Kants Moralphilosophie","author":[{"family":"Dittrich","given":"Sabine"}],"editor":[{"family":"Ingensiep","given":"Hans Werner"},{"family":"Baranzke","given":"Heike"},{"family":"Eusterschulte","given":"Anne"}],"issued":{"date-parts":[["2004",1,1]]}},"prefix":"vgl."}],"schema":"https://github.com/citation-style-language/schema/raw/master/csl-citation.json"}</w:instrText>
        <w:fldChar w:fldCharType="separate"/>
        <w:t>(vgl. Dittrich 2004)</w:t>
        <w:fldChar w:fldCharType="end"/>
      </w:r>
      <w:r>
        <w:t>.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w:t>
      </w:r>
    </w:p>
    <w:p>
      <w:pPr>
        <w:pStyle w:val="para4"/>
      </w:pPr>
      <w:r>
        <w:t>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w:t>
      </w:r>
    </w:p>
    <w:p>
      <w:pPr>
        <w:pStyle w:val="para4"/>
      </w:pPr>
      <w:r>
        <w:t>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w:t>
      </w:r>
      <w:r>
        <w:rPr>
          <w:rStyle w:val="char5"/>
          <w:rFonts w:ascii="Times New Roman" w:hAnsi="Times New Roman" w:eastAsia="SimSun" w:cs="Times New Roman"/>
          <w:sz w:val="20"/>
          <w:szCs w:val="20"/>
          <w:lang w:eastAsia="zh-cn"/>
        </w:rPr>
      </w:r>
      <w:r>
        <w:rPr>
          <w:rStyle w:val="char5"/>
          <w:rFonts w:ascii="Times New Roman" w:hAnsi="Times New Roman" w:eastAsia="SimSun" w:cs="Times New Roman"/>
          <w:sz w:val="20"/>
          <w:szCs w:val="20"/>
          <w:lang w:eastAsia="zh-cn"/>
        </w:rPr>
        <w:footnoteReference w:id="2"/>
      </w:r>
      <w:r>
        <w:t xml:space="preserve">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w:t>
      </w:r>
      <w:r>
        <w:rPr>
          <w:rStyle w:val="char5"/>
          <w:rFonts w:ascii="Times New Roman" w:hAnsi="Times New Roman" w:eastAsia="SimSun" w:cs="Times New Roman"/>
          <w:sz w:val="20"/>
          <w:szCs w:val="20"/>
          <w:lang w:eastAsia="zh-cn"/>
        </w:rPr>
      </w:r>
      <w:r>
        <w:rPr>
          <w:rStyle w:val="char5"/>
          <w:rFonts w:ascii="Times New Roman" w:hAnsi="Times New Roman" w:eastAsia="SimSun" w:cs="Times New Roman"/>
          <w:sz w:val="20"/>
          <w:szCs w:val="20"/>
          <w:lang w:eastAsia="zh-cn"/>
        </w:rPr>
        <w:footnoteReference w:id="3"/>
      </w:r>
      <w:r/>
    </w:p>
    <w:p>
      <w:pPr>
        <w:pStyle w:val="para4"/>
      </w:pPr>
      <w:r>
        <w:t>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w:t>
      </w:r>
    </w:p>
    <w:p>
      <w:pPr>
        <w:pStyle w:val="para4"/>
      </w:pPr>
      <w:r>
        <w:t>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w:t>
      </w:r>
    </w:p>
    <w:p>
      <w:pPr>
        <w:pStyle w:val="para4"/>
      </w:pPr>
      <w:r/>
    </w:p>
    <w:sectPr>
      <w:footnotePr>
        <w:pos w:val="pageBottom"/>
        <w:numFmt w:val="decimal"/>
        <w:numStart w:val="1"/>
        <w:numRestart w:val="continuous"/>
      </w:footnotePr>
      <w:endnotePr>
        <w:pos w:val="docEnd"/>
        <w:numFmt w:val="lowerRoman"/>
        <w:numStart w:val="1"/>
        <w:numRestart w:val="continuous"/>
      </w:endnotePr>
      <w:type w:val="continuous"/>
      <w:pgSz w:h="16839" w:w="11907"/>
      <w:pgMar w:left="1134" w:top="1134" w:right="1134" w:bottom="1134" w:header="0" w:footer="0"/>
      <w:paperSrc w:first="0" w:other="0" a="0" b="0"/>
      <w:pgNumType w:fmt="decimal"/>
      <w:tmGutter w:val="1"/>
      <w:mirrorMargins w:val="0"/>
      <w:tmSection w:h="-1"/>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Lucida Sans">
    <w:panose1 w:val="020B0602030504020204"/>
    <w:charset w:val="00"/>
    <w:family w:val="swiss"/>
    <w:pitch w:val="default"/>
  </w:font>
  <w:font w:name="Calibri">
    <w:panose1 w:val="020F0502020204030204"/>
    <w:charset w:val="00"/>
    <w:family w:val="swiss"/>
    <w:pitch w:val="default"/>
  </w:font>
  <w:font w:name="Calibri Light">
    <w:panose1 w:val="020F0302020204030204"/>
    <w:charset w:val="00"/>
    <w:family w:val="swiss"/>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footnote w:id="1">
    <w:p>
      <w:pPr>
        <w:pStyle w:val="para6"/>
      </w:pPr>
      <w:r>
        <w:rPr>
          <w:rStyle w:val="char5"/>
        </w:rPr>
      </w:r>
      <w:r>
        <w:rPr>
          <w:rStyle w:val="char5"/>
        </w:rPr>
        <w:footnoteRef/>
      </w:r>
      <w:r>
        <w:t xml:space="preserve"> </w:t>
      </w:r>
      <w:r>
        <w:fldChar w:fldCharType="begin"/>
      </w:r>
      <w:r>
        <w:instrText xml:space="preserve">ADDIN ZOTERO_ITEM CSL_CITATION {"citationID":"MuBIsOfb","properties":{"formattedCitation":"(Vgl. Habermas 1984.)","plainCitation":"(Vgl. Habermas 1984.)","noteIndex":0},"citationItems":[{"id":798,"uris":["http://zotero.org/users/12071236/items/QNXP7AWW"],"itemData":{"id":798,"type":"book","citation-key":"habermasVorstudienUndErganzungen1984","publisher":"Suhrkamp Verlag","publisher-place":"Frankfurt am Main","title":"Vorstudien und Ergänzungen zur Theorie des kommunikativen Handlens","author":[{"family":"Habermas","given":"Jürgen"}],"issued":{"date-parts":[["1984",1,1]]}},"prefix":"Vgl. ","suffix":"."}],"schema":"https://github.com/citation-style-language/schema/raw/master/csl-citation.json"}</w:instrText>
      </w:r>
      <w:r>
        <w:fldChar w:fldCharType="separate"/>
      </w:r>
      <w:r>
        <w:t xml:space="preserve">Lorem ipsum dolor sit amet, consetetur sadipscing elitr, sed diam nonumy eirmod tempor invidunt ut labore et dolore magna aliquyam erat, sed diam voluptua. At vero eos et accusam et justo duo dolores et ea rebum. </w:t>
      </w:r>
      <w:r>
        <w:rPr>
          <w:rStyle w:val="char6"/>
        </w:rPr>
        <w:t>(Vgl. Habermas 1984.)</w:t>
      </w:r>
      <w:r>
        <w:t xml:space="preserve">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w:t>
      </w:r>
      <w:r>
        <w:fldChar w:fldCharType="end"/>
      </w:r>
    </w:p>
  </w:footnote>
  <w:footnote w:id="2">
    <w:p>
      <w:pPr>
        <w:pStyle w:val="para6"/>
      </w:pPr>
      <w:r>
        <w:rPr>
          <w:rStyle w:val="char5"/>
        </w:rPr>
      </w:r>
      <w:r>
        <w:rPr>
          <w:rStyle w:val="char5"/>
        </w:rPr>
        <w:footnoteRef/>
      </w:r>
      <w:r>
        <w:t xml:space="preserve"> </w:t>
      </w:r>
      <w:r>
        <w:fldChar w:fldCharType="begin"/>
      </w:r>
      <w:r>
        <w:instrText xml:space="preserve">ADDIN ZOTERO_ITEM CSL_CITATION {"citationID":"jD7Bsnm8","properties":{"formattedCitation":"(Vgl. Rawls 2004.)","plainCitation":"(Vgl. Rawls 2004.)","noteIndex":0},"citationItems":[{"id":7841,"uris":["http://zotero.org/users/12071236/items/E3A7ZK6V"],"itemData":{"id":7841,"type":"book","citation-key":"Rawls2004GeschichteMoralphilosophieHumeLeibniz","collection-number":"1726","collection-title":"Suhrkamp-Taschenbuch Wissenschaft","ISBN":"978-3-518-29326-3","language":"ger","note":"UB: Freihandsbereich 43 A 5528","number-of-pages":"486","publisher":"Suhrkamp","publisher-place":"Frankfurt am Main","source":"K10plus ISBN","title":"Geschichte der Moralphilosophie. Hume – Leibniz – Kant – Hegel","title-short":"Geschichte der Moralphilosophie","author":[{"family":"Rawls","given":"John"}],"translator":[{"family":"Herman","given":"Barbara"}],"issued":{"date-parts":[["2004"]]}},"prefix":"Vgl.","suffix":"."}],"schema":"https://github.com/citation-style-language/schema/raw/master/csl-citation.json"}</w:instrText>
      </w:r>
      <w:r>
        <w:fldChar w:fldCharType="separate"/>
      </w:r>
      <w:r>
        <w:t xml:space="preserve">Lorem ipsum dolor sit amet, consetetur sadipscing elitr, sed diam nonumy eirmod tempor invidunt ut labore et dolore magna aliquyam erat, sed diam voluptua. </w:t>
      </w:r>
      <w:r>
        <w:rPr>
          <w:rStyle w:val="char6"/>
        </w:rPr>
        <w:t>(Vgl. Rawls 2004.)</w:t>
      </w:r>
      <w:r>
        <w:t xml:space="preserve">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w:t>
      </w:r>
      <w:r>
        <w:fldChar w:fldCharType="end"/>
      </w:r>
    </w:p>
  </w:footnote>
  <w:footnote w:id="3">
    <w:p>
      <w:pPr>
        <w:pStyle w:val="para6"/>
      </w:pPr>
      <w:r>
        <w:rPr>
          <w:rStyle w:val="char5"/>
        </w:rPr>
      </w:r>
      <w:r>
        <w:rPr>
          <w:rStyle w:val="char5"/>
        </w:rPr>
        <w:footnoteRef/>
      </w:r>
      <w:r>
        <w:t xml:space="preserve"> </w:t>
      </w:r>
      <w:r>
        <w:fldChar w:fldCharType="begin"/>
      </w:r>
      <w:r>
        <w:instrText xml:space="preserve">ADDIN ZOTERO_ITEM CSL_CITATION {"citationID":"trGYzGWq","properties":{"formattedCitation":"(Vgl. Ritter 1969, S. 199\\uc0\\u8211{}201)","plainCitation":"(Vgl. Ritter 1969, S. 199–201)","noteIndex":0},"citationItems":[{"id":6656,"uris":["http://zotero.org/users/12071236/items/QM342AD9"],"itemData":{"id":6656,"type":"chapter","citation-key":"Ritter1969MoralitatUndSittlichkeitHegls","container-title":"Metaphysik und Politik. Studien zu Aristoteles und Hegel","page":"281–309","publisher":"Suhrkamp","publisher-place":"Frankfurt am Main","title":"Moralität und Sittlichkeit. Zu Hegls Auseinandersetzung mit der Kantischen Ethik","author":[{"family":"Ritter","given":"Joachim"}],"issued":{"date-parts":[["1969"]]}},"locator":"199–201","label":"page","prefix":"Vgl."}],"schema":"https://github.com/citation-style-language/schema/raw/master/csl-citation.json"}</w:instrText>
      </w:r>
      <w:r>
        <w:fldChar w:fldCharType="separate"/>
      </w:r>
      <w:r>
        <w:t xml:space="preserve">Lorem ipsum dolor sit amet, consetetur sadipscing elitr, sed diam nonumy eirmod tempor invidunt ut labore et dolore magna aliquyam erat, sed diam voluptua. At vero eos et accusam et justo duo dolores et ea rebum. </w:t>
      </w:r>
      <w:r>
        <w:rPr>
          <w:rStyle w:val="char6"/>
        </w:rPr>
        <w:t>(Vgl. Ritter 1969, S. 199–201)</w:t>
      </w:r>
      <w:r>
        <w:t xml:space="preserve">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w:t>
      </w:r>
      <w:r>
        <w:rPr>
          <w:rStyle w:val="char6"/>
        </w:rPr>
      </w:r>
      <w:r>
        <w:rPr>
          <w:rStyle w:val="char6"/>
        </w:rPr>
        <w:fldChar w:fldCharType="begin"/>
        <w:instrText xml:space="preserve">ADDIN ZOTERO_ITEM CSL_CITATION {"citationID":"tEAebq4J","properties":{"formattedCitation":"(Rawls 2003, S. 123\\uc0\\u8211{}145)","plainCitation":"(Rawls 2003, S. 123–145)","noteIndex":0},"citationItems":[{"id":2192,"uris":["http://zotero.org/users/12071236/items/AC72DUDS"],"itemData":{"id":2192,"type":"chapter","citation-key":"rawlsVorrangRechtenUnd2003","container-title":"Politischer Liberalismus","ISBN":"978-3-518-29242-6","page":"266-311","publisher":"Suhrkamp","publisher-place":"Frankfurt am Main","title":"Der Vorrang des Rechten und die Ideen des Guten","author":[{"family":"Rawls","given":"John"}],"container-author":[{"family":"Rawls","given":"John"}],"issued":{"date-parts":[["2003",1,1]]}},"locator":"123–145","label":"page"}],"schema":"https://github.com/citation-style-language/schema/raw/master/csl-citation.json"}</w:instrText>
        <w:fldChar w:fldCharType="separate"/>
        <w:t>(Rawls 2003, S. 123–145)</w:t>
        <w:fldChar w:fldCharType="end"/>
      </w:r>
      <w:r>
        <w:t xml:space="preserve">.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r>
        <w:rPr>
          <w:rStyle w:val="char6"/>
        </w:rPr>
      </w:r>
      <w:r>
        <w:rPr>
          <w:rStyle w:val="char6"/>
        </w:rPr>
        <w:fldChar w:fldCharType="begin"/>
        <w:instrText xml:space="preserve">ADDIN ZOTERO_ITEM CSL_CITATION {"citationID":"6c3hqX27","properties":{"formattedCitation":"(Ritter 1971, S. 123-\\uc0\\u8211{}152)","plainCitation":"(Ritter 1971, S. 123-–152)","noteIndex":0},"citationItems":[{"id":925,"uris":["http://zotero.org/users/12071236/items/CWQ3X88B"],"itemData":{"id":925,"type":"book","citation-key":"ritterHistorischesWorterbuchPhilosophie1971","publisher":"Wissenschaftliche Buchgesellschaft","publisher-place":"Darmstadt","title":"Historisches Wörterbuch der Philosophie","editor":[{"family":"Ritter","given":"Joachim"}],"issued":{"date-parts":[["1971",1,1]]}},"locator":"123-–152","label":"page"}],"schema":"https://github.com/citation-style-language/schema/raw/master/csl-citation.json"}</w:instrText>
        <w:fldChar w:fldCharType="separate"/>
        <w:t>(Ritter 1971, S. 123-–152)</w:t>
        <w:fldChar w:fldCharType="end"/>
      </w:r>
      <w:r>
        <w:t>.</w:t>
      </w:r>
      <w:r>
        <w:fldChar w:fldCharType="end"/>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7"/>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suppressSpBfAfterPgBrk w:val="1"/>
    <w:compatSetting w:name="compatibilityMode" w:uri="http://schemas.microsoft.com/office/word" w:val="15"/>
  </w:compat>
  <w:shapeDefaults>
    <o:shapedefaults v:ext="edit" spidmax="1026"/>
    <o:shapelayout v:ext="edit">
      <o:rules v:ext="edit"/>
    </o:shapelayout>
  </w:shapeDefaults>
  <w:tmPrefOne w:val="16"/>
  <w:tmPrefTwo w:val="1"/>
  <w:tmFmtPref w:val="55090283"/>
  <w:tmCommentsPr>
    <w:tmCommentsPlace w:val="0"/>
    <w:tmCommentsWidth w:val="3119"/>
    <w:tmCommentsColor w:val="-1"/>
  </w:tmCommentsPr>
  <w:tmReviewPr>
    <w:tmReviewEnabled w:val="0"/>
    <w:tmReviewShow w:val="1"/>
    <w:tmReviewPrint w:val="0"/>
    <w:tmRevisionNum w:val="9"/>
    <w:tmReviewMarkIns w:val="4"/>
    <w:tmReviewColorIns w:val="-1"/>
    <w:tmReviewMarkDel w:val="6"/>
    <w:tmReviewColorDel w:val="-1"/>
    <w:tmReviewMarkFmt w:val="1"/>
    <w:tmReviewColorFmt w:val="-1"/>
    <w:tmReviewMarkLn w:val="1"/>
    <w:tmReviewColorLn w:val="0"/>
    <w:tmReviewToolTip w:val="1"/>
  </w:tmReviewPr>
  <w:tmLastPos>
    <w:tmLastPosPage w:val="1"/>
    <w:tmLastPosSelect w:val="1"/>
    <w:tmLastPosFrameIdx w:val="3"/>
    <w:tmLastPosCaret>
      <w:tmLastPosPgfIdx w:val="0"/>
      <w:tmLastPosIdx w:val="1726"/>
    </w:tmLastPosCaret>
    <w:tmLastPosAnchor>
      <w:tmLastPosPgfIdx w:val="0"/>
      <w:tmLastPosIdx w:val="1725"/>
    </w:tmLastPosAnchor>
    <w:tmLastPosTblRect w:left="0" w:top="0" w:right="0" w:bottom="0"/>
  </w:tmLastPos>
  <w:tmAppRevision w:date="1771846225" w:val="1230" w:fileVer="342" w:fileVer64="64" w:fileVerOS="4"/>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de-de" w:eastAsia="zh-cn" w:bidi="ar-sa"/>
      </w:rPr>
    </w:rPrDefault>
    <w:pPrDefault>
      <w:pPr>
        <w:spacing w:line="312" w:lineRule="auto"/>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Arial" w:hAnsi="Arial" w:eastAsia="Arial" w:cs="Arial"/>
      <w:sz w:val="24"/>
      <w:szCs w:val="24"/>
    </w:rPr>
    <w:key w:val="1072"/>
  </w:style>
  <w:style w:type="paragraph" w:styleId="para1">
    <w:name w:val="heading 1"/>
    <w:qFormat/>
    <w:basedOn w:val="para0"/>
    <w:next w:val="para0"/>
    <w:pPr>
      <w:spacing w:after="240" w:line="320" w:lineRule="exact"/>
      <w:pageBreakBefore/>
      <w:keepNext/>
      <w:outlineLvl w:val="0"/>
      <w:keepLines/>
      <w:widowControl/>
    </w:pPr>
    <w:rPr>
      <w:b/>
      <w:bCs/>
      <w:color w:val="000080"/>
      <w:lang w:eastAsia="de-de" w:bidi="de-de"/>
    </w:rPr>
    <w:key w:val="1073"/>
  </w:style>
  <w:style w:type="paragraph" w:styleId="para2">
    <w:name w:val="heading 2"/>
    <w:qFormat/>
    <w:basedOn w:val="para1"/>
    <w:next w:val="para0"/>
    <w:pPr>
      <w:spacing w:before="240" w:after="160" w:line="312" w:lineRule="auto"/>
      <w:pageBreakBefore w:val="0"/>
      <w:outlineLvl w:val="1"/>
    </w:pPr>
    <w:rPr>
      <w:color w:val="002060"/>
    </w:rPr>
    <w:key w:val="1074"/>
  </w:style>
  <w:style w:type="paragraph" w:styleId="para3">
    <w:name w:val="heading 3"/>
    <w:qFormat/>
    <w:basedOn w:val="para2"/>
    <w:next w:val="para0"/>
    <w:pPr>
      <w:outlineLvl w:val="2"/>
    </w:pPr>
    <w:rPr>
      <w:i/>
      <w:iCs/>
    </w:rPr>
    <w:key w:val="1075"/>
  </w:style>
  <w:style w:type="paragraph" w:styleId="para4" w:customStyle="1">
    <w:name w:val="Text"/>
    <w:qFormat/>
    <w:basedOn w:val="para0"/>
    <w:pPr>
      <w:spacing w:after="160" w:line="320" w:lineRule="exact"/>
      <w:jc w:val="both"/>
      <w:widowControl/>
    </w:pPr>
    <w:rPr>
      <w:rFonts w:eastAsia="Calibri" w:cs="Lucida Sans"/>
      <w:lang w:eastAsia="en-us"/>
    </w:rPr>
  </w:style>
  <w:style w:type="paragraph" w:styleId="para5">
    <w:name w:val="heading 4"/>
    <w:qFormat/>
    <w:basedOn w:val="para0"/>
    <w:next w:val="para0"/>
    <w:pPr>
      <w:spacing w:before="80" w:after="160" w:line="320" w:lineRule="exact"/>
      <w:keepNext/>
      <w:outlineLvl w:val="3"/>
      <w:keepLines/>
      <w:widowControl/>
    </w:pPr>
    <w:rPr>
      <w:rFonts w:ascii="Calibri Light" w:hAnsi="Calibri Light" w:eastAsia="Calibri Light" w:cs="Calibri Light"/>
      <w:i/>
      <w:iCs/>
      <w:color w:val="000080"/>
      <w:lang w:eastAsia="de-de" w:bidi="de-de"/>
    </w:rPr>
  </w:style>
  <w:style w:type="paragraph" w:styleId="para6">
    <w:name w:val="Footnote Text"/>
    <w:qFormat/>
    <w:basedOn w:val="para0"/>
    <w:pPr>
      <w:spacing w:line="240" w:lineRule="auto"/>
    </w:pPr>
  </w:style>
  <w:style w:type="character" w:styleId="char0" w:default="1">
    <w:name w:val="Default Paragraph Font"/>
  </w:style>
  <w:style w:type="character" w:styleId="char1" w:customStyle="1">
    <w:name w:val="Überschrift 1 Zchn"/>
    <w:basedOn w:val="char0"/>
    <w:rPr>
      <w:rFonts w:ascii="Arial" w:hAnsi="Arial"/>
      <w:b/>
      <w:color w:val="000080"/>
    </w:rPr>
  </w:style>
  <w:style w:type="character" w:styleId="char2" w:customStyle="1">
    <w:name w:val="Überschrift 2 Zchn"/>
    <w:basedOn w:val="char0"/>
    <w:rPr>
      <w:rFonts w:ascii="Arial" w:hAnsi="Arial"/>
      <w:b/>
      <w:color w:val="000080"/>
    </w:rPr>
  </w:style>
  <w:style w:type="character" w:styleId="char3" w:customStyle="1">
    <w:name w:val="Überschrift 3 Zchn"/>
    <w:basedOn w:val="char0"/>
    <w:rPr>
      <w:rFonts w:ascii="Arial" w:hAnsi="Arial"/>
      <w:b/>
      <w:color w:val="000080"/>
    </w:rPr>
  </w:style>
  <w:style w:type="character" w:styleId="char4" w:customStyle="1">
    <w:name w:val="Überschrift 4 Zchn"/>
    <w:basedOn w:val="char0"/>
    <w:rPr>
      <w:rFonts w:ascii="Calibri Light" w:hAnsi="Calibri Light"/>
      <w:i/>
      <w:color w:val="000080"/>
    </w:rPr>
  </w:style>
  <w:style w:type="character" w:styleId="char5">
    <w:name w:val="Footnote Reference"/>
    <w:rPr>
      <w:vertAlign w:val="superscript"/>
    </w:rPr>
  </w:style>
  <w:style w:type="character" w:styleId="char6" w:customStyle="1">
    <w:name w:val="Zotero"/>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Times New Roman"/>
        <w:kern w:val="1"/>
        <w:sz w:val="20"/>
        <w:szCs w:val="20"/>
        <w:lang w:val="de-de" w:eastAsia="zh-cn" w:bidi="ar-sa"/>
      </w:rPr>
    </w:rPrDefault>
    <w:pPrDefault>
      <w:pPr>
        <w:spacing w:line="312" w:lineRule="auto"/>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Arial" w:hAnsi="Arial" w:eastAsia="Arial" w:cs="Arial"/>
      <w:sz w:val="24"/>
      <w:szCs w:val="24"/>
    </w:rPr>
    <w:key w:val="1072"/>
  </w:style>
  <w:style w:type="paragraph" w:styleId="para1">
    <w:name w:val="heading 1"/>
    <w:qFormat/>
    <w:basedOn w:val="para0"/>
    <w:next w:val="para0"/>
    <w:pPr>
      <w:spacing w:after="240" w:line="320" w:lineRule="exact"/>
      <w:pageBreakBefore/>
      <w:keepNext/>
      <w:outlineLvl w:val="0"/>
      <w:keepLines/>
      <w:widowControl/>
    </w:pPr>
    <w:rPr>
      <w:b/>
      <w:bCs/>
      <w:color w:val="000080"/>
      <w:lang w:eastAsia="de-de" w:bidi="de-de"/>
    </w:rPr>
    <w:key w:val="1073"/>
  </w:style>
  <w:style w:type="paragraph" w:styleId="para2">
    <w:name w:val="heading 2"/>
    <w:qFormat/>
    <w:basedOn w:val="para1"/>
    <w:next w:val="para0"/>
    <w:pPr>
      <w:spacing w:before="240" w:after="160" w:line="312" w:lineRule="auto"/>
      <w:pageBreakBefore w:val="0"/>
      <w:outlineLvl w:val="1"/>
    </w:pPr>
    <w:rPr>
      <w:color w:val="002060"/>
    </w:rPr>
    <w:key w:val="1074"/>
  </w:style>
  <w:style w:type="paragraph" w:styleId="para3">
    <w:name w:val="heading 3"/>
    <w:qFormat/>
    <w:basedOn w:val="para2"/>
    <w:next w:val="para0"/>
    <w:pPr>
      <w:outlineLvl w:val="2"/>
    </w:pPr>
    <w:rPr>
      <w:i/>
      <w:iCs/>
    </w:rPr>
    <w:key w:val="1075"/>
  </w:style>
  <w:style w:type="paragraph" w:styleId="para4" w:customStyle="1">
    <w:name w:val="Text"/>
    <w:qFormat/>
    <w:basedOn w:val="para0"/>
    <w:pPr>
      <w:spacing w:after="160" w:line="320" w:lineRule="exact"/>
      <w:jc w:val="both"/>
      <w:widowControl/>
    </w:pPr>
    <w:rPr>
      <w:rFonts w:eastAsia="Calibri" w:cs="Lucida Sans"/>
      <w:lang w:eastAsia="en-us"/>
    </w:rPr>
  </w:style>
  <w:style w:type="paragraph" w:styleId="para5">
    <w:name w:val="heading 4"/>
    <w:qFormat/>
    <w:basedOn w:val="para0"/>
    <w:next w:val="para0"/>
    <w:pPr>
      <w:spacing w:before="80" w:after="160" w:line="320" w:lineRule="exact"/>
      <w:keepNext/>
      <w:outlineLvl w:val="3"/>
      <w:keepLines/>
      <w:widowControl/>
    </w:pPr>
    <w:rPr>
      <w:rFonts w:ascii="Calibri Light" w:hAnsi="Calibri Light" w:eastAsia="Calibri Light" w:cs="Calibri Light"/>
      <w:i/>
      <w:iCs/>
      <w:color w:val="000080"/>
      <w:lang w:eastAsia="de-de" w:bidi="de-de"/>
    </w:rPr>
  </w:style>
  <w:style w:type="paragraph" w:styleId="para6">
    <w:name w:val="Footnote Text"/>
    <w:qFormat/>
    <w:basedOn w:val="para0"/>
    <w:pPr>
      <w:spacing w:line="240" w:lineRule="auto"/>
    </w:pPr>
  </w:style>
  <w:style w:type="character" w:styleId="char0" w:default="1">
    <w:name w:val="Default Paragraph Font"/>
  </w:style>
  <w:style w:type="character" w:styleId="char1" w:customStyle="1">
    <w:name w:val="Überschrift 1 Zchn"/>
    <w:basedOn w:val="char0"/>
    <w:rPr>
      <w:rFonts w:ascii="Arial" w:hAnsi="Arial"/>
      <w:b/>
      <w:color w:val="000080"/>
    </w:rPr>
  </w:style>
  <w:style w:type="character" w:styleId="char2" w:customStyle="1">
    <w:name w:val="Überschrift 2 Zchn"/>
    <w:basedOn w:val="char0"/>
    <w:rPr>
      <w:rFonts w:ascii="Arial" w:hAnsi="Arial"/>
      <w:b/>
      <w:color w:val="000080"/>
    </w:rPr>
  </w:style>
  <w:style w:type="character" w:styleId="char3" w:customStyle="1">
    <w:name w:val="Überschrift 3 Zchn"/>
    <w:basedOn w:val="char0"/>
    <w:rPr>
      <w:rFonts w:ascii="Arial" w:hAnsi="Arial"/>
      <w:b/>
      <w:color w:val="000080"/>
    </w:rPr>
  </w:style>
  <w:style w:type="character" w:styleId="char4" w:customStyle="1">
    <w:name w:val="Überschrift 4 Zchn"/>
    <w:basedOn w:val="char0"/>
    <w:rPr>
      <w:rFonts w:ascii="Calibri Light" w:hAnsi="Calibri Light"/>
      <w:i/>
      <w:color w:val="000080"/>
    </w:rPr>
  </w:style>
  <w:style w:type="character" w:styleId="char5">
    <w:name w:val="Footnote Reference"/>
    <w:rPr>
      <w:vertAlign w:val="superscript"/>
    </w:rPr>
  </w:style>
  <w:style w:type="character" w:styleId="char6" w:customStyle="1">
    <w:name w:val="Zotero"/>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NX rev.1230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Matthias Möhring-Hesse</cp:lastModifiedBy>
  <cp:revision>9</cp:revision>
  <dcterms:created xsi:type="dcterms:W3CDTF">2026-02-23T11:15:39Z</dcterms:created>
  <dcterms:modified xsi:type="dcterms:W3CDTF">2026-02-23T11:30:25Z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zotero-version="8.0.3"&gt;&lt;session id="TFE9kAqU"/&gt;&lt;style id="http://www.zotero.org/styles/soziale-welt" hasBibliography="1" bibliographyStyleHasBeenSet="0"/&gt;&lt;prefs&gt;&lt;pref name="fieldType" value="Field"/&gt;&lt;pref name=</vt:lpwstr>
  </property>
  <property fmtid="{D5CDD505-2E9C-101B-9397-08002B2CF9AE}" pid="3" name="ZOTERO_PREF_2">
    <vt:lpwstr>"automaticJournalAbbreviations" value="true"/&gt;&lt;/prefs&gt;&lt;/data&gt;</vt:lpwstr>
  </property>
</Properties>
</file>