
<file path=[Content_Types].xml><?xml version="1.0" encoding="utf-8"?>
<Types xmlns="http://schemas.openxmlformats.org/package/2006/content-types">
  <Default Extension="rels" ContentType="application/vnd.openxmlformats-package.relationships+xml"/>
  <Default Extension="xml" ContentType="application/xml"/>
  <Default Extension="pdf" ContentType="application/pdf"/>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tabs defTabSz="720">
          <w:tab w:val="left" w:pos="360" w:leader="none"/>
        </w:tabs>
        <w:rPr>
          <w:rFonts w:ascii="Arial Narrow" w:hAnsi="Arial Narrow" w:eastAsia="Arial Narrow" w:cs="Arial Narrow"/>
          <w:color w:val="000000" w:themeColor="text1"/>
        </w:rPr>
      </w:pPr>
      <w:r>
        <w:rPr>
          <w:rFonts w:ascii="Arial Narrow" w:hAnsi="Arial Narrow" w:eastAsia="Arial Narrow" w:cs="Arial Narrow"/>
          <w:b/>
          <w:bCs/>
          <w:color w:val="000000" w:themeColor="text1"/>
          <w:lang w:val="en-gb"/>
        </w:rPr>
        <w:t>Grade Distribution and Learning Hours</w:t>
      </w:r>
      <w:r>
        <w:rPr>
          <w:rFonts w:ascii="Arial Narrow" w:hAnsi="Arial Narrow" w:eastAsia="Arial Narrow" w:cs="Arial Narrow"/>
          <w:color w:val="000000" w:themeColor="text1"/>
        </w:rPr>
      </w:r>
    </w:p>
    <w:tbl>
      <w:tblPr>
        <w:tblStyle w:val="TableGrid"/>
        <w:name w:val="Tabelle1"/>
        <w:tabOrder w:val="0"/>
        <w:jc w:val="left"/>
        <w:tblInd w:w="1020" w:type="dxa"/>
        <w:tblW w:w="5418" w:type="dxa"/>
        <w:pPr>
          <w:ind w:left="1020"/>
        </w:pPr>
        <w:tblLook w:val="0000" w:firstRow="0" w:lastRow="0" w:firstColumn="0" w:lastColumn="0" w:noHBand="0" w:noVBand="0"/>
      </w:tblPr>
      <w:tblGrid>
        <w:gridCol w:w="1913"/>
        <w:gridCol w:w="1751"/>
        <w:gridCol w:w="1754"/>
      </w:tblGrid>
      <w:tr>
        <w:trPr>
          <w:cantSplit w:val="0"/>
          <w:trHeight w:val="300" w:hRule="atLeast"/>
        </w:trPr>
        <w:tc>
          <w:tcPr>
            <w:tcW w:w="1913" w:type="dxa"/>
            <w:tcMar>
              <w:left w:w="45" w:type="dxa"/>
              <w:right w:w="105" w:type="dxa"/>
            </w:tcMar>
            <w:tcBorders>
              <w:top w:val="single" w:sz="6" w:space="0" w:color="000001" tmln="15, 20, 20, 0, 0"/>
              <w:left w:val="single" w:sz="6" w:space="0" w:color="000001" tmln="15, 20, 20, 0, 0"/>
              <w:bottom w:val="single" w:sz="6" w:space="0" w:color="000001" tmln="15, 20, 20, 0, 0"/>
              <w:right w:val="single" w:sz="12" w:space="0" w:color="000000" tmln="30, 20, 20, 0, 0"/>
            </w:tcBorders>
            <w:tmTcPr id="1769595792" protected="0"/>
          </w:tcPr>
          <w:p>
            <w:pPr>
              <w:ind w:left="1032"/>
              <w:rPr>
                <w:rFonts w:ascii="Arial Narrow" w:hAnsi="Arial Narrow" w:eastAsia="Arial Narrow" w:cs="Arial Narrow"/>
                <w:color w:val="1F417D"/>
              </w:rPr>
            </w:pPr>
            <w:r>
              <w:rPr>
                <w:rFonts w:ascii="Arial Narrow" w:hAnsi="Arial Narrow" w:eastAsia="Arial Narrow" w:cs="Arial Narrow"/>
                <w:color w:val="1F417D"/>
              </w:rPr>
            </w:r>
          </w:p>
        </w:tc>
        <w:tc>
          <w:tcPr>
            <w:tcW w:w="3505" w:type="dxa"/>
            <w:gridSpan w:val="2"/>
            <w:tcMar>
              <w:left w:w="45" w:type="dxa"/>
              <w:right w:w="105" w:type="dxa"/>
            </w:tcMar>
            <w:tcBorders>
              <w:top w:val="single" w:sz="12" w:space="0" w:color="000000" tmln="30, 20, 20, 0, 0"/>
              <w:left w:val="single" w:sz="12" w:space="0" w:color="000000" tmln="30, 20, 20, 0, 0"/>
              <w:bottom w:val="single" w:sz="12" w:space="0" w:color="000000" tmln="30, 20, 20, 0, 0"/>
              <w:right w:val="single" w:sz="12" w:space="0" w:color="000000" tmln="30, 20, 20, 0, 0"/>
            </w:tcBorders>
            <w:tmTcPr id="1769595792" protected="0"/>
          </w:tcPr>
          <w:p>
            <w:pPr>
              <w:spacing/>
              <w:jc w:val="center"/>
              <w:rPr>
                <w:rFonts w:ascii="Arial Narrow" w:hAnsi="Arial Narrow" w:eastAsia="Arial Narrow" w:cs="Arial Narrow"/>
                <w:color w:val="1F417D"/>
              </w:rPr>
            </w:pPr>
            <w:r>
              <w:rPr>
                <w:rFonts w:ascii="Arial Narrow" w:hAnsi="Arial Narrow" w:eastAsia="Arial Narrow" w:cs="Arial Narrow"/>
                <w:b/>
                <w:bCs/>
                <w:color w:val="000000" w:themeColor="text1"/>
                <w:lang w:val="en-gb"/>
              </w:rPr>
              <w:t>3 ECTS</w:t>
            </w:r>
            <w:r>
              <w:rPr>
                <w:rFonts w:ascii="Arial Narrow" w:hAnsi="Arial Narrow" w:eastAsia="Arial Narrow" w:cs="Arial Narrow"/>
                <w:color w:val="1F417D"/>
              </w:rPr>
            </w:r>
          </w:p>
        </w:tc>
      </w:tr>
      <w:tr>
        <w:trPr>
          <w:cantSplit w:val="0"/>
          <w:trHeight w:val="300" w:hRule="atLeast"/>
        </w:trPr>
        <w:tc>
          <w:tcPr>
            <w:tcW w:w="1913" w:type="dxa"/>
            <w:tcMar>
              <w:left w:w="45" w:type="dxa"/>
              <w:right w:w="105" w:type="dxa"/>
            </w:tcMar>
            <w:tcBorders>
              <w:top w:val="single" w:sz="6" w:space="0" w:color="000001" tmln="15, 20, 20, 0, 0"/>
              <w:left w:val="single" w:sz="6" w:space="0" w:color="000001" tmln="15, 20, 20, 0, 0"/>
              <w:bottom w:val="single" w:sz="6" w:space="0" w:color="000001" tmln="15, 20, 20, 0, 0"/>
              <w:right w:val="nil" w:sz="0" w:space="0" w:color="000000" tmln="20, 20, 20, 0, 0"/>
            </w:tcBorders>
            <w:tmTcPr id="1769595792" protected="0"/>
          </w:tcPr>
          <w:p>
            <w:pPr>
              <w:rPr>
                <w:rFonts w:ascii="Arial Narrow" w:hAnsi="Arial Narrow" w:eastAsia="Arial Narrow" w:cs="Arial Narrow"/>
                <w:color w:val="000000" w:themeColor="text1"/>
              </w:rPr>
            </w:pPr>
            <w:r>
              <w:rPr>
                <w:rFonts w:ascii="Arial Narrow" w:hAnsi="Arial Narrow" w:eastAsia="Arial Narrow" w:cs="Arial Narrow"/>
                <w:b/>
                <w:bCs/>
                <w:color w:val="000000" w:themeColor="text1"/>
                <w:lang w:val="en-gb"/>
              </w:rPr>
              <w:t>Learning Activities</w:t>
            </w:r>
            <w:r>
              <w:rPr>
                <w:rFonts w:ascii="Arial Narrow" w:hAnsi="Arial Narrow" w:eastAsia="Arial Narrow" w:cs="Arial Narrow"/>
                <w:color w:val="000000" w:themeColor="text1"/>
              </w:rPr>
            </w:r>
          </w:p>
        </w:tc>
        <w:tc>
          <w:tcPr>
            <w:tcW w:w="1751" w:type="dxa"/>
            <w:tcMar>
              <w:left w:w="45" w:type="dxa"/>
              <w:right w:w="105" w:type="dxa"/>
            </w:tcMar>
            <w:tcBorders>
              <w:top w:val="single" w:sz="12" w:space="0" w:color="000000" tmln="30, 20, 20, 0, 0"/>
              <w:left w:val="single" w:sz="6" w:space="0" w:color="000001" tmln="15, 20, 20, 0, 0"/>
              <w:bottom w:val="single" w:sz="6" w:space="0" w:color="000001" tmln="15, 20, 20, 0, 0"/>
              <w:right w:val="nil" w:sz="0" w:space="0" w:color="000000" tmln="20, 20, 20, 0, 0"/>
            </w:tcBorders>
            <w:tmTcPr id="1769595792" protected="0"/>
          </w:tcPr>
          <w:p>
            <w:pPr>
              <w:rPr>
                <w:rFonts w:ascii="Arial Narrow" w:hAnsi="Arial Narrow" w:eastAsia="Arial Narrow" w:cs="Arial Narrow"/>
                <w:color w:val="000000" w:themeColor="text1"/>
              </w:rPr>
            </w:pPr>
            <w:r>
              <w:rPr>
                <w:rFonts w:ascii="Arial Narrow" w:hAnsi="Arial Narrow" w:eastAsia="Arial Narrow" w:cs="Arial Narrow"/>
                <w:b/>
                <w:bCs/>
                <w:color w:val="000000" w:themeColor="text1"/>
                <w:lang w:val="en-gb"/>
              </w:rPr>
              <w:t>Percentage of Final Grade</w:t>
            </w:r>
            <w:r>
              <w:rPr>
                <w:rFonts w:ascii="Arial Narrow" w:hAnsi="Arial Narrow" w:eastAsia="Arial Narrow" w:cs="Arial Narrow"/>
                <w:color w:val="000000" w:themeColor="text1"/>
              </w:rPr>
            </w:r>
          </w:p>
        </w:tc>
        <w:tc>
          <w:tcPr>
            <w:tcW w:w="1754" w:type="dxa"/>
            <w:tcMar>
              <w:left w:w="45" w:type="dxa"/>
              <w:right w:w="105" w:type="dxa"/>
            </w:tcMar>
            <w:tcBorders>
              <w:top w:val="single" w:sz="12" w:space="0" w:color="000000" tmln="30, 20, 20, 0, 0"/>
              <w:left w:val="single" w:sz="6" w:space="0" w:color="000001" tmln="15, 20, 20, 0, 0"/>
              <w:bottom w:val="single" w:sz="6" w:space="0" w:color="000001" tmln="15, 20, 20, 0, 0"/>
              <w:right w:val="single" w:sz="12" w:space="0" w:color="000000" tmln="30, 20, 20, 0, 0"/>
            </w:tcBorders>
            <w:tmTcPr id="1769595792" protected="0"/>
          </w:tcPr>
          <w:p>
            <w:pPr>
              <w:rPr>
                <w:rFonts w:ascii="Arial Narrow" w:hAnsi="Arial Narrow" w:eastAsia="Arial Narrow" w:cs="Arial Narrow"/>
                <w:color w:val="000000" w:themeColor="text1"/>
              </w:rPr>
            </w:pPr>
            <w:r>
              <w:rPr>
                <w:rFonts w:ascii="Arial Narrow" w:hAnsi="Arial Narrow" w:eastAsia="Arial Narrow" w:cs="Arial Narrow"/>
                <w:b/>
                <w:bCs/>
                <w:color w:val="000000" w:themeColor="text1"/>
                <w:lang w:val="en-gb"/>
              </w:rPr>
              <w:t>Learning Hours</w:t>
            </w:r>
            <w:r>
              <w:rPr>
                <w:rFonts w:ascii="Arial Narrow" w:hAnsi="Arial Narrow" w:eastAsia="Arial Narrow" w:cs="Arial Narrow"/>
                <w:color w:val="000000" w:themeColor="text1"/>
              </w:rPr>
            </w:r>
          </w:p>
        </w:tc>
      </w:tr>
      <w:tr>
        <w:trPr>
          <w:cantSplit w:val="0"/>
          <w:trHeight w:val="300" w:hRule="atLeast"/>
        </w:trPr>
        <w:tc>
          <w:tcPr>
            <w:tcW w:w="1913" w:type="dxa"/>
            <w:tcMar>
              <w:left w:w="45" w:type="dxa"/>
              <w:right w:w="105" w:type="dxa"/>
            </w:tcMar>
            <w:tcBorders>
              <w:top w:val="single" w:sz="6" w:space="0" w:color="000001" tmln="15, 20, 20, 0, 0"/>
              <w:left w:val="single" w:sz="6" w:space="0" w:color="000001" tmln="15, 20, 20, 0, 0"/>
              <w:bottom w:val="single" w:sz="6" w:space="0" w:color="000001" tmln="15, 20, 20, 0, 0"/>
              <w:right w:val="nil" w:sz="0" w:space="0" w:color="000000" tmln="20, 20, 20, 0, 0"/>
            </w:tcBorders>
            <w:tmTcPr id="1769595792" protected="0"/>
          </w:tcPr>
          <w:p>
            <w:pPr>
              <w:rPr>
                <w:rFonts w:ascii="Arial Narrow" w:hAnsi="Arial Narrow" w:eastAsia="Arial Narrow" w:cs="Arial Narrow"/>
                <w:color w:val="000000" w:themeColor="text1"/>
              </w:rPr>
            </w:pPr>
            <w:r>
              <w:rPr>
                <w:rFonts w:ascii="Arial Narrow" w:hAnsi="Arial Narrow" w:eastAsia="Arial Narrow" w:cs="Arial Narrow"/>
                <w:color w:val="000000" w:themeColor="text1"/>
                <w:lang w:val="fr-fr"/>
              </w:rPr>
              <w:t>Participation</w:t>
            </w:r>
            <w:r>
              <w:rPr>
                <w:rFonts w:ascii="Arial Narrow" w:hAnsi="Arial Narrow" w:eastAsia="Arial Narrow" w:cs="Arial Narrow"/>
                <w:color w:val="000000" w:themeColor="text1"/>
              </w:rPr>
            </w:r>
          </w:p>
        </w:tc>
        <w:tc>
          <w:tcPr>
            <w:tcW w:w="1751" w:type="dxa"/>
            <w:tcMar>
              <w:left w:w="45" w:type="dxa"/>
              <w:right w:w="105" w:type="dxa"/>
            </w:tcMar>
            <w:tcBorders>
              <w:top w:val="single" w:sz="6" w:space="0" w:color="000001" tmln="15, 20, 20, 0, 0"/>
              <w:left w:val="single" w:sz="6" w:space="0" w:color="000001" tmln="15, 20, 20, 0, 0"/>
              <w:bottom w:val="single" w:sz="6" w:space="0" w:color="000001" tmln="15, 20, 20, 0, 0"/>
              <w:right w:val="nil" w:sz="0" w:space="0" w:color="000000" tmln="20, 20, 20, 0, 0"/>
            </w:tcBorders>
            <w:tmTcPr id="1769595792" protected="0"/>
          </w:tcPr>
          <w:p>
            <w:pPr>
              <w:spacing/>
              <w:jc w:val="center"/>
              <w:rPr>
                <w:rFonts w:ascii="Arial Narrow" w:hAnsi="Arial Narrow" w:eastAsia="Arial Narrow" w:cs="Arial Narrow"/>
                <w:color w:val="000000" w:themeColor="text1"/>
              </w:rPr>
            </w:pPr>
            <w:r>
              <w:rPr>
                <w:rFonts w:ascii="Arial Narrow" w:hAnsi="Arial Narrow" w:eastAsia="Arial Narrow" w:cs="Arial Narrow"/>
                <w:color w:val="000000" w:themeColor="text1"/>
                <w:lang w:val="fr-fr"/>
              </w:rPr>
              <w:t>15 %</w:t>
            </w:r>
            <w:r>
              <w:rPr>
                <w:rFonts w:ascii="Arial Narrow" w:hAnsi="Arial Narrow" w:eastAsia="Arial Narrow" w:cs="Arial Narrow"/>
                <w:color w:val="000000" w:themeColor="text1"/>
              </w:rPr>
            </w:r>
          </w:p>
        </w:tc>
        <w:tc>
          <w:tcPr>
            <w:tcW w:w="1754" w:type="dxa"/>
            <w:tcMar>
              <w:left w:w="45" w:type="dxa"/>
              <w:right w:w="105" w:type="dxa"/>
            </w:tcMar>
            <w:tcBorders>
              <w:top w:val="single" w:sz="6" w:space="0" w:color="000001" tmln="15, 20, 20, 0, 0"/>
              <w:left w:val="single" w:sz="6" w:space="0" w:color="000001" tmln="15, 20, 20, 0, 0"/>
              <w:bottom w:val="single" w:sz="6" w:space="0" w:color="000001" tmln="15, 20, 20, 0, 0"/>
              <w:right w:val="single" w:sz="12" w:space="0" w:color="000000" tmln="30, 20, 20, 0, 0"/>
            </w:tcBorders>
            <w:tmTcPr id="1769595792" protected="0"/>
          </w:tcPr>
          <w:p>
            <w:pPr>
              <w:spacing/>
              <w:jc w:val="center"/>
              <w:rPr>
                <w:rFonts w:ascii="Arial Narrow" w:hAnsi="Arial Narrow" w:eastAsia="Arial Narrow" w:cs="Arial Narrow"/>
                <w:color w:val="000000" w:themeColor="text1"/>
              </w:rPr>
            </w:pPr>
            <w:r>
              <w:rPr>
                <w:rFonts w:ascii="Arial Narrow" w:hAnsi="Arial Narrow" w:eastAsia="Arial Narrow" w:cs="Arial Narrow"/>
                <w:color w:val="000000" w:themeColor="text1"/>
                <w:lang w:val="fr-fr"/>
              </w:rPr>
              <w:t>10</w:t>
            </w:r>
            <w:r>
              <w:rPr>
                <w:rFonts w:ascii="Arial Narrow" w:hAnsi="Arial Narrow" w:eastAsia="Arial Narrow" w:cs="Arial Narrow"/>
                <w:color w:val="000000" w:themeColor="text1"/>
              </w:rPr>
            </w:r>
          </w:p>
        </w:tc>
      </w:tr>
      <w:tr>
        <w:trPr>
          <w:cantSplit w:val="0"/>
          <w:trHeight w:val="300" w:hRule="atLeast"/>
        </w:trPr>
        <w:tc>
          <w:tcPr>
            <w:tcW w:w="1913" w:type="dxa"/>
            <w:tcMar>
              <w:left w:w="45" w:type="dxa"/>
              <w:right w:w="105" w:type="dxa"/>
            </w:tcMar>
            <w:tcBorders>
              <w:top w:val="single" w:sz="6" w:space="0" w:color="000001" tmln="15, 20, 20, 0, 0"/>
              <w:left w:val="single" w:sz="6" w:space="0" w:color="000001" tmln="15, 20, 20, 0, 0"/>
              <w:bottom w:val="single" w:sz="6" w:space="0" w:color="000001" tmln="15, 20, 20, 0, 0"/>
              <w:right w:val="nil" w:sz="0" w:space="0" w:color="000000" tmln="20, 20, 20, 0, 0"/>
            </w:tcBorders>
            <w:tmTcPr id="1769595792" protected="0"/>
          </w:tcPr>
          <w:p>
            <w:pPr>
              <w:rPr>
                <w:rFonts w:ascii="Arial Narrow" w:hAnsi="Arial Narrow" w:eastAsia="Arial Narrow" w:cs="Arial Narrow"/>
                <w:color w:val="000000" w:themeColor="text1"/>
              </w:rPr>
            </w:pPr>
            <w:r>
              <w:rPr>
                <w:rFonts w:ascii="Arial Narrow" w:hAnsi="Arial Narrow" w:eastAsia="Arial Narrow" w:cs="Arial Narrow"/>
                <w:color w:val="000000" w:themeColor="text1"/>
                <w:lang w:val="fr-fr"/>
              </w:rPr>
              <w:t>Reading</w:t>
            </w:r>
            <w:r>
              <w:rPr>
                <w:rFonts w:ascii="Arial Narrow" w:hAnsi="Arial Narrow" w:eastAsia="Arial Narrow" w:cs="Arial Narrow"/>
                <w:color w:val="000000" w:themeColor="text1"/>
              </w:rPr>
            </w:r>
          </w:p>
          <w:p>
            <w:pPr>
              <w:rPr>
                <w:rFonts w:ascii="Arial Narrow" w:hAnsi="Arial Narrow" w:eastAsia="Arial Narrow" w:cs="Arial Narrow"/>
                <w:color w:val="000000" w:themeColor="text1"/>
              </w:rPr>
            </w:pPr>
            <w:r>
              <w:rPr>
                <w:rFonts w:ascii="Arial Narrow" w:hAnsi="Arial Narrow" w:eastAsia="Arial Narrow" w:cs="Arial Narrow"/>
                <w:color w:val="000000" w:themeColor="text1"/>
              </w:rPr>
            </w:r>
          </w:p>
        </w:tc>
        <w:tc>
          <w:tcPr>
            <w:tcW w:w="1751" w:type="dxa"/>
            <w:tcMar>
              <w:left w:w="45" w:type="dxa"/>
              <w:right w:w="105" w:type="dxa"/>
            </w:tcMar>
            <w:tcBorders>
              <w:top w:val="single" w:sz="6" w:space="0" w:color="000001" tmln="15, 20, 20, 0, 0"/>
              <w:left w:val="single" w:sz="6" w:space="0" w:color="000001" tmln="15, 20, 20, 0, 0"/>
              <w:bottom w:val="single" w:sz="6" w:space="0" w:color="000001" tmln="15, 20, 20, 0, 0"/>
              <w:right w:val="nil" w:sz="0" w:space="0" w:color="000000" tmln="20, 20, 20, 0, 0"/>
            </w:tcBorders>
            <w:tmTcPr id="1769595792" protected="0"/>
          </w:tcPr>
          <w:p>
            <w:pPr>
              <w:spacing/>
              <w:jc w:val="center"/>
              <w:rPr>
                <w:rFonts w:ascii="Arial Narrow" w:hAnsi="Arial Narrow" w:eastAsia="Arial Narrow" w:cs="Arial Narrow"/>
                <w:color w:val="000000" w:themeColor="text1"/>
              </w:rPr>
            </w:pPr>
            <w:r>
              <w:rPr>
                <w:rFonts w:ascii="Arial Narrow" w:hAnsi="Arial Narrow" w:eastAsia="Arial Narrow" w:cs="Arial Narrow"/>
                <w:color w:val="000000" w:themeColor="text1"/>
                <w:lang w:val="fr-fr"/>
              </w:rPr>
              <w:t xml:space="preserve">5% </w:t>
            </w:r>
            <w:r>
              <w:rPr>
                <w:rFonts w:ascii="Arial Narrow" w:hAnsi="Arial Narrow" w:eastAsia="Arial Narrow" w:cs="Arial Narrow"/>
                <w:color w:val="000000" w:themeColor="text1"/>
              </w:rPr>
            </w:r>
          </w:p>
        </w:tc>
        <w:tc>
          <w:tcPr>
            <w:tcW w:w="1754" w:type="dxa"/>
            <w:tcMar>
              <w:left w:w="45" w:type="dxa"/>
              <w:right w:w="105" w:type="dxa"/>
            </w:tcMar>
            <w:tcBorders>
              <w:top w:val="single" w:sz="6" w:space="0" w:color="000001" tmln="15, 20, 20, 0, 0"/>
              <w:left w:val="single" w:sz="6" w:space="0" w:color="000001" tmln="15, 20, 20, 0, 0"/>
              <w:bottom w:val="single" w:sz="6" w:space="0" w:color="000001" tmln="15, 20, 20, 0, 0"/>
              <w:right w:val="single" w:sz="12" w:space="0" w:color="000000" tmln="30, 20, 20, 0, 0"/>
            </w:tcBorders>
            <w:tmTcPr id="1769595792" protected="0"/>
          </w:tcPr>
          <w:p>
            <w:pPr>
              <w:spacing/>
              <w:jc w:val="center"/>
              <w:rPr>
                <w:rFonts w:ascii="Arial Narrow" w:hAnsi="Arial Narrow" w:eastAsia="Arial Narrow" w:cs="Arial Narrow"/>
                <w:color w:val="000000" w:themeColor="text1"/>
              </w:rPr>
            </w:pPr>
            <w:r>
              <w:rPr>
                <w:rFonts w:ascii="Arial Narrow" w:hAnsi="Arial Narrow" w:eastAsia="Arial Narrow" w:cs="Arial Narrow"/>
                <w:strike w:val="1"/>
                <w:color w:val="000000" w:themeColor="text1"/>
                <w:lang w:val="fr-fr"/>
              </w:rPr>
            </w:r>
            <w:commentRangeStart w:id="0"/>
            <w:r>
              <w:rPr>
                <w:rFonts w:ascii="Arial Narrow" w:hAnsi="Arial Narrow" w:eastAsia="Arial Narrow" w:cs="Arial Narrow"/>
                <w:strike w:val="1"/>
                <w:color w:val="000000" w:themeColor="text1"/>
                <w:lang w:val="fr-fr"/>
              </w:rPr>
              <w:t>30</w:t>
            </w:r>
            <w:r>
              <w:rPr>
                <w:rFonts w:ascii="Arial Narrow" w:hAnsi="Arial Narrow" w:eastAsia="Arial Narrow" w:cs="Arial Narrow"/>
                <w:color w:val="000000" w:themeColor="text1"/>
                <w:lang w:val="fr-fr"/>
              </w:rPr>
            </w:r>
            <w:commentRangeEnd w:id="0"/>
            <w:r>
              <w:commentReference w:id="0"/>
            </w:r>
            <w:r>
              <w:rPr>
                <w:rFonts w:ascii="Arial Narrow" w:hAnsi="Arial Narrow" w:eastAsia="Arial Narrow" w:cs="Arial Narrow"/>
                <w:color w:val="000000" w:themeColor="text1"/>
                <w:lang w:val="fr-fr"/>
              </w:rPr>
              <w:t xml:space="preserve">  39</w:t>
            </w:r>
            <w:r>
              <w:rPr>
                <w:rFonts w:ascii="Arial Narrow" w:hAnsi="Arial Narrow" w:eastAsia="Arial Narrow" w:cs="Arial Narrow"/>
                <w:color w:val="000000" w:themeColor="text1"/>
              </w:rPr>
            </w:r>
          </w:p>
        </w:tc>
      </w:tr>
      <w:tr>
        <w:trPr>
          <w:cantSplit w:val="0"/>
          <w:trHeight w:val="300" w:hRule="atLeast"/>
        </w:trPr>
        <w:tc>
          <w:tcPr>
            <w:tcW w:w="1913" w:type="dxa"/>
            <w:tcMar>
              <w:left w:w="45" w:type="dxa"/>
              <w:right w:w="105" w:type="dxa"/>
            </w:tcMar>
            <w:tcBorders>
              <w:top w:val="single" w:sz="6" w:space="0" w:color="000001" tmln="15, 20, 20, 0, 0"/>
              <w:left w:val="single" w:sz="6" w:space="0" w:color="000001" tmln="15, 20, 20, 0, 0"/>
              <w:bottom w:val="single" w:sz="6" w:space="0" w:color="000001" tmln="15, 20, 20, 0, 0"/>
              <w:right w:val="nil" w:sz="0" w:space="0" w:color="000000" tmln="20, 20, 20, 0, 0"/>
            </w:tcBorders>
            <w:tmTcPr id="1769595792" protected="0"/>
          </w:tcPr>
          <w:p>
            <w:pPr>
              <w:rPr>
                <w:rFonts w:ascii="Arial Narrow" w:hAnsi="Arial Narrow" w:eastAsia="Arial Narrow" w:cs="Arial Narrow"/>
                <w:color w:val="1F417D"/>
                <w:lang w:val="fr-fr"/>
              </w:rPr>
            </w:pPr>
            <w:r>
              <w:rPr>
                <w:rFonts w:ascii="Arial Narrow" w:hAnsi="Arial Narrow" w:eastAsia="Arial Narrow" w:cs="Arial Narrow"/>
                <w:color w:val="000000" w:themeColor="text1"/>
                <w:lang w:val="fr-fr"/>
              </w:rPr>
              <w:t xml:space="preserve">Biblical Text Reading Reflections </w:t>
            </w:r>
            <w:r>
              <w:rPr>
                <w:rFonts w:ascii="Arial Narrow" w:hAnsi="Arial Narrow" w:eastAsia="Arial Narrow" w:cs="Arial Narrow"/>
                <w:color w:val="1F417D"/>
                <w:lang w:val="fr-fr"/>
              </w:rPr>
            </w:r>
          </w:p>
        </w:tc>
        <w:tc>
          <w:tcPr>
            <w:tcW w:w="1751" w:type="dxa"/>
            <w:tcMar>
              <w:left w:w="45" w:type="dxa"/>
              <w:right w:w="105" w:type="dxa"/>
            </w:tcMar>
            <w:tcBorders>
              <w:top w:val="single" w:sz="6" w:space="0" w:color="000001" tmln="15, 20, 20, 0, 0"/>
              <w:left w:val="single" w:sz="6" w:space="0" w:color="000001" tmln="15, 20, 20, 0, 0"/>
              <w:bottom w:val="single" w:sz="6" w:space="0" w:color="000001" tmln="15, 20, 20, 0, 0"/>
              <w:right w:val="nil" w:sz="0" w:space="0" w:color="000000" tmln="20, 20, 20, 0, 0"/>
            </w:tcBorders>
            <w:tmTcPr id="1769595792" protected="0"/>
          </w:tcPr>
          <w:p>
            <w:pPr>
              <w:spacing/>
              <w:jc w:val="center"/>
              <w:rPr>
                <w:rFonts w:ascii="Arial Narrow" w:hAnsi="Arial Narrow" w:eastAsia="Arial Narrow" w:cs="Arial Narrow"/>
                <w:color w:val="000000" w:themeColor="text1"/>
              </w:rPr>
            </w:pPr>
            <w:r>
              <w:rPr>
                <w:rFonts w:ascii="Arial Narrow" w:hAnsi="Arial Narrow" w:eastAsia="Arial Narrow" w:cs="Arial Narrow"/>
                <w:color w:val="000000" w:themeColor="text1"/>
                <w:lang w:val="fr-fr"/>
              </w:rPr>
              <w:t xml:space="preserve">(4 x 5%) 20% </w:t>
            </w:r>
            <w:r>
              <w:rPr>
                <w:rFonts w:ascii="Arial Narrow" w:hAnsi="Arial Narrow" w:eastAsia="Arial Narrow" w:cs="Arial Narrow"/>
                <w:color w:val="000000" w:themeColor="text1"/>
              </w:rPr>
            </w:r>
          </w:p>
        </w:tc>
        <w:tc>
          <w:tcPr>
            <w:tcW w:w="1754" w:type="dxa"/>
            <w:tcMar>
              <w:left w:w="45" w:type="dxa"/>
              <w:right w:w="105" w:type="dxa"/>
            </w:tcMar>
            <w:tcBorders>
              <w:top w:val="single" w:sz="6" w:space="0" w:color="000001" tmln="15, 20, 20, 0, 0"/>
              <w:left w:val="single" w:sz="6" w:space="0" w:color="000001" tmln="15, 20, 20, 0, 0"/>
              <w:bottom w:val="single" w:sz="6" w:space="0" w:color="000001" tmln="15, 20, 20, 0, 0"/>
              <w:right w:val="single" w:sz="12" w:space="0" w:color="000000" tmln="30, 20, 20, 0, 0"/>
            </w:tcBorders>
            <w:tmTcPr id="1769595792" protected="0"/>
          </w:tcPr>
          <w:p>
            <w:pPr>
              <w:spacing/>
              <w:jc w:val="center"/>
              <w:rPr>
                <w:rFonts w:ascii="Arial Narrow" w:hAnsi="Arial Narrow" w:eastAsia="Arial Narrow" w:cs="Arial Narrow"/>
                <w:color w:val="000000" w:themeColor="text1"/>
              </w:rPr>
            </w:pPr>
            <w:r>
              <w:rPr>
                <w:rFonts w:ascii="Arial Narrow" w:hAnsi="Arial Narrow" w:eastAsia="Arial Narrow" w:cs="Arial Narrow"/>
                <w:color w:val="000000" w:themeColor="text1"/>
                <w:lang w:val="fr-fr"/>
              </w:rPr>
              <w:t>8</w:t>
            </w:r>
            <w:r>
              <w:rPr>
                <w:rFonts w:ascii="Arial Narrow" w:hAnsi="Arial Narrow" w:eastAsia="Arial Narrow" w:cs="Arial Narrow"/>
                <w:color w:val="000000" w:themeColor="text1"/>
              </w:rPr>
            </w:r>
          </w:p>
        </w:tc>
      </w:tr>
      <w:tr>
        <w:trPr>
          <w:cantSplit w:val="0"/>
          <w:trHeight w:val="300" w:hRule="atLeast"/>
        </w:trPr>
        <w:tc>
          <w:tcPr>
            <w:tcW w:w="1913" w:type="dxa"/>
            <w:tcMar>
              <w:left w:w="45" w:type="dxa"/>
              <w:right w:w="105" w:type="dxa"/>
            </w:tcMar>
            <w:tcBorders>
              <w:top w:val="single" w:sz="6" w:space="0" w:color="000001" tmln="15, 20, 20, 0, 0"/>
              <w:left w:val="single" w:sz="6" w:space="0" w:color="000001" tmln="15, 20, 20, 0, 0"/>
              <w:bottom w:val="single" w:sz="6" w:space="0" w:color="000001" tmln="15, 20, 20, 0, 0"/>
              <w:right w:val="nil" w:sz="0" w:space="0" w:color="000000" tmln="20, 20, 20, 0, 0"/>
            </w:tcBorders>
            <w:tmTcPr id="1769595792" protected="0"/>
          </w:tcPr>
          <w:p>
            <w:pPr>
              <w:rPr>
                <w:rFonts w:ascii="Arial Narrow" w:hAnsi="Arial Narrow" w:eastAsia="Arial Narrow" w:cs="Arial Narrow"/>
                <w:color w:val="000000" w:themeColor="text1"/>
              </w:rPr>
            </w:pPr>
            <w:r>
              <w:rPr>
                <w:rFonts w:ascii="Arial Narrow" w:hAnsi="Arial Narrow" w:eastAsia="Arial Narrow" w:cs="Arial Narrow"/>
                <w:color w:val="000000" w:themeColor="text1"/>
                <w:lang w:val="en-gb"/>
              </w:rPr>
              <w:t>Synthesis Paper</w:t>
            </w:r>
            <w:r>
              <w:rPr>
                <w:rFonts w:ascii="Arial Narrow" w:hAnsi="Arial Narrow" w:eastAsia="Arial Narrow" w:cs="Arial Narrow"/>
                <w:color w:val="000000" w:themeColor="text1"/>
              </w:rPr>
            </w:r>
          </w:p>
        </w:tc>
        <w:tc>
          <w:tcPr>
            <w:tcW w:w="1751" w:type="dxa"/>
            <w:tcMar>
              <w:left w:w="45" w:type="dxa"/>
              <w:right w:w="105" w:type="dxa"/>
            </w:tcMar>
            <w:tcBorders>
              <w:top w:val="single" w:sz="6" w:space="0" w:color="000001" tmln="15, 20, 20, 0, 0"/>
              <w:left w:val="single" w:sz="6" w:space="0" w:color="000001" tmln="15, 20, 20, 0, 0"/>
              <w:bottom w:val="single" w:sz="6" w:space="0" w:color="000001" tmln="15, 20, 20, 0, 0"/>
              <w:right w:val="nil" w:sz="0" w:space="0" w:color="000000" tmln="20, 20, 20, 0, 0"/>
            </w:tcBorders>
            <w:tmTcPr id="1769595792" protected="0"/>
          </w:tcPr>
          <w:p>
            <w:pPr>
              <w:spacing/>
              <w:jc w:val="center"/>
              <w:rPr>
                <w:rFonts w:ascii="Arial Narrow" w:hAnsi="Arial Narrow" w:eastAsia="Arial Narrow" w:cs="Arial Narrow"/>
                <w:color w:val="000000" w:themeColor="text1"/>
              </w:rPr>
            </w:pPr>
            <w:r>
              <w:rPr>
                <w:rFonts w:ascii="Arial Narrow" w:hAnsi="Arial Narrow" w:eastAsia="Arial Narrow" w:cs="Arial Narrow"/>
                <w:color w:val="000000" w:themeColor="text1"/>
                <w:lang w:val="en-gb"/>
              </w:rPr>
            </w:r>
            <w:commentRangeStart w:id="2"/>
            <w:r>
              <w:rPr>
                <w:rFonts w:ascii="Arial Narrow" w:hAnsi="Arial Narrow" w:eastAsia="Arial Narrow" w:cs="Arial Narrow"/>
                <w:color w:val="000000" w:themeColor="text1"/>
                <w:lang w:val="en-gb"/>
              </w:rPr>
              <w:t>35%</w:t>
            </w:r>
            <w:r>
              <w:rPr>
                <w:rFonts w:ascii="Arial Narrow" w:hAnsi="Arial Narrow" w:eastAsia="Arial Narrow" w:cs="Arial Narrow"/>
                <w:color w:val="000000" w:themeColor="text1"/>
              </w:rPr>
            </w:r>
            <w:commentRangeEnd w:id="2"/>
            <w:r>
              <w:commentReference w:id="2"/>
            </w:r>
          </w:p>
        </w:tc>
        <w:tc>
          <w:tcPr>
            <w:tcW w:w="1754" w:type="dxa"/>
            <w:tcMar>
              <w:left w:w="45" w:type="dxa"/>
              <w:right w:w="105" w:type="dxa"/>
            </w:tcMar>
            <w:tcBorders>
              <w:top w:val="single" w:sz="6" w:space="0" w:color="000001" tmln="15, 20, 20, 0, 0"/>
              <w:left w:val="single" w:sz="6" w:space="0" w:color="000001" tmln="15, 20, 20, 0, 0"/>
              <w:bottom w:val="single" w:sz="6" w:space="0" w:color="000001" tmln="15, 20, 20, 0, 0"/>
              <w:right w:val="single" w:sz="12" w:space="0" w:color="000000" tmln="30, 20, 20, 0, 0"/>
            </w:tcBorders>
            <w:tmTcPr id="1769595792" protected="0"/>
          </w:tcPr>
          <w:p>
            <w:pPr>
              <w:spacing/>
              <w:jc w:val="center"/>
              <w:rPr>
                <w:rFonts w:ascii="Arial Narrow" w:hAnsi="Arial Narrow" w:eastAsia="Arial Narrow" w:cs="Arial Narrow"/>
                <w:color w:val="000000" w:themeColor="text1"/>
              </w:rPr>
            </w:pPr>
            <w:r>
              <w:rPr>
                <w:rFonts w:ascii="Arial Narrow" w:hAnsi="Arial Narrow" w:eastAsia="Arial Narrow" w:cs="Arial Narrow"/>
                <w:color w:val="000000" w:themeColor="text1"/>
                <w:lang w:val="en-gb"/>
              </w:rPr>
              <w:t>15</w:t>
            </w:r>
            <w:r>
              <w:rPr>
                <w:rFonts w:ascii="Arial Narrow" w:hAnsi="Arial Narrow" w:eastAsia="Arial Narrow" w:cs="Arial Narrow"/>
                <w:color w:val="000000" w:themeColor="text1"/>
              </w:rPr>
            </w:r>
          </w:p>
        </w:tc>
      </w:tr>
      <w:tr>
        <w:trPr>
          <w:cantSplit w:val="0"/>
          <w:trHeight w:val="300" w:hRule="atLeast"/>
        </w:trPr>
        <w:tc>
          <w:tcPr>
            <w:tcW w:w="1913" w:type="dxa"/>
            <w:tcMar>
              <w:left w:w="45" w:type="dxa"/>
              <w:right w:w="105" w:type="dxa"/>
            </w:tcMar>
            <w:tcBorders>
              <w:top w:val="single" w:sz="6" w:space="0" w:color="000001" tmln="15, 20, 20, 0, 0"/>
              <w:left w:val="single" w:sz="6" w:space="0" w:color="000001" tmln="15, 20, 20, 0, 0"/>
              <w:bottom w:val="single" w:sz="6" w:space="0" w:color="000001" tmln="15, 20, 20, 0, 0"/>
              <w:right w:val="nil" w:sz="0" w:space="0" w:color="000000" tmln="20, 20, 20, 0, 0"/>
            </w:tcBorders>
            <w:tmTcPr id="1769595792" protected="0"/>
          </w:tcPr>
          <w:p>
            <w:pPr>
              <w:rPr>
                <w:rFonts w:ascii="Arial Narrow" w:hAnsi="Arial Narrow" w:eastAsia="Arial Narrow" w:cs="Arial Narrow"/>
                <w:color w:val="000000" w:themeColor="text1"/>
              </w:rPr>
            </w:pPr>
            <w:r>
              <w:rPr>
                <w:rFonts w:ascii="Arial Narrow" w:hAnsi="Arial Narrow" w:eastAsia="Arial Narrow" w:cs="Arial Narrow"/>
                <w:color w:val="000000" w:themeColor="text1"/>
                <w:lang w:val="fr-fr"/>
              </w:rPr>
              <w:t>Bible Study/Sermon Series and Bible Study/Sermon Manuscript</w:t>
            </w:r>
            <w:r>
              <w:rPr>
                <w:rFonts w:ascii="Arial Narrow" w:hAnsi="Arial Narrow" w:eastAsia="Arial Narrow" w:cs="Arial Narrow"/>
                <w:color w:val="000000" w:themeColor="text1"/>
              </w:rPr>
            </w:r>
          </w:p>
        </w:tc>
        <w:tc>
          <w:tcPr>
            <w:tcW w:w="1751" w:type="dxa"/>
            <w:tcMar>
              <w:left w:w="45" w:type="dxa"/>
              <w:right w:w="105" w:type="dxa"/>
            </w:tcMar>
            <w:tcBorders>
              <w:top w:val="single" w:sz="6" w:space="0" w:color="000001" tmln="15, 20, 20, 0, 0"/>
              <w:left w:val="single" w:sz="6" w:space="0" w:color="000001" tmln="15, 20, 20, 0, 0"/>
              <w:bottom w:val="single" w:sz="6" w:space="0" w:color="000001" tmln="15, 20, 20, 0, 0"/>
              <w:right w:val="nil" w:sz="0" w:space="0" w:color="000000" tmln="20, 20, 20, 0, 0"/>
            </w:tcBorders>
            <w:tmTcPr id="1769595792" protected="0"/>
          </w:tcPr>
          <w:p>
            <w:pPr>
              <w:spacing/>
              <w:jc w:val="center"/>
              <w:rPr>
                <w:rFonts w:ascii="Arial Narrow" w:hAnsi="Arial Narrow" w:eastAsia="Arial Narrow" w:cs="Arial Narrow"/>
                <w:color w:val="000000" w:themeColor="text1"/>
              </w:rPr>
            </w:pPr>
            <w:r>
              <w:rPr>
                <w:rFonts w:ascii="Arial Narrow" w:hAnsi="Arial Narrow" w:eastAsia="Arial Narrow" w:cs="Arial Narrow"/>
                <w:color w:val="000000" w:themeColor="text1"/>
                <w:lang w:val="fr-fr"/>
              </w:rPr>
              <w:t xml:space="preserve">20% </w:t>
            </w:r>
            <w:r>
              <w:rPr>
                <w:rFonts w:ascii="Arial Narrow" w:hAnsi="Arial Narrow" w:eastAsia="Arial Narrow" w:cs="Arial Narrow"/>
                <w:color w:val="000000" w:themeColor="text1"/>
              </w:rPr>
            </w:r>
          </w:p>
        </w:tc>
        <w:tc>
          <w:tcPr>
            <w:tcW w:w="1754" w:type="dxa"/>
            <w:tcMar>
              <w:left w:w="45" w:type="dxa"/>
              <w:right w:w="105" w:type="dxa"/>
            </w:tcMar>
            <w:tcBorders>
              <w:top w:val="single" w:sz="6" w:space="0" w:color="000001" tmln="15, 20, 20, 0, 0"/>
              <w:left w:val="single" w:sz="6" w:space="0" w:color="000001" tmln="15, 20, 20, 0, 0"/>
              <w:bottom w:val="single" w:sz="6" w:space="0" w:color="000001" tmln="15, 20, 20, 0, 0"/>
              <w:right w:val="single" w:sz="12" w:space="0" w:color="000000" tmln="30, 20, 20, 0, 0"/>
            </w:tcBorders>
            <w:tmTcPr id="1769595792" protected="0"/>
          </w:tcPr>
          <w:p>
            <w:pPr>
              <w:spacing/>
              <w:jc w:val="center"/>
              <w:rPr>
                <w:rFonts w:ascii="Arial Narrow" w:hAnsi="Arial Narrow" w:eastAsia="Arial Narrow" w:cs="Arial Narrow"/>
                <w:color w:val="000000" w:themeColor="text1"/>
              </w:rPr>
            </w:pPr>
            <w:r>
              <w:rPr>
                <w:rFonts w:ascii="Arial Narrow" w:hAnsi="Arial Narrow" w:eastAsia="Arial Narrow" w:cs="Arial Narrow"/>
                <w:color w:val="000000" w:themeColor="text1"/>
                <w:lang w:val="fr-fr"/>
              </w:rPr>
              <w:t>15</w:t>
            </w:r>
            <w:r>
              <w:rPr>
                <w:rFonts w:ascii="Arial Narrow" w:hAnsi="Arial Narrow" w:eastAsia="Arial Narrow" w:cs="Arial Narrow"/>
                <w:color w:val="000000" w:themeColor="text1"/>
              </w:rPr>
            </w:r>
          </w:p>
        </w:tc>
      </w:tr>
      <w:tr>
        <w:trPr>
          <w:cantSplit w:val="0"/>
          <w:trHeight w:val="300" w:hRule="atLeast"/>
        </w:trPr>
        <w:tc>
          <w:tcPr>
            <w:tcW w:w="1913" w:type="dxa"/>
            <w:tcMar>
              <w:left w:w="45" w:type="dxa"/>
              <w:right w:w="105" w:type="dxa"/>
            </w:tcMar>
            <w:tcBorders>
              <w:top w:val="single" w:sz="6" w:space="0" w:color="000001" tmln="15, 20, 20, 0, 0"/>
              <w:left w:val="single" w:sz="6" w:space="0" w:color="000001" tmln="15, 20, 20, 0, 0"/>
              <w:bottom w:val="single" w:sz="6" w:space="0" w:color="000001" tmln="15, 20, 20, 0, 0"/>
              <w:right w:val="nil" w:sz="0" w:space="0" w:color="000000" tmln="20, 20, 20, 0, 0"/>
            </w:tcBorders>
            <w:tmTcPr id="1769595792" protected="0"/>
          </w:tcPr>
          <w:p>
            <w:pPr>
              <w:rPr>
                <w:rFonts w:ascii="Arial Narrow" w:hAnsi="Arial Narrow" w:eastAsia="Arial Narrow" w:cs="Arial Narrow"/>
                <w:color w:val="000000" w:themeColor="text1"/>
              </w:rPr>
            </w:pPr>
            <w:r>
              <w:rPr>
                <w:rFonts w:ascii="Arial Narrow" w:hAnsi="Arial Narrow" w:eastAsia="Arial Narrow" w:cs="Arial Narrow"/>
                <w:color w:val="000000" w:themeColor="text1"/>
                <w:lang w:val="fr-fr"/>
              </w:rPr>
              <w:t>Examination</w:t>
            </w:r>
            <w:r>
              <w:rPr>
                <w:rFonts w:ascii="Arial Narrow" w:hAnsi="Arial Narrow" w:eastAsia="Arial Narrow" w:cs="Arial Narrow"/>
                <w:color w:val="000000" w:themeColor="text1"/>
              </w:rPr>
            </w:r>
          </w:p>
        </w:tc>
        <w:tc>
          <w:tcPr>
            <w:tcW w:w="1751" w:type="dxa"/>
            <w:tcMar>
              <w:left w:w="45" w:type="dxa"/>
              <w:right w:w="105" w:type="dxa"/>
            </w:tcMar>
            <w:tcBorders>
              <w:top w:val="single" w:sz="6" w:space="0" w:color="000001" tmln="15, 20, 20, 0, 0"/>
              <w:left w:val="single" w:sz="6" w:space="0" w:color="000001" tmln="15, 20, 20, 0, 0"/>
              <w:bottom w:val="single" w:sz="6" w:space="0" w:color="000001" tmln="15, 20, 20, 0, 0"/>
              <w:right w:val="nil" w:sz="0" w:space="0" w:color="000000" tmln="20, 20, 20, 0, 0"/>
            </w:tcBorders>
            <w:tmTcPr id="1769595792" protected="0"/>
          </w:tcPr>
          <w:p>
            <w:pPr>
              <w:spacing/>
              <w:jc w:val="center"/>
              <w:rPr>
                <w:rFonts w:ascii="Arial Narrow" w:hAnsi="Arial Narrow" w:eastAsia="Arial Narrow" w:cs="Arial Narrow"/>
                <w:color w:val="000000" w:themeColor="text1"/>
              </w:rPr>
            </w:pPr>
            <w:r>
              <w:rPr>
                <w:rFonts w:ascii="Arial Narrow" w:hAnsi="Arial Narrow" w:eastAsia="Arial Narrow" w:cs="Arial Narrow"/>
                <w:color w:val="000000" w:themeColor="text1"/>
              </w:rPr>
              <w:t>5%</w:t>
            </w:r>
          </w:p>
        </w:tc>
        <w:tc>
          <w:tcPr>
            <w:tcW w:w="1754" w:type="dxa"/>
            <w:tcMar>
              <w:left w:w="45" w:type="dxa"/>
              <w:right w:w="105" w:type="dxa"/>
            </w:tcMar>
            <w:tcBorders>
              <w:top w:val="single" w:sz="6" w:space="0" w:color="000001" tmln="15, 20, 20, 0, 0"/>
              <w:left w:val="single" w:sz="6" w:space="0" w:color="000001" tmln="15, 20, 20, 0, 0"/>
              <w:bottom w:val="single" w:sz="6" w:space="0" w:color="000001" tmln="15, 20, 20, 0, 0"/>
              <w:right w:val="single" w:sz="12" w:space="0" w:color="000000" tmln="30, 20, 20, 0, 0"/>
            </w:tcBorders>
            <w:tmTcPr id="1769595792" protected="0"/>
          </w:tcPr>
          <w:p>
            <w:pPr>
              <w:spacing/>
              <w:jc w:val="center"/>
              <w:rPr>
                <w:rFonts w:ascii="Arial Narrow" w:hAnsi="Arial Narrow" w:eastAsia="Arial Narrow" w:cs="Arial Narrow"/>
                <w:color w:val="000000" w:themeColor="text1"/>
              </w:rPr>
            </w:pPr>
            <w:commentRangeStart w:id="4"/>
            <w:r>
              <w:rPr>
                <w:rFonts w:ascii="Arial Narrow" w:hAnsi="Arial Narrow" w:eastAsia="Arial Narrow" w:cs="Arial Narrow"/>
                <w:color w:val="000000" w:themeColor="text1"/>
              </w:rPr>
              <w:t>3</w:t>
            </w:r>
            <w:r>
              <w:rPr>
                <w:rFonts w:ascii="Arial Narrow" w:hAnsi="Arial Narrow" w:eastAsia="Arial Narrow" w:cs="Arial Narrow"/>
                <w:color w:val="000000" w:themeColor="text1"/>
              </w:rPr>
            </w:r>
            <w:commentRangeEnd w:id="4"/>
            <w:r>
              <w:commentReference w:id="4"/>
            </w:r>
          </w:p>
        </w:tc>
      </w:tr>
      <w:tr>
        <w:trPr>
          <w:cantSplit w:val="0"/>
          <w:trHeight w:val="300" w:hRule="atLeast"/>
        </w:trPr>
        <w:tc>
          <w:tcPr>
            <w:tcW w:w="1913" w:type="dxa"/>
            <w:tcMar>
              <w:left w:w="45" w:type="dxa"/>
              <w:right w:w="105" w:type="dxa"/>
            </w:tcMar>
            <w:tcBorders>
              <w:top w:val="single" w:sz="6" w:space="0" w:color="000001" tmln="15, 20, 20, 0, 0"/>
              <w:left w:val="single" w:sz="6" w:space="0" w:color="000001" tmln="15, 20, 20, 0, 0"/>
              <w:bottom w:val="single" w:sz="6" w:space="0" w:color="000001" tmln="15, 20, 20, 0, 0"/>
              <w:right w:val="nil" w:sz="0" w:space="0" w:color="000000" tmln="20, 20, 20, 0, 0"/>
            </w:tcBorders>
            <w:tmTcPr id="1769595792" protected="0"/>
          </w:tcPr>
          <w:p>
            <w:pPr>
              <w:rPr>
                <w:rFonts w:ascii="Arial Narrow" w:hAnsi="Arial Narrow" w:eastAsia="Arial Narrow" w:cs="Arial Narrow"/>
                <w:color w:val="1F417D"/>
                <w:lang w:val="en-gb"/>
              </w:rPr>
            </w:pPr>
            <w:r>
              <w:rPr>
                <w:rFonts w:ascii="Arial Narrow" w:hAnsi="Arial Narrow" w:eastAsia="Arial Narrow" w:cs="Arial Narrow"/>
                <w:color w:val="1F417D"/>
                <w:lang w:val="en-gb"/>
              </w:rPr>
            </w:r>
          </w:p>
        </w:tc>
        <w:tc>
          <w:tcPr>
            <w:tcW w:w="1751" w:type="dxa"/>
            <w:tcMar>
              <w:left w:w="45" w:type="dxa"/>
              <w:right w:w="105" w:type="dxa"/>
            </w:tcMar>
            <w:tcBorders>
              <w:top w:val="single" w:sz="6" w:space="0" w:color="000001" tmln="15, 20, 20, 0, 0"/>
              <w:left w:val="single" w:sz="6" w:space="0" w:color="000001" tmln="15, 20, 20, 0, 0"/>
              <w:bottom w:val="single" w:sz="6" w:space="0" w:color="000001" tmln="15, 20, 20, 0, 0"/>
              <w:right w:val="nil" w:sz="0" w:space="0" w:color="000000" tmln="20, 20, 20, 0, 0"/>
            </w:tcBorders>
            <w:tmTcPr id="1769595792" protected="0"/>
          </w:tcPr>
          <w:p>
            <w:pPr>
              <w:spacing/>
              <w:jc w:val="center"/>
              <w:rPr>
                <w:rFonts w:ascii="Arial Narrow" w:hAnsi="Arial Narrow" w:eastAsia="Arial Narrow" w:cs="Arial Narrow"/>
                <w:color w:val="1F417D"/>
              </w:rPr>
            </w:pPr>
            <w:r>
              <w:rPr>
                <w:rFonts w:ascii="Arial Narrow" w:hAnsi="Arial Narrow" w:eastAsia="Arial Narrow" w:cs="Arial Narrow"/>
                <w:color w:val="1F417D"/>
              </w:rPr>
            </w:r>
          </w:p>
        </w:tc>
        <w:tc>
          <w:tcPr>
            <w:tcW w:w="1754" w:type="dxa"/>
            <w:tcMar>
              <w:left w:w="45" w:type="dxa"/>
              <w:right w:w="105" w:type="dxa"/>
            </w:tcMar>
            <w:tcBorders>
              <w:top w:val="single" w:sz="6" w:space="0" w:color="000001" tmln="15, 20, 20, 0, 0"/>
              <w:left w:val="single" w:sz="6" w:space="0" w:color="000001" tmln="15, 20, 20, 0, 0"/>
              <w:bottom w:val="single" w:sz="6" w:space="0" w:color="000001" tmln="15, 20, 20, 0, 0"/>
              <w:right w:val="single" w:sz="12" w:space="0" w:color="000000" tmln="30, 20, 20, 0, 0"/>
            </w:tcBorders>
            <w:tmTcPr id="1769595792" protected="0"/>
          </w:tcPr>
          <w:p>
            <w:pPr>
              <w:spacing/>
              <w:jc w:val="center"/>
              <w:rPr>
                <w:rFonts w:ascii="Arial Narrow" w:hAnsi="Arial Narrow" w:eastAsia="Arial Narrow" w:cs="Arial Narrow"/>
                <w:color w:val="1F417D"/>
              </w:rPr>
            </w:pPr>
            <w:r>
              <w:rPr>
                <w:rFonts w:ascii="Arial Narrow" w:hAnsi="Arial Narrow" w:eastAsia="Arial Narrow" w:cs="Arial Narrow"/>
                <w:color w:val="1F417D"/>
              </w:rPr>
            </w:r>
          </w:p>
        </w:tc>
      </w:tr>
      <w:tr>
        <w:trPr>
          <w:cantSplit w:val="0"/>
          <w:trHeight w:val="300" w:hRule="atLeast"/>
        </w:trPr>
        <w:tc>
          <w:tcPr>
            <w:tcW w:w="1913" w:type="dxa"/>
            <w:tcMar>
              <w:left w:w="45" w:type="dxa"/>
              <w:right w:w="105" w:type="dxa"/>
            </w:tcMar>
            <w:tcBorders>
              <w:top w:val="single" w:sz="6" w:space="0" w:color="000001" tmln="15, 20, 20, 0, 0"/>
              <w:left w:val="single" w:sz="6" w:space="0" w:color="000001" tmln="15, 20, 20, 0, 0"/>
              <w:bottom w:val="single" w:sz="6" w:space="0" w:color="000001" tmln="15, 20, 20, 0, 0"/>
              <w:right w:val="nil" w:sz="0" w:space="0" w:color="000000" tmln="20, 20, 20, 0, 0"/>
            </w:tcBorders>
            <w:tmTcPr id="1769595792" protected="0"/>
          </w:tcPr>
          <w:p>
            <w:pPr>
              <w:rPr>
                <w:rFonts w:ascii="Arial Narrow" w:hAnsi="Arial Narrow" w:eastAsia="Arial Narrow" w:cs="Arial Narrow"/>
                <w:color w:val="000000" w:themeColor="text1"/>
              </w:rPr>
            </w:pPr>
            <w:r>
              <w:rPr>
                <w:rFonts w:ascii="Arial Narrow" w:hAnsi="Arial Narrow" w:eastAsia="Arial Narrow" w:cs="Arial Narrow"/>
                <w:color w:val="000000" w:themeColor="text1"/>
                <w:lang w:val="fr-fr"/>
              </w:rPr>
              <w:t xml:space="preserve"> </w:t>
            </w:r>
            <w:r>
              <w:rPr>
                <w:rFonts w:ascii="Arial Narrow" w:hAnsi="Arial Narrow" w:eastAsia="Arial Narrow" w:cs="Arial Narrow"/>
                <w:color w:val="000000" w:themeColor="text1"/>
              </w:rPr>
            </w:r>
          </w:p>
        </w:tc>
        <w:tc>
          <w:tcPr>
            <w:tcW w:w="1751" w:type="dxa"/>
            <w:tcMar>
              <w:left w:w="45" w:type="dxa"/>
              <w:right w:w="105" w:type="dxa"/>
            </w:tcMar>
            <w:tcBorders>
              <w:top w:val="single" w:sz="6" w:space="0" w:color="000001" tmln="15, 20, 20, 0, 0"/>
              <w:left w:val="single" w:sz="6" w:space="0" w:color="000001" tmln="15, 20, 20, 0, 0"/>
              <w:bottom w:val="single" w:sz="6" w:space="0" w:color="000001" tmln="15, 20, 20, 0, 0"/>
              <w:right w:val="nil" w:sz="0" w:space="0" w:color="000000" tmln="20, 20, 20, 0, 0"/>
            </w:tcBorders>
            <w:tmTcPr id="1769595792" protected="0"/>
          </w:tcPr>
          <w:p>
            <w:pPr>
              <w:spacing/>
              <w:jc w:val="center"/>
              <w:rPr>
                <w:rFonts w:ascii="Arial Narrow" w:hAnsi="Arial Narrow" w:eastAsia="Arial Narrow" w:cs="Arial Narrow"/>
                <w:color w:val="000000" w:themeColor="text1"/>
              </w:rPr>
            </w:pPr>
            <w:r>
              <w:rPr>
                <w:rFonts w:ascii="Arial Narrow" w:hAnsi="Arial Narrow" w:eastAsia="Arial Narrow" w:cs="Arial Narrow"/>
                <w:color w:val="000000" w:themeColor="text1"/>
                <w:lang w:val="fr-fr"/>
              </w:rPr>
              <w:t>100%</w:t>
            </w:r>
            <w:r>
              <w:rPr>
                <w:rFonts w:ascii="Arial Narrow" w:hAnsi="Arial Narrow" w:eastAsia="Arial Narrow" w:cs="Arial Narrow"/>
                <w:color w:val="000000" w:themeColor="text1"/>
              </w:rPr>
            </w:r>
          </w:p>
        </w:tc>
        <w:tc>
          <w:tcPr>
            <w:tcW w:w="1754" w:type="dxa"/>
            <w:tcMar>
              <w:left w:w="45" w:type="dxa"/>
              <w:right w:w="105" w:type="dxa"/>
            </w:tcMar>
            <w:tcBorders>
              <w:top w:val="single" w:sz="6" w:space="0" w:color="000001" tmln="15, 20, 20, 0, 0"/>
              <w:left w:val="single" w:sz="6" w:space="0" w:color="000001" tmln="15, 20, 20, 0, 0"/>
              <w:bottom w:val="single" w:sz="6" w:space="0" w:color="000001" tmln="15, 20, 20, 0, 0"/>
              <w:right w:val="single" w:sz="12" w:space="0" w:color="000000" tmln="30, 20, 20, 0, 0"/>
            </w:tcBorders>
            <w:tmTcPr id="1769595792" protected="0"/>
          </w:tcPr>
          <w:p>
            <w:pPr>
              <w:spacing/>
              <w:jc w:val="center"/>
              <w:rPr>
                <w:rFonts w:ascii="Arial Narrow" w:hAnsi="Arial Narrow" w:eastAsia="Arial Narrow" w:cs="Arial Narrow"/>
                <w:color w:val="000000" w:themeColor="text1"/>
              </w:rPr>
            </w:pPr>
            <w:r>
              <w:rPr>
                <w:rFonts w:ascii="Arial Narrow" w:hAnsi="Arial Narrow" w:eastAsia="Arial Narrow" w:cs="Arial Narrow"/>
                <w:color w:val="000000" w:themeColor="text1"/>
                <w:lang w:val="fr-fr"/>
              </w:rPr>
              <w:t>90 hours of study</w:t>
            </w:r>
            <w:r>
              <w:rPr>
                <w:rFonts w:ascii="Arial Narrow" w:hAnsi="Arial Narrow" w:eastAsia="Arial Narrow" w:cs="Arial Narrow"/>
                <w:color w:val="000000" w:themeColor="text1"/>
              </w:rPr>
            </w:r>
          </w:p>
        </w:tc>
      </w:tr>
    </w:tbl>
    <w:p>
      <w:pPr>
        <w:rPr>
          <w:rFonts w:ascii="Arial Narrow" w:hAnsi="Arial Narrow" w:eastAsia="Arial Narrow" w:cs="Arial Narrow"/>
          <w:color w:val="000000" w:themeColor="text1"/>
        </w:rPr>
      </w:pPr>
      <w:r>
        <w:rPr>
          <w:rFonts w:ascii="Arial Narrow" w:hAnsi="Arial Narrow" w:eastAsia="Arial Narrow" w:cs="Arial Narrow"/>
          <w:color w:val="000000" w:themeColor="text1"/>
        </w:rPr>
      </w:r>
    </w:p>
    <w:p>
      <w:pPr>
        <w:rPr>
          <w:rFonts w:ascii="Arial Narrow" w:hAnsi="Arial Narrow" w:eastAsia="Arial Narrow" w:cs="Arial Narrow"/>
          <w:color w:val="000000" w:themeColor="text1"/>
        </w:rPr>
      </w:pPr>
      <w:r>
        <w:rPr>
          <w:rFonts w:ascii="Arial Narrow" w:hAnsi="Arial Narrow" w:eastAsia="Arial Narrow" w:cs="Arial Narrow"/>
          <w:b/>
          <w:bCs/>
          <w:color w:val="000000" w:themeColor="text1"/>
          <w:lang w:val="en-gb"/>
        </w:rPr>
        <w:t>Textbook(s)</w:t>
      </w:r>
      <w:r>
        <w:rPr>
          <w:rFonts w:ascii="Arial Narrow" w:hAnsi="Arial Narrow" w:eastAsia="Arial Narrow" w:cs="Arial Narrow"/>
          <w:color w:val="000000" w:themeColor="text1"/>
        </w:rPr>
      </w:r>
    </w:p>
    <w:p>
      <w:pPr>
        <w:pStyle w:val="para2"/>
        <w:rPr>
          <w:rFonts w:eastAsia="Arial Narrow" w:cs="Arial Narrow"/>
          <w:color w:val="000000" w:themeColor="text1"/>
          <w:lang w:val="en-us"/>
        </w:rPr>
      </w:pPr>
      <w:r>
        <w:rPr>
          <w:rFonts w:eastAsia="Arial Narrow" w:cs="Arial Narrow"/>
          <w:i/>
          <w:iCs/>
          <w:color w:val="000000" w:themeColor="text1"/>
        </w:rPr>
        <w:t>The Holy Bible</w:t>
      </w:r>
      <w:r>
        <w:rPr>
          <w:rFonts w:eastAsia="Arial Narrow" w:cs="Arial Narrow"/>
          <w:color w:val="000000" w:themeColor="text1"/>
        </w:rPr>
        <w:t>, New International Version. Grand Rapids: Zondervan House, 1984. Print.</w:t>
      </w:r>
      <w:r>
        <w:rPr>
          <w:rFonts w:eastAsia="Arial Narrow" w:cs="Arial Narrow"/>
          <w:color w:val="000000" w:themeColor="text1"/>
          <w:lang w:val="en-us"/>
        </w:rPr>
        <w:t xml:space="preserve"> </w:t>
      </w:r>
    </w:p>
    <w:p>
      <w:pPr>
        <w:rPr>
          <w:rFonts w:ascii="Arial Narrow" w:hAnsi="Arial Narrow" w:eastAsia="Arial Narrow" w:cs="Arial Narrow"/>
          <w:color w:val="000000" w:themeColor="text1"/>
        </w:rPr>
      </w:pPr>
      <w:r>
        <w:rPr>
          <w:rFonts w:ascii="Arial Narrow" w:hAnsi="Arial Narrow" w:eastAsia="Arial Narrow" w:cs="Arial Narrow"/>
          <w:color w:val="000000" w:themeColor="text1"/>
          <w:lang w:val="en-gb"/>
        </w:rPr>
      </w:r>
      <w:commentRangeStart w:id="6"/>
      <w:commentRangeStart w:id="7"/>
      <w:r>
        <w:rPr>
          <w:rFonts w:ascii="Arial Narrow" w:hAnsi="Arial Narrow" w:eastAsia="Arial Narrow" w:cs="Arial Narrow"/>
          <w:color w:val="000000" w:themeColor="text1"/>
          <w:lang w:val="en-gb"/>
        </w:rPr>
        <w:t xml:space="preserve">Victor Hamilton, </w:t>
      </w:r>
      <w:r>
        <w:rPr>
          <w:rFonts w:ascii="Arial Narrow" w:hAnsi="Arial Narrow" w:eastAsia="Arial Narrow" w:cs="Arial Narrow"/>
          <w:i/>
          <w:iCs/>
          <w:color w:val="000000" w:themeColor="text1"/>
          <w:lang w:val="en-gb"/>
        </w:rPr>
        <w:t>Handbook on the Pentateuch</w:t>
      </w:r>
      <w:r>
        <w:rPr>
          <w:rFonts w:ascii="Arial Narrow" w:hAnsi="Arial Narrow" w:eastAsia="Arial Narrow" w:cs="Arial Narrow"/>
          <w:color w:val="000000" w:themeColor="text1"/>
          <w:lang w:val="en-gb"/>
        </w:rPr>
        <w:t xml:space="preserve">. Grand Rapids: Baker, 2005. [Netherlands, Overdrive: 222.1061 H221] </w:t>
      </w:r>
      <w:r>
        <w:rPr>
          <w:rFonts w:ascii="Arial Narrow" w:hAnsi="Arial Narrow" w:eastAsia="Arial Narrow" w:cs="Arial Narrow"/>
          <w:color w:val="000000" w:themeColor="text1"/>
        </w:rPr>
      </w:r>
      <w:commentRangeEnd w:id="6"/>
      <w:commentRangeEnd w:id="7"/>
      <w:r>
        <w:commentReference w:id="6"/>
        <w:commentReference w:id="7"/>
      </w:r>
    </w:p>
    <w:p>
      <w:pPr>
        <w:rPr>
          <w:rFonts w:ascii="Arial Narrow" w:hAnsi="Arial Narrow" w:eastAsia="Arial Narrow" w:cs="Arial Narrow"/>
          <w:color w:val="000000" w:themeColor="text1"/>
        </w:rPr>
      </w:pPr>
      <w:r>
        <w:rPr>
          <w:rFonts w:ascii="Arial Narrow" w:hAnsi="Arial Narrow" w:eastAsia="Arial Narrow" w:cs="Arial Narrow"/>
          <w:b/>
          <w:bCs/>
          <w:color w:val="000000" w:themeColor="text1"/>
          <w:lang w:val="en-gb"/>
        </w:rPr>
        <w:t>Additional Resources</w:t>
      </w:r>
      <w:r>
        <w:rPr>
          <w:rFonts w:ascii="Arial Narrow" w:hAnsi="Arial Narrow" w:eastAsia="Arial Narrow" w:cs="Arial Narrow"/>
          <w:color w:val="000000" w:themeColor="text1"/>
        </w:rPr>
      </w:r>
    </w:p>
    <w:p>
      <w:pPr>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t xml:space="preserve">Alexander, T. Desmond. </w:t>
      </w:r>
      <w:r>
        <w:rPr>
          <w:rFonts w:ascii="Times New Roman" w:hAnsi="Times New Roman" w:eastAsia="Times New Roman" w:cs="Times New Roman"/>
          <w:i/>
          <w:iCs/>
          <w:color w:val="000000" w:themeColor="text1"/>
          <w:lang w:val="en-gb"/>
        </w:rPr>
        <w:t>From paradise to the promised land: An introduction to the Pentateuch.</w:t>
      </w:r>
      <w:r>
        <w:rPr>
          <w:rFonts w:ascii="Times New Roman" w:hAnsi="Times New Roman" w:eastAsia="Times New Roman" w:cs="Times New Roman"/>
          <w:color w:val="000000" w:themeColor="text1"/>
          <w:lang w:val="en-gb"/>
        </w:rPr>
        <w:t xml:space="preserve"> Grand Rapids, MI: Baker, 2002. [Overdrive, Netherlands: 222.1061 A378] </w:t>
      </w:r>
    </w:p>
    <w:p>
      <w:pPr>
        <w:spacing w:after="0"/>
      </w:pPr>
      <w:r>
        <w:rPr>
          <w:rFonts w:ascii="Times New Roman" w:hAnsi="Times New Roman" w:eastAsia="Times New Roman" w:cs="Times New Roman"/>
          <w:color w:val="000000" w:themeColor="text1"/>
          <w:lang w:val="en-gb"/>
        </w:rPr>
        <w:t>Barton, John, and John Muddiman, eds. The Pentateuch. Oxford: University Press, 2001. Print. Oxford Bible Commentary.</w:t>
      </w:r>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r>
    </w:p>
    <w:p>
      <w:pPr>
        <w:spacing w:after="0"/>
      </w:pPr>
      <w:r>
        <w:rPr>
          <w:rFonts w:ascii="Times New Roman" w:hAnsi="Times New Roman" w:eastAsia="Times New Roman" w:cs="Times New Roman"/>
          <w:color w:val="000000" w:themeColor="text1"/>
          <w:lang w:val="en-gb"/>
        </w:rPr>
        <w:t>Blenkinsopp, J. The Pentateuch: An Introduction to the First Five Books of the Bible. New York: Doubleday, 1992. Print.</w:t>
      </w:r>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r>
    </w:p>
    <w:p>
      <w:pPr>
        <w:spacing w:after="0"/>
      </w:pPr>
      <w:r>
        <w:rPr>
          <w:rFonts w:ascii="Times New Roman" w:hAnsi="Times New Roman" w:eastAsia="Times New Roman" w:cs="Times New Roman"/>
          <w:color w:val="000000" w:themeColor="text1"/>
          <w:lang w:val="en-gb"/>
        </w:rPr>
        <w:t>Campbell, Antony F. and Mark A. O'Brien. Sources of the Pentateuch: Texts, Introductions, Annotations Minneapolis: Fortress Press, 1993. Print.</w:t>
      </w:r>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r>
    </w:p>
    <w:p>
      <w:pPr>
        <w:spacing w:after="0"/>
      </w:pPr>
      <w:r>
        <w:rPr>
          <w:rFonts w:ascii="Times New Roman" w:hAnsi="Times New Roman" w:eastAsia="Times New Roman" w:cs="Times New Roman"/>
          <w:color w:val="000000" w:themeColor="text1"/>
          <w:lang w:val="en-gb"/>
        </w:rPr>
        <w:t>Clines, D.J.A. The Theme of the Pentateuch. Sheffield: JSOT Press, 1978. Print.</w:t>
      </w:r>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r>
    </w:p>
    <w:p>
      <w:pPr>
        <w:spacing w:after="0"/>
      </w:pPr>
      <w:r>
        <w:rPr>
          <w:rFonts w:ascii="Times New Roman" w:hAnsi="Times New Roman" w:eastAsia="Times New Roman" w:cs="Times New Roman"/>
          <w:color w:val="000000" w:themeColor="text1"/>
          <w:lang w:val="en-gb"/>
        </w:rPr>
        <w:t>De Vries, S.J. "A Review of Recent Research in the Tradition History of the Pentateuch." Society of Biblical Literature 1987 Seminar Papers, ed. Kent H. Richards, 459-502. Atlanta: Scholars Press, 1987. Print.</w:t>
      </w:r>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t>Fretheim, Terrance. The Pentateuch. Nashville: Abingdon, 1996 [Proquest: 222.106 F888]</w:t>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t xml:space="preserve">Kaminsky, Joel S., and Joel N. Lohr. The Torah. A Beginner's Guide. [Overdrive: 222.1061 L833] </w:t>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r>
    </w:p>
    <w:p>
      <w:pPr>
        <w:spacing w:after="0"/>
      </w:pPr>
      <w:r>
        <w:rPr>
          <w:rFonts w:ascii="Times New Roman" w:hAnsi="Times New Roman" w:eastAsia="Times New Roman" w:cs="Times New Roman"/>
          <w:color w:val="000000" w:themeColor="text1"/>
          <w:lang w:val="en-gb"/>
        </w:rPr>
        <w:t>King, Thomas J. Realignment of the Priestly Literature: The Priestly Narrative in Genesis and Its Relation to Priestly Legislation and the Holiness School. Wipf &amp; Stock, 2009. ISBN: 9781556356124</w:t>
      </w:r>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r>
    </w:p>
    <w:p>
      <w:pPr>
        <w:spacing w:after="0"/>
      </w:pPr>
      <w:r>
        <w:rPr>
          <w:rFonts w:ascii="Times New Roman" w:hAnsi="Times New Roman" w:eastAsia="Times New Roman" w:cs="Times New Roman"/>
          <w:color w:val="000000" w:themeColor="text1"/>
          <w:lang w:val="en-gb"/>
        </w:rPr>
        <w:t>Levine, Baruch A. Leviticus. Philadelphia: Jewish Publication Society, 1989. Print. JPS Torah Commentary.</w:t>
      </w:r>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r>
    </w:p>
    <w:p>
      <w:pPr>
        <w:spacing w:after="0"/>
      </w:pPr>
      <w:r>
        <w:rPr>
          <w:rFonts w:ascii="Times New Roman" w:hAnsi="Times New Roman" w:eastAsia="Times New Roman" w:cs="Times New Roman"/>
          <w:color w:val="000000" w:themeColor="text1"/>
          <w:lang w:val="en-gb"/>
        </w:rPr>
        <w:t>Lohfink, Norbert. Theology of the Pentateuch: Themes of the Priestly Narrative and Deuteronomy. Translated by Linda M. Maloney. Minneapolis: Fortress Press, 1994. Print.</w:t>
      </w:r>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r>
    </w:p>
    <w:p>
      <w:pPr>
        <w:spacing w:after="0"/>
      </w:pPr>
      <w:r>
        <w:rPr>
          <w:rFonts w:ascii="Times New Roman" w:hAnsi="Times New Roman" w:eastAsia="Times New Roman" w:cs="Times New Roman"/>
          <w:color w:val="000000" w:themeColor="text1"/>
          <w:lang w:val="en-gb"/>
        </w:rPr>
        <w:t>McEvenue, Sean. Interpreting the Pentateuch. Collegeville: Liturgical Press, 1990. Print.</w:t>
      </w:r>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r>
    </w:p>
    <w:p>
      <w:pPr>
        <w:spacing w:after="0"/>
      </w:pPr>
      <w:r>
        <w:rPr>
          <w:rFonts w:ascii="Times New Roman" w:hAnsi="Times New Roman" w:eastAsia="Times New Roman" w:cs="Times New Roman"/>
          <w:color w:val="000000" w:themeColor="text1"/>
          <w:lang w:val="en-gb"/>
        </w:rPr>
        <w:t>Milgrom, Jacob. Leviticus 1-16: A New Translation with Introduction and Commentary. New York: Doubleday, 1991. Print. Anchor Bible 3.</w:t>
      </w:r>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r>
    </w:p>
    <w:p>
      <w:pPr>
        <w:spacing w:after="0"/>
      </w:pPr>
      <w:r>
        <w:rPr>
          <w:rFonts w:ascii="Times New Roman" w:hAnsi="Times New Roman" w:eastAsia="Times New Roman" w:cs="Times New Roman"/>
          <w:color w:val="000000" w:themeColor="text1"/>
          <w:lang w:val="en-gb"/>
        </w:rPr>
        <w:t>Milgrom, Jacob. Leviticus 17-22: A New Translation with Introduction and Commentary. New York: Doubleday, 2000. Print. Anchor Bible 3A.</w:t>
      </w:r>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r>
    </w:p>
    <w:p>
      <w:pPr>
        <w:spacing w:after="0"/>
      </w:pPr>
      <w:r>
        <w:rPr>
          <w:rFonts w:ascii="Times New Roman" w:hAnsi="Times New Roman" w:eastAsia="Times New Roman" w:cs="Times New Roman"/>
          <w:color w:val="000000" w:themeColor="text1"/>
          <w:lang w:val="en-gb"/>
        </w:rPr>
        <w:t>Milgrom, Jacob. Leviticus 23-27: A New Translation with Introduction and Commentary. New York: Doubleday, 2001. Print. Anchor Bible 3B.</w:t>
      </w:r>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r>
    </w:p>
    <w:p>
      <w:pPr>
        <w:spacing w:after="0"/>
      </w:pPr>
      <w:r>
        <w:rPr>
          <w:rFonts w:ascii="Times New Roman" w:hAnsi="Times New Roman" w:eastAsia="Times New Roman" w:cs="Times New Roman"/>
          <w:color w:val="000000" w:themeColor="text1"/>
          <w:lang w:val="en-gb"/>
        </w:rPr>
        <w:t>Noth, Martin. A History of Pentateuchal Traditions. Translated by Bernhard W. Anderson. Englewood Cliffs: Prentice-Hall, 1972. Print.</w:t>
      </w:r>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r>
    </w:p>
    <w:p>
      <w:pPr>
        <w:spacing w:after="0"/>
      </w:pPr>
      <w:r>
        <w:rPr>
          <w:rFonts w:ascii="Times New Roman" w:hAnsi="Times New Roman" w:eastAsia="Times New Roman" w:cs="Times New Roman"/>
          <w:color w:val="000000" w:themeColor="text1"/>
          <w:lang w:val="en-gb"/>
        </w:rPr>
        <w:t>Rad, Gerhard von. Genesis. Rev. ed. Philadelphia: Westminster Press, 1972. Print. Old Testament Library.</w:t>
      </w:r>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t xml:space="preserve">Sailhamer, John H. The pentateuch as narrative: a biblical-theological commentary. Grand Rapids, MI: Zondervan, 1992. [Overdrive, Albania: 222.107 S132] </w:t>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r>
    </w:p>
    <w:p>
      <w:pPr>
        <w:spacing w:after="0"/>
      </w:pPr>
      <w:r>
        <w:rPr>
          <w:rFonts w:ascii="Times New Roman" w:hAnsi="Times New Roman" w:eastAsia="Times New Roman" w:cs="Times New Roman"/>
          <w:color w:val="000000" w:themeColor="text1"/>
          <w:lang w:val="en-gb"/>
        </w:rPr>
        <w:t>Schnittjer, Gary E. The Torah Story: An Apprenticeship on the Pentateuch. Grand Rapids, MI: Zondervan, 2006. [Overdrive, Netherlands: 222.1061 S361]</w:t>
      </w:r>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r>
    </w:p>
    <w:p>
      <w:pPr>
        <w:spacing w:after="0"/>
      </w:pPr>
      <w:r>
        <w:rPr>
          <w:rFonts w:ascii="Times New Roman" w:hAnsi="Times New Roman" w:eastAsia="Times New Roman" w:cs="Times New Roman"/>
          <w:color w:val="000000" w:themeColor="text1"/>
          <w:lang w:val="en-gb"/>
        </w:rPr>
        <w:t>Terrien, Samuel. "Toward a Biblical Theology of Womanhood." Religion in Life 42 (1973): 322-333. Print.</w:t>
      </w:r>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r>
    </w:p>
    <w:p>
      <w:pPr>
        <w:spacing w:after="0"/>
      </w:pPr>
      <w:r>
        <w:rPr>
          <w:rFonts w:ascii="Times New Roman" w:hAnsi="Times New Roman" w:eastAsia="Times New Roman" w:cs="Times New Roman"/>
          <w:color w:val="000000" w:themeColor="text1"/>
          <w:lang w:val="en-gb"/>
        </w:rPr>
        <w:t>Trible, Phyllis. "A Love Story Gone Awry." Chap. in God and the Rhetoric of Sexuality. Philadelphia: Fortress Press, 1978. Print.</w:t>
      </w:r>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r>
    </w:p>
    <w:p>
      <w:pPr>
        <w:spacing w:after="0"/>
      </w:pPr>
      <w:r>
        <w:rPr>
          <w:rFonts w:ascii="Times New Roman" w:hAnsi="Times New Roman" w:eastAsia="Times New Roman" w:cs="Times New Roman"/>
          <w:color w:val="000000" w:themeColor="text1"/>
          <w:lang w:val="en-gb"/>
        </w:rPr>
        <w:t>Vogt, Peter T. Interpreting the Pentateuch: An Exegetical Handbook. Grand Rapids: Kregel, 2009. Print. Handbooks for Old Testament Exegesis.</w:t>
      </w:r>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r>
    </w:p>
    <w:p>
      <w:pPr>
        <w:spacing w:after="0"/>
      </w:pPr>
      <w:r>
        <w:rPr>
          <w:rFonts w:ascii="Times New Roman" w:hAnsi="Times New Roman" w:eastAsia="Times New Roman" w:cs="Times New Roman"/>
          <w:color w:val="000000" w:themeColor="text1"/>
          <w:lang w:val="en-gb"/>
        </w:rPr>
        <w:t>Wellhausen, Julius. Prolegomena to the History of Israel. Translated by J. Sutherland Black and Allan Menzies. Edinburgh: Adam and Charles Black, 1885; Chicago: American Theological Library Association, 1988. Text-fiche.</w:t>
      </w:r>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r>
    </w:p>
    <w:p>
      <w:pPr>
        <w:spacing w:after="0"/>
      </w:pPr>
      <w:r>
        <w:rPr>
          <w:rFonts w:ascii="Times New Roman" w:hAnsi="Times New Roman" w:eastAsia="Times New Roman" w:cs="Times New Roman"/>
          <w:color w:val="000000" w:themeColor="text1"/>
          <w:lang w:val="en-gb"/>
        </w:rPr>
        <w:t>Whybray, R. Norman. Introduction to the Pentateuch. Grand Rapids: Eerdmans, 1995. Print.</w:t>
      </w:r>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r>
    </w:p>
    <w:p>
      <w:pPr>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lang w:val="en-gb"/>
        </w:rPr>
        <w:t xml:space="preserve">Wenham, Gordon J. </w:t>
      </w:r>
      <w:r>
        <w:rPr>
          <w:rFonts w:ascii="Times New Roman" w:hAnsi="Times New Roman" w:eastAsia="Times New Roman" w:cs="Times New Roman"/>
          <w:i/>
          <w:iCs/>
          <w:color w:val="000000" w:themeColor="text1"/>
          <w:lang w:val="en-gb"/>
        </w:rPr>
        <w:t>Exploring the Old Testament.</w:t>
      </w:r>
      <w:r>
        <w:rPr>
          <w:rFonts w:ascii="Times New Roman" w:hAnsi="Times New Roman" w:eastAsia="Times New Roman" w:cs="Times New Roman"/>
          <w:color w:val="000000" w:themeColor="text1"/>
          <w:lang w:val="en-gb"/>
        </w:rPr>
        <w:t xml:space="preserve"> Volume 1: The Pentateuch. Gordon McConville, ed. London: SPCK, 2002-2003. [Admin Centre: 221.6 E96].</w:t>
      </w:r>
      <w:r>
        <w:rPr>
          <w:rFonts w:ascii="Times New Roman" w:hAnsi="Times New Roman" w:eastAsia="Times New Roman" w:cs="Times New Roman"/>
          <w:color w:val="000000" w:themeColor="text1"/>
        </w:rPr>
      </w:r>
    </w:p>
    <w:p>
      <w:pPr>
        <w:spacing w:after="0"/>
      </w:pPr>
      <w:r>
        <w:rPr>
          <w:rFonts w:ascii="Times New Roman" w:hAnsi="Times New Roman" w:eastAsia="Times New Roman" w:cs="Times New Roman"/>
          <w:color w:val="000000" w:themeColor="text1"/>
          <w:lang w:val="en-gb"/>
        </w:rPr>
        <w:t>· BIBLECENTRE:</w:t>
      </w:r>
      <w:r/>
    </w:p>
    <w:p>
      <w:pPr>
        <w:spacing w:after="0"/>
      </w:pPr>
      <w:r>
        <w:rPr>
          <w:rFonts w:ascii="Times New Roman" w:hAnsi="Times New Roman" w:eastAsia="Times New Roman" w:cs="Times New Roman"/>
          <w:color w:val="000000" w:themeColor="text1"/>
          <w:lang w:val="en-gb"/>
        </w:rPr>
        <w:t>The Bible Centre provides several valuable resources for Bible study. I especially want to draw your attention to the "Commentaries" section. There are a wide number of full commentaries that are available here. This is a good website for finding some commentaries that you might not otherwise have access to.</w:t>
      </w:r>
      <w:r/>
    </w:p>
    <w:p>
      <w:pPr>
        <w:spacing w:after="0"/>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r>
    </w:p>
    <w:p>
      <w:pPr>
        <w:spacing w:after="0"/>
      </w:pPr>
      <w:r>
        <w:rPr>
          <w:rFonts w:ascii="Times New Roman" w:hAnsi="Times New Roman" w:eastAsia="Times New Roman" w:cs="Times New Roman"/>
          <w:color w:val="000000" w:themeColor="text1"/>
          <w:lang w:val="en-gb"/>
        </w:rPr>
        <w:t>· NET BIBLE:</w:t>
      </w:r>
      <w:r/>
    </w:p>
    <w:p>
      <w:pPr>
        <w:spacing w:after="0"/>
      </w:pPr>
      <w:r>
        <w:rPr>
          <w:rFonts w:ascii="Times New Roman" w:hAnsi="Times New Roman" w:eastAsia="Times New Roman" w:cs="Times New Roman"/>
          <w:color w:val="000000" w:themeColor="text1"/>
          <w:lang w:val="en-gb"/>
        </w:rPr>
        <w:t>This is an excellent resource that provides a good new translation of the Bible. Its greatest value for students, however, is the fact that it provides many notes along with the translation that are very helpful.</w:t>
      </w:r>
      <w:r/>
    </w:p>
    <w:p>
      <w:r/>
    </w:p>
    <w:sectPr>
      <w:footnotePr>
        <w:pos w:val="pageBottom"/>
        <w:numFmt w:val="decimal"/>
        <w:numStart w:val="1"/>
        <w:numRestart w:val="continuous"/>
      </w:footnotePr>
      <w:endnotePr>
        <w:pos w:val="docEnd"/>
        <w:numFmt w:val="lowerRoman"/>
        <w:numStart w:val="1"/>
        <w:numRestart w:val="continuous"/>
      </w:endnotePr>
      <w:type w:val="nextPage"/>
      <w:pgSz w:h="15840" w:w="12240"/>
      <w:pgMar w:left="1440" w:top="1440" w:right="1440" w:bottom="1440" w:header="0" w:footer="0"/>
      <w:paperSrc w:first="0" w:other="0" a="0" b="0"/>
      <w:pgNumType w:fmt="decimal"/>
      <w:tmGutter w:val="3"/>
      <w:mirrorMargins w:val="0"/>
      <w:tmSection w:h="-2"/>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comment w:id="0" w:author="Wolfgang Köhler" w:date="2026-01-14T18:18:00Z" w:initials="WK">
    <w:p w14:paraId="2EEB279F">
      <w:pPr>
        <w:pStyle w:val="para6"/>
      </w:pPr>
      <w:r>
        <w:t>Can you explain to me how you calculate the hours for writing 9 reading reflections, reading two textbooks and the entire Pentateuch? It seems that this is a fairly tight schedule.</w:t>
      </w:r>
    </w:p>
  </w:comment>
  <w:comment w:id="1" w:author="Leray Glendenning" w:date="2026-01-14T12:42:00Z" w:initials="LG">
    <w:p w14:paraId="2EEB27A0">
      <w:pPr>
        <w:pStyle w:val="para6"/>
      </w:pPr>
      <w:r>
        <w:t xml:space="preserve">if I take 5 hours from Participation and add to Reading that would be a total of 35 hours for Reading. I do not think the Participation posts would take more than one hour per week, if that. </w:t>
      </w:r>
    </w:p>
    <w:p w14:paraId="2EEB27A1">
      <w:pPr>
        <w:pStyle w:val="para6"/>
      </w:pPr>
      <w:r>
        <w:t xml:space="preserve">By removing the Fretheim textbook this will reduce the number of Reading Reflection papers to eight. There will be no Reading Reflection in the first session. 20 pages per hour for the Hamilton textbook would then be a total of 22 hours.  13 hours would then be allotted to Reading Reflections. I could also take 4 hours from the Biblical Text Assignment and add it to the Reading Assignment which would increase the Reading hours to 39 total hours. I think 2 hours per Biblical Text Reading Reflection is sufficient , especially if you count the reading of the passages as already being accomplished in the Reading time and/or the suggestion below. I might also suggest that reading the entire Pentateuch is partly already accounted for in the Biblical Text Reading Reflections. I also might suggest that the Student be encouraged to meet the reading of the entire Pentateuch as devotional material outside the class hours during this ten weeks. Does this make more sense? </w:t>
      </w:r>
    </w:p>
  </w:comment>
  <w:comment w:id="2" w:author="Wolfgang Köhler" w:date="2026-01-14T17:57:00Z" w:initials="WK">
    <w:p w14:paraId="2EEB27A2">
      <w:pPr>
        <w:pStyle w:val="para6"/>
      </w:pPr>
      <w:r>
        <w:t>The syllabus template mandates that the percentage of the comprehensive assignment for the final grade is 35%.</w:t>
      </w:r>
    </w:p>
  </w:comment>
  <w:comment w:id="3" w:author="Leray Glendenning" w:date="2026-01-14T12:30:00Z" w:initials="LG">
    <w:p w14:paraId="2EEB27A3">
      <w:pPr>
        <w:pStyle w:val="para6"/>
      </w:pPr>
      <w:r>
        <w:t xml:space="preserve">Thank you for the correction here. I have also made adjustment below in the Examinations to make the numbers work. </w:t>
      </w:r>
    </w:p>
  </w:comment>
  <w:comment w:id="4" w:author="Wolfgang Köhler" w:date="2026-01-14T17:58:00Z" w:initials="WK">
    <w:p w14:paraId="2EEB27A4">
      <w:pPr>
        <w:pStyle w:val="para6"/>
      </w:pPr>
      <w:r>
        <w:t>This time calculation does not seem to take into account that students need to prepare for the exam. Consider dropping the assignment. Or another one that is optional to make space for studying for the exam.</w:t>
      </w:r>
    </w:p>
  </w:comment>
  <w:comment w:id="5" w:author="Leray Glendenning" w:date="2026-01-14T12:29:00Z" w:initials="LG">
    <w:p w14:paraId="2EEB27A5">
      <w:pPr>
        <w:pStyle w:val="para6"/>
      </w:pPr>
      <w:r>
        <w:t xml:space="preserve">If dropped one of the exams would you see this as fitting the calculation of hours for prep and taking one exam? </w:t>
      </w:r>
    </w:p>
  </w:comment>
  <w:comment w:id="6" w:author="Wolfgang Köhler" w:date="2026-01-14T18:00:00Z" w:initials="WK">
    <w:p w14:paraId="2EEB27A6">
      <w:pPr>
        <w:pStyle w:val="para6"/>
      </w:pPr>
      <w:r>
        <w:t>Reading the entire Pentateuch plus two textbooks seems a lot for a 3 ECTS course, especially considering the amount of learning activities. Is it possible to reduce the reading?</w:t>
      </w:r>
    </w:p>
  </w:comment>
  <w:comment w:id="7" w:author="Leray Glendenning" w:date="2026-01-14T12:32:00Z" w:initials="LG">
    <w:p w14:paraId="2EEB27A7">
      <w:pPr>
        <w:pStyle w:val="para6"/>
      </w:pPr>
      <w:r>
        <w:t xml:space="preserve">Yes, I can delete the Fretheim textbook and just add it to the Bibliography.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15:commentEx w15:paraId="2EEB279F" w15:done="0"/>
  <w15:commentEx w15:paraId="2EEB27A1" w15:paraIdParent="2EEB279F" w15:done="0"/>
  <w15:commentEx w15:paraId="2EEB27A2" w15:done="1"/>
  <w15:commentEx w15:paraId="2EEB27A3" w15:paraIdParent="2EEB27A2" w15:done="1"/>
  <w15:commentEx w15:paraId="2EEB27A4" w15:done="0"/>
  <w15:commentEx w15:paraId="2EEB27A5" w15:paraIdParent="2EEB27A4" w15:done="0"/>
  <w15:commentEx w15:paraId="2EEB27A6" w15:done="1"/>
  <w15:commentEx w15:paraId="2EEB27A7" w15:paraIdParent="2EEB27A6" w15:done="1"/>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Aptos">
    <w:charset w:val="00"/>
    <w:family w:val="swiss"/>
    <w:pitch w:val="default"/>
  </w:font>
  <w:font w:name="Aptos Display">
    <w:charset w:val="00"/>
    <w:family w:val="swiss"/>
    <w:pitch w:val="default"/>
  </w:font>
  <w:font w:name="Times New Roman">
    <w:charset w:val="00"/>
    <w:family w:val="roman"/>
    <w:pitch w:val="default"/>
  </w:font>
  <w:font w:name="Arial Narrow">
    <w:charset w:val="00"/>
    <w:family w:val="swiss"/>
    <w:pitch w:val="default"/>
  </w:font>
  <w:font w:name="Calibri">
    <w:charset w:val="00"/>
    <w:family w:val="swiss"/>
    <w:pitch w:val="default"/>
  </w:font>
  <w:font w:name="Segoe UI">
    <w:charset w:val="00"/>
    <w:family w:val="swiss"/>
    <w:pitch w:val="default"/>
  </w:font>
  <w:font w:name="SimSun">
    <w:charset w:val="00"/>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
    <w:lvl w:ilvl="0">
      <w:start w:val="1"/>
      <w:numFmt w:val="decimal"/>
      <w:suff w:val="tab"/>
      <w:lvlText w:val="%1."/>
      <w:lvlJc w:val="left"/>
      <w:pPr>
        <w:ind w:left="360" w:hanging="0"/>
      </w:pPr>
    </w:lvl>
    <w:lvl w:ilvl="1">
      <w:start w:val="1"/>
      <w:numFmt w:val="lowerLetter"/>
      <w:suff w:val="tab"/>
      <w:lvlText w:val="%2."/>
      <w:lvlJc w:val="left"/>
      <w:pPr>
        <w:ind w:left="0" w:hanging="0"/>
      </w:pPr>
    </w:lvl>
    <w:lvl w:ilvl="2">
      <w:start w:val="1"/>
      <w:numFmt w:val="lowerRoman"/>
      <w:suff w:val="tab"/>
      <w:lvlText w:val="%3."/>
      <w:lvlJc w:val="righ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righ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right"/>
      <w:pPr>
        <w:ind w:left="6300" w:hanging="0"/>
      </w:pPr>
    </w:lvl>
  </w:abstractNum>
  <w:abstractNum w:abstractNumId="2">
    <w:multiLevelType w:val="hybridMultilevel"/>
    <w:name w:val="Nummerierungsliste 2"/>
    <w:lvl w:ilvl="0">
      <w:start w:val="1"/>
      <w:numFmt w:val="decimal"/>
      <w:suff w:val="tab"/>
      <w:lvlText w:val="%1."/>
      <w:lvlJc w:val="left"/>
      <w:pPr>
        <w:ind w:left="0" w:hanging="0"/>
      </w:pPr>
    </w:lvl>
    <w:lvl w:ilvl="1">
      <w:start w:val="1"/>
      <w:numFmt w:val="lowerLetter"/>
      <w:suff w:val="tab"/>
      <w:lvlText w:val="%2."/>
      <w:lvlJc w:val="left"/>
      <w:pPr>
        <w:ind w:left="1080" w:hanging="0"/>
      </w:pPr>
    </w:lvl>
    <w:lvl w:ilvl="2">
      <w:start w:val="1"/>
      <w:numFmt w:val="lowerRoman"/>
      <w:suff w:val="tab"/>
      <w:lvlText w:val="%3."/>
      <w:lvlJc w:val="righ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righ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right"/>
      <w:pPr>
        <w:ind w:left="6300" w:hanging="0"/>
      </w:pPr>
    </w:lvl>
  </w:abstractNum>
  <w:abstractNum w:abstractNumId="3">
    <w:multiLevelType w:val="hybridMultilevel"/>
    <w:name w:val="Nummerierungsliste 3"/>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righ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righ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right"/>
      <w:pPr>
        <w:ind w:left="6300" w:hanging="0"/>
      </w:pPr>
    </w:lvl>
  </w:abstractNum>
  <w:abstractNum w:abstractNumId="4">
    <w:multiLevelType w:val="hybridMultilevel"/>
    <w:name w:val="Nummerierungsliste 4"/>
    <w:lvl w:ilvl="0">
      <w:start w:val="1"/>
      <w:numFmt w:val="decimal"/>
      <w:suff w:val="tab"/>
      <w:lvlText w:val="%1."/>
      <w:lvlJc w:val="left"/>
      <w:pPr>
        <w:ind w:left="0" w:hanging="0"/>
      </w:pPr>
    </w:lvl>
    <w:lvl w:ilvl="1">
      <w:start w:val="1"/>
      <w:numFmt w:val="lowerLetter"/>
      <w:suff w:val="tab"/>
      <w:lvlText w:val="%2."/>
      <w:lvlJc w:val="left"/>
      <w:pPr>
        <w:ind w:left="1080" w:hanging="0"/>
      </w:pPr>
    </w:lvl>
    <w:lvl w:ilvl="2">
      <w:start w:val="1"/>
      <w:numFmt w:val="lowerRoman"/>
      <w:suff w:val="tab"/>
      <w:lvlText w:val="%3."/>
      <w:lvlJc w:val="righ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righ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right"/>
      <w:pPr>
        <w:ind w:left="6300" w:hanging="0"/>
      </w:pPr>
    </w:lvl>
  </w:abstractNum>
  <w:abstractNum w:abstractNumId="5">
    <w:multiLevelType w:val="hybridMultilevel"/>
    <w:name w:val="Nummerierungsliste 5"/>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righ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righ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right"/>
      <w:pPr>
        <w:ind w:left="6300" w:hanging="0"/>
      </w:pPr>
    </w:lvl>
  </w:abstractNum>
  <w:abstractNum w:abstractNumId="6">
    <w:multiLevelType w:val="hybridMultilevel"/>
    <w:name w:val="Nummerierungsliste 6"/>
    <w:lvl w:ilvl="0">
      <w:start w:val="1"/>
      <w:numFmt w:val="decimal"/>
      <w:suff w:val="tab"/>
      <w:lvlText w:val="%1."/>
      <w:lvlJc w:val="left"/>
      <w:pPr>
        <w:ind w:left="0" w:hanging="0"/>
      </w:pPr>
    </w:lvl>
    <w:lvl w:ilvl="1">
      <w:start w:val="1"/>
      <w:numFmt w:val="lowerLetter"/>
      <w:suff w:val="tab"/>
      <w:lvlText w:val="%2."/>
      <w:lvlJc w:val="left"/>
      <w:pPr>
        <w:ind w:left="1080" w:hanging="0"/>
      </w:pPr>
    </w:lvl>
    <w:lvl w:ilvl="2">
      <w:start w:val="1"/>
      <w:numFmt w:val="lowerRoman"/>
      <w:suff w:val="tab"/>
      <w:lvlText w:val="%3."/>
      <w:lvlJc w:val="righ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righ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right"/>
      <w:pPr>
        <w:ind w:left="630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autoHyphenation w:val="0"/>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7"/>
  <w:tmPrefTwo w:val="1"/>
  <w:tmFmtPref w:val="55090283"/>
  <w:tmCommentsPr>
    <w:tmCommentsPlace w:val="0"/>
    <w:tmCommentsWidth w:val="3119"/>
    <w:tmCommentsColor w:val="-1"/>
  </w:tmCommentsPr>
  <w:tmReviewPr>
    <w:tmReviewEnabled w:val="0"/>
    <w:tmReviewShow w:val="1"/>
    <w:tmReviewPrint w:val="0"/>
    <w:tmRevisionNum w:val="5"/>
    <w:tmReviewMarkIns w:val="4"/>
    <w:tmReviewColorIns w:val="-1"/>
    <w:tmReviewMarkDel w:val="7"/>
    <w:tmReviewColorDel w:val="-1"/>
    <w:tmReviewMarkFmt w:val="7"/>
    <w:tmReviewColorFmt w:val="-1"/>
    <w:tmReviewMarkLn w:val="1"/>
    <w:tmReviewColorLn w:val="0"/>
    <w:tmReviewToolTip w:val="1"/>
  </w:tmReviewPr>
  <w:tmLastPos>
    <w:tmLastPosPage w:val="2"/>
    <w:tmLastPosSelect w:val="0"/>
    <w:tmLastPosFrameIdx w:val="0"/>
    <w:tmLastPosCaret>
      <w:tmLastPosPgfIdx w:val="59"/>
      <w:tmLastPosIdx w:val="0"/>
    </w:tmLastPosCaret>
    <w:tmLastPosAnchor>
      <w:tmLastPosPgfIdx w:val="0"/>
      <w:tmLastPosIdx w:val="0"/>
    </w:tmLastPosAnchor>
    <w:tmLastPosTblRect w:left="0" w:top="0" w:right="0" w:bottom="0"/>
  </w:tmLastPos>
  <w:tmAppRevision w:date="1769595792" w:val="1409" w:fileVer="343" w:fileVer64="64" w:fileVerOS="3"/>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ptos" w:hAnsi="Aptos" w:eastAsia="Basic Roman" w:cs="Basic Roman"/>
        <w:sz w:val="24"/>
        <w:szCs w:val="24"/>
        <w:lang w:val="en-us" w:eastAsia="ja-jp" w:bidi="ar-sa"/>
      </w:rPr>
    </w:rPrDefault>
    <w:pPrDefault>
      <w:pPr>
        <w:spacing w:after="160" w:line="278"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1"/>
    <w:qFormat/>
    <w:basedOn w:val="para0"/>
    <w:next w:val="para0"/>
    <w:pPr>
      <w:spacing w:before="360" w:after="80"/>
      <w:keepNext/>
      <w:outlineLvl w:val="0"/>
      <w:keepLines/>
    </w:pPr>
    <w:rPr>
      <w:rFonts w:ascii="Aptos Display" w:hAnsi="Aptos Display"/>
      <w:color w:val="104861" w:themeColor="accent1" w:themeShade="BF"/>
      <w:sz w:val="40"/>
      <w:szCs w:val="40"/>
    </w:rPr>
  </w:style>
  <w:style w:type="paragraph" w:styleId="para2" w:customStyle="1">
    <w:name w:val="Blue"/>
    <w:qFormat/>
    <w:basedOn w:val="para0"/>
    <w:rPr>
      <w:rFonts w:ascii="Arial Narrow" w:hAnsi="Arial Narrow" w:eastAsia="Calibri"/>
      <w:color w:val="1F417D"/>
      <w:lang w:val="en-gb"/>
    </w:rPr>
  </w:style>
  <w:style w:type="paragraph" w:styleId="para3" w:customStyle="1">
    <w:name w:val="Tabelleninhalt"/>
    <w:qFormat/>
    <w:basedOn w:val="para0"/>
    <w:rPr>
      <w:rFonts w:ascii="Arial Narrow" w:hAnsi="Arial Narrow" w:eastAsia="Calibri"/>
      <w:color w:val="000000" w:themeColor="text1"/>
      <w:lang w:val="en-gb"/>
    </w:rPr>
  </w:style>
  <w:style w:type="paragraph" w:styleId="para4" w:customStyle="1">
    <w:name w:val="Tabellen Inhalt"/>
    <w:qFormat/>
    <w:basedOn w:val="para0"/>
    <w:rPr>
      <w:rFonts w:ascii="Arial Narrow" w:hAnsi="Arial Narrow" w:eastAsia="Calibri"/>
      <w:color w:val="000000" w:themeColor="text1"/>
      <w:lang w:val="en-gb"/>
    </w:rPr>
  </w:style>
  <w:style w:type="paragraph" w:styleId="para5">
    <w:name w:val="List Paragraph"/>
    <w:qFormat/>
    <w:basedOn w:val="para0"/>
    <w:pPr>
      <w:ind w:left="720"/>
      <w:contextualSpacing/>
    </w:pPr>
  </w:style>
  <w:style w:type="paragraph" w:styleId="para6" w:customStyle="1">
    <w:name w:val="annotation text"/>
    <w:qFormat/>
    <w:basedOn w:val="para0"/>
    <w:pPr>
      <w:spacing w:after="0" w:line="240" w:lineRule="auto"/>
    </w:pPr>
    <w:rPr>
      <w:sz w:val="20"/>
      <w:szCs w:val="20"/>
    </w:rPr>
  </w:style>
  <w:style w:type="paragraph" w:styleId="para7">
    <w:name w:val="Balloon Text"/>
    <w:qFormat/>
    <w:basedOn w:val="para0"/>
    <w:rPr>
      <w:rFonts w:ascii="Segoe UI" w:hAnsi="Segoe UI" w:eastAsia="SimSun" w:cs="Segoe UI"/>
      <w:sz w:val="18"/>
      <w:szCs w:val="18"/>
    </w:rPr>
  </w:style>
  <w:style w:type="paragraph" w:styleId="para8" w:customStyle="1">
    <w:name w:val="annotation subject"/>
    <w:qFormat/>
    <w:basedOn w:val="para6"/>
    <w:next w:val="para6"/>
    <w:pPr>
      <w:spacing w:after="160"/>
    </w:pPr>
    <w:rPr>
      <w:b/>
      <w:bCs/>
    </w:rPr>
  </w:style>
  <w:style w:type="character" w:styleId="char0" w:default="1">
    <w:name w:val="Default Paragraph Font"/>
  </w:style>
  <w:style w:type="character" w:styleId="char1" w:customStyle="1">
    <w:name w:val="Blue Zchn"/>
    <w:basedOn w:val="char0"/>
    <w:rPr>
      <w:rFonts w:ascii="Arial Narrow" w:hAnsi="Arial Narrow" w:eastAsia="Calibri" w:cs="Basic Roman"/>
      <w:color w:val="1F417D"/>
      <w:lang w:val="en-gb"/>
    </w:rPr>
  </w:style>
  <w:style w:type="character" w:styleId="char2">
    <w:name w:val="Hyperlink"/>
    <w:basedOn w:val="char0"/>
    <w:rPr>
      <w:color w:val="467886"/>
      <w:u w:color="auto" w:val="single"/>
    </w:rPr>
  </w:style>
  <w:style w:type="character" w:styleId="char3">
    <w:name w:val="Unresolved Mention"/>
    <w:basedOn w:val="char0"/>
    <w:rPr>
      <w:color w:val="605E5C"/>
      <w:shd w:fill="E1DFDD" w:val="clear"/>
    </w:rPr>
  </w:style>
  <w:style w:type="character" w:styleId="char4" w:customStyle="1">
    <w:name w:val="annotation reference"/>
    <w:basedOn w:val="char0"/>
    <w:rPr>
      <w:sz w:val="16"/>
      <w:szCs w:val="16"/>
    </w:rPr>
  </w:style>
  <w:style w:type="character" w:styleId="char5" w:customStyle="1">
    <w:name w:val="Comment Text Char"/>
    <w:basedOn w:val="char0"/>
    <w:rPr>
      <w:sz w:val="20"/>
      <w:szCs w:val="20"/>
    </w:rPr>
  </w:style>
  <w:style w:type="character" w:styleId="char6" w:customStyle="1">
    <w:name w:val="Comment Subject Char"/>
    <w:basedOn w:val="char5"/>
    <w:rPr>
      <w:b/>
      <w:bCs/>
      <w:sz w:val="20"/>
      <w:szCs w:val="20"/>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Aptos" w:hAnsi="Aptos" w:eastAsia="Basic Roman" w:cs="Basic Roman"/>
        <w:sz w:val="24"/>
        <w:szCs w:val="24"/>
        <w:lang w:val="en-us" w:eastAsia="ja-jp" w:bidi="ar-sa"/>
      </w:rPr>
    </w:rPrDefault>
    <w:pPrDefault>
      <w:pPr>
        <w:spacing w:after="160" w:line="278"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1"/>
    <w:qFormat/>
    <w:basedOn w:val="para0"/>
    <w:next w:val="para0"/>
    <w:pPr>
      <w:spacing w:before="360" w:after="80"/>
      <w:keepNext/>
      <w:outlineLvl w:val="0"/>
      <w:keepLines/>
    </w:pPr>
    <w:rPr>
      <w:rFonts w:ascii="Aptos Display" w:hAnsi="Aptos Display"/>
      <w:color w:val="104861" w:themeColor="accent1" w:themeShade="BF"/>
      <w:sz w:val="40"/>
      <w:szCs w:val="40"/>
    </w:rPr>
  </w:style>
  <w:style w:type="paragraph" w:styleId="para2" w:customStyle="1">
    <w:name w:val="Blue"/>
    <w:qFormat/>
    <w:basedOn w:val="para0"/>
    <w:rPr>
      <w:rFonts w:ascii="Arial Narrow" w:hAnsi="Arial Narrow" w:eastAsia="Calibri"/>
      <w:color w:val="1F417D"/>
      <w:lang w:val="en-gb"/>
    </w:rPr>
  </w:style>
  <w:style w:type="paragraph" w:styleId="para3" w:customStyle="1">
    <w:name w:val="Tabelleninhalt"/>
    <w:qFormat/>
    <w:basedOn w:val="para0"/>
    <w:rPr>
      <w:rFonts w:ascii="Arial Narrow" w:hAnsi="Arial Narrow" w:eastAsia="Calibri"/>
      <w:color w:val="000000" w:themeColor="text1"/>
      <w:lang w:val="en-gb"/>
    </w:rPr>
  </w:style>
  <w:style w:type="paragraph" w:styleId="para4" w:customStyle="1">
    <w:name w:val="Tabellen Inhalt"/>
    <w:qFormat/>
    <w:basedOn w:val="para0"/>
    <w:rPr>
      <w:rFonts w:ascii="Arial Narrow" w:hAnsi="Arial Narrow" w:eastAsia="Calibri"/>
      <w:color w:val="000000" w:themeColor="text1"/>
      <w:lang w:val="en-gb"/>
    </w:rPr>
  </w:style>
  <w:style w:type="paragraph" w:styleId="para5">
    <w:name w:val="List Paragraph"/>
    <w:qFormat/>
    <w:basedOn w:val="para0"/>
    <w:pPr>
      <w:ind w:left="720"/>
      <w:contextualSpacing/>
    </w:pPr>
  </w:style>
  <w:style w:type="paragraph" w:styleId="para6" w:customStyle="1">
    <w:name w:val="annotation text"/>
    <w:qFormat/>
    <w:basedOn w:val="para0"/>
    <w:pPr>
      <w:spacing w:after="0" w:line="240" w:lineRule="auto"/>
    </w:pPr>
    <w:rPr>
      <w:sz w:val="20"/>
      <w:szCs w:val="20"/>
    </w:rPr>
  </w:style>
  <w:style w:type="paragraph" w:styleId="para7">
    <w:name w:val="Balloon Text"/>
    <w:qFormat/>
    <w:basedOn w:val="para0"/>
    <w:rPr>
      <w:rFonts w:ascii="Segoe UI" w:hAnsi="Segoe UI" w:eastAsia="SimSun" w:cs="Segoe UI"/>
      <w:sz w:val="18"/>
      <w:szCs w:val="18"/>
    </w:rPr>
  </w:style>
  <w:style w:type="paragraph" w:styleId="para8" w:customStyle="1">
    <w:name w:val="annotation subject"/>
    <w:qFormat/>
    <w:basedOn w:val="para6"/>
    <w:next w:val="para6"/>
    <w:pPr>
      <w:spacing w:after="160"/>
    </w:pPr>
    <w:rPr>
      <w:b/>
      <w:bCs/>
    </w:rPr>
  </w:style>
  <w:style w:type="character" w:styleId="char0" w:default="1">
    <w:name w:val="Default Paragraph Font"/>
  </w:style>
  <w:style w:type="character" w:styleId="char1" w:customStyle="1">
    <w:name w:val="Blue Zchn"/>
    <w:basedOn w:val="char0"/>
    <w:rPr>
      <w:rFonts w:ascii="Arial Narrow" w:hAnsi="Arial Narrow" w:eastAsia="Calibri" w:cs="Basic Roman"/>
      <w:color w:val="1F417D"/>
      <w:lang w:val="en-gb"/>
    </w:rPr>
  </w:style>
  <w:style w:type="character" w:styleId="char2">
    <w:name w:val="Hyperlink"/>
    <w:basedOn w:val="char0"/>
    <w:rPr>
      <w:color w:val="467886"/>
      <w:u w:color="auto" w:val="single"/>
    </w:rPr>
  </w:style>
  <w:style w:type="character" w:styleId="char3">
    <w:name w:val="Unresolved Mention"/>
    <w:basedOn w:val="char0"/>
    <w:rPr>
      <w:color w:val="605E5C"/>
      <w:shd w:fill="E1DFDD" w:val="clear"/>
    </w:rPr>
  </w:style>
  <w:style w:type="character" w:styleId="char4" w:customStyle="1">
    <w:name w:val="annotation reference"/>
    <w:basedOn w:val="char0"/>
    <w:rPr>
      <w:sz w:val="16"/>
      <w:szCs w:val="16"/>
    </w:rPr>
  </w:style>
  <w:style w:type="character" w:styleId="char5" w:customStyle="1">
    <w:name w:val="Comment Text Char"/>
    <w:basedOn w:val="char0"/>
    <w:rPr>
      <w:sz w:val="20"/>
      <w:szCs w:val="20"/>
    </w:rPr>
  </w:style>
  <w:style w:type="character" w:styleId="char6" w:customStyle="1">
    <w:name w:val="Comment Subject Char"/>
    <w:basedOn w:val="char5"/>
    <w:rPr>
      <w:b/>
      <w:bCs/>
      <w:sz w:val="20"/>
      <w:szCs w:val="20"/>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comments" Target="comments.xml"/><Relationship Id="rId9" Type="http://schemas.microsoft.com/office/2011/relationships/commentsExtended" Target="commentsExtended.xml"/></Relationships>
</file>

<file path=word/theme/theme1.xml><?xml version="1.0" encoding="utf-8"?>
<a:theme xmlns:a="http://schemas.openxmlformats.org/drawingml/2006/main" name="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Basic Roman"/>
        <a:cs typeface="Basic Roman"/>
      </a:majorFont>
      <a:minorFont>
        <a:latin typeface="Aptos"/>
        <a:ea typeface="Basic Roman"/>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algn="tl" rotWithShape="0">
              <a:srgbClr val="000000">
                <a:alpha val="38000"/>
              </a:srgbClr>
            </a:outerShdw>
          </a:effectLst>
        </a:effectStyle>
        <a:effectStyle>
          <a:effectLst>
            <a:outerShdw blurRad="40000" dist="23000" dir="5400000" algn="tl" rotWithShape="0">
              <a:srgbClr val="000000">
                <a:alpha val="35000"/>
              </a:srgbClr>
            </a:outerShdw>
          </a:effectLst>
        </a:effectStyle>
        <a:effectStyle>
          <a:effectLst>
            <a:outerShdw blurRad="40000" dist="23000" dir="5400000" algn="tl" rotWithShape="0">
              <a:srgbClr val="000000">
                <a:alpha val="35000"/>
              </a:srgbClr>
            </a:outerShdw>
          </a:effectLst>
          <a:scene3d>
            <a:camera prst="orthographicFront">
              <a:rot lat="0" lon="0" rev="0"/>
            </a:camera>
            <a:lightRig rig="threePt" dir="t">
              <a:rot lat="0" lon="0" rev="1200000"/>
            </a:lightRig>
          </a:scene3d>
          <a:sp3d prstMaterial="warmMatte">
            <a:bevelT w="63500" h="25400" prst="circ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rev.1409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Glendenning, Leray D.</dc:creator>
  <cp:keywords/>
  <dc:description/>
  <cp:lastModifiedBy>Wolfgang Köhler</cp:lastModifiedBy>
  <cp:revision>5</cp:revision>
  <dcterms:created xsi:type="dcterms:W3CDTF">2026-01-14T20:30:00Z</dcterms:created>
  <dcterms:modified xsi:type="dcterms:W3CDTF">2026-01-28T10:23:12Z</dcterms:modified>
</cp:coreProperties>
</file>