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otnotes.xml" ContentType="application/vnd.openxmlformats-officedocument.wordprocessingml.footnotes+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rPr>
          <w:noProof/>
        </w:rPr>
        <w:drawing>
          <wp:anchor distT="89535" distB="89535" distL="89535" distR="89535" simplePos="0" relativeHeight="251658281" behindDoc="0" locked="0" layoutInCell="0" hidden="0" allowOverlap="1">
            <wp:simplePos x="0" y="0"/>
            <wp:positionH relativeFrom="page">
              <wp:posOffset>4902835</wp:posOffset>
            </wp:positionH>
            <wp:positionV relativeFrom="page">
              <wp:posOffset>904240</wp:posOffset>
            </wp:positionV>
            <wp:extent cx="1755775" cy="3218815"/>
            <wp:effectExtent l="0" t="0" r="0" b="0"/>
            <wp:wrapSquare wrapText="bothSides"/>
            <wp:docPr id="41" name="Grafik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Grafik14"/>
                    <pic:cNvPicPr>
                      <a:picLocks noChangeAspect="1"/>
                      <a:extLst>
                        <a:ext uri="sm">
                          <sm:smNativeData xmlns:sm="sm" val="SMDATA_17_E0dOa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KIAAAAAAAAAAAAAAAAAAAAAAAApHgAAAAAAAAAAAACQBQAAzQoAAM0TAAAAAAAAKR4AAJAFAAAoAAAACAAAAAEAAAABAAAAMAAAABQAAAAAAAAAAAD//wAAAQAAAP//AAABAA=="/>
                        </a:ext>
                      </a:extLst>
                    </pic:cNvPicPr>
                  </pic:nvPicPr>
                  <pic:blipFill>
                    <a:blip r:embed="rId8"/>
                    <a:stretch>
                      <a:fillRect/>
                    </a:stretch>
                  </pic:blipFill>
                  <pic:spPr>
                    <a:xfrm>
                      <a:off x="0" y="0"/>
                      <a:ext cx="1755775" cy="3218815"/>
                    </a:xfrm>
                    <a:prstGeom prst="rect">
                      <a:avLst/>
                    </a:prstGeom>
                    <a:noFill/>
                    <a:ln w="12700">
                      <a:noFill/>
                    </a:ln>
                  </pic:spPr>
                </pic:pic>
              </a:graphicData>
            </a:graphic>
          </wp:anchor>
        </w:drawing>
      </w:r>
      <w:bookmarkStart w:id="0" w:name="_Toc367795324"/>
      <w:r/>
      <w:bookmarkEnd w:id="0"/>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after="0" w:line="240" w:lineRule="auto"/>
        <w:jc w:val="left"/>
      </w:pPr>
      <w:r/>
    </w:p>
    <w:p>
      <w:pPr>
        <w:spacing/>
        <w:jc w:val="left"/>
        <w:tabs defTabSz="708">
          <w:tab w:val="right" w:pos="8957" w:leader="none"/>
        </w:tabs>
        <w:rPr>
          <w:rFonts w:eastAsia="Times New Roman" w:cs="Tahoma"/>
          <w:kern w:val="1"/>
          <w:sz w:val="44"/>
          <w:szCs w:val="44"/>
        </w:rPr>
      </w:pPr>
      <w:r>
        <w:rPr>
          <w:rFonts w:eastAsia="Times New Roman" w:cs="Tahoma"/>
          <w:kern w:val="1"/>
          <w:sz w:val="44"/>
          <w:szCs w:val="44"/>
        </w:rPr>
        <w:tab/>
        <w:t>Ernährung und Gesundheit</w:t>
      </w:r>
      <w:r>
        <w:rPr>
          <w:rFonts w:eastAsia="Times New Roman" w:cs="Tahoma"/>
          <w:kern w:val="1"/>
          <w:sz w:val="44"/>
          <w:szCs w:val="44"/>
        </w:rPr>
      </w:r>
    </w:p>
    <w:p>
      <w:pPr>
        <w:spacing w:before="120" w:after="0" w:line="240" w:lineRule="auto"/>
        <w:jc w:val="left"/>
        <w:tabs defTabSz="708">
          <w:tab w:val="right" w:pos="8957" w:leader="none"/>
        </w:tabs>
        <w:rPr>
          <w:sz w:val="24"/>
        </w:rPr>
      </w:pPr>
      <w:r>
        <w:rPr>
          <w:sz w:val="24"/>
        </w:rPr>
        <w:tab/>
        <w:t>Dr.</w:t>
      </w:r>
      <w:r>
        <w:rPr>
          <w:sz w:val="18"/>
          <w:szCs w:val="18"/>
        </w:rPr>
        <w:t xml:space="preserve"> rer. nat. </w:t>
      </w:r>
      <w:r>
        <w:rPr>
          <w:sz w:val="24"/>
        </w:rPr>
        <w:t>Gerhard H. Peise</w:t>
      </w:r>
      <w:r>
        <w:rPr>
          <w:sz w:val="24"/>
        </w:rPr>
      </w:r>
    </w:p>
    <w:p>
      <w:r/>
    </w:p>
    <w:p>
      <w:pPr>
        <w:sectPr>
          <w:footnotePr>
            <w:pos w:val="pageBottom"/>
            <w:numFmt w:val="decimal"/>
            <w:numStart w:val="1"/>
            <w:numRestart w:val="continuous"/>
          </w:footnotePr>
          <w:endnotePr>
            <w:pos w:val="docEnd"/>
            <w:numFmt w:val="decimal"/>
            <w:numStart w:val="1"/>
            <w:numRestart w:val="continuous"/>
          </w:endnotePr>
          <w:headerReference w:type="default" r:id="rId9"/>
          <w:footerReference w:type="default" r:id="rId10"/>
          <w:headerReference w:type="even" r:id="rId11"/>
          <w:footerReference w:type="even" r:id="rId12"/>
          <w:type w:val="continuous"/>
          <w:pgSz w:h="16840" w:w="11900"/>
          <w:pgMar w:left="1984" w:top="1417" w:right="850" w:bottom="1134" w:header="709" w:footer="708"/>
          <w:paperSrc w:first="0" w:other="0" a="0" b="0"/>
          <w:pgNumType w:fmt="decimal"/>
          <w:tmGutter w:val="1"/>
          <w:mirrorMargins w:val="1"/>
          <w:tmSection w:h="-1">
            <w:tmHeader w:id="0" w:h="0" edge="709" text="0">
              <w:shd w:val="none"/>
            </w:tmHeader>
            <w:tmFooter w:id="0" w:h="0" edge="708" text="0">
              <w:shd w:val="none"/>
            </w:tmFooter>
            <w:tmHeader w:id="1" w:h="0" edge="709" text="0">
              <w:shd w:val="none"/>
            </w:tmHeader>
            <w:tmFooter w:id="1"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rPr>
          <w:sz w:val="24"/>
        </w:rPr>
      </w:pPr>
      <w:r>
        <w:rPr>
          <w:sz w:val="24"/>
        </w:rPr>
      </w:r>
    </w:p>
    <w:p>
      <w:pPr>
        <w:sectPr>
          <w:footnotePr>
            <w:pos w:val="pageBottom"/>
            <w:numFmt w:val="decimal"/>
            <w:numStart w:val="1"/>
            <w:numRestart w:val="continuous"/>
          </w:footnotePr>
          <w:endnotePr>
            <w:pos w:val="docEnd"/>
            <w:numFmt w:val="decimal"/>
            <w:numStart w:val="1"/>
            <w:numRestart w:val="continuous"/>
          </w:endnotePr>
          <w:headerReference w:type="default" r:id="rId13"/>
          <w:footerReference w:type="default" r:id="rId14"/>
          <w:headerReference w:type="even" r:id="rId15"/>
          <w:footerReference w:type="even" r:id="rId16"/>
          <w:type w:val="nextPage"/>
          <w:pgSz w:h="16840" w:w="11900"/>
          <w:pgMar w:left="1984" w:top="1417" w:right="850" w:bottom="1134" w:header="709" w:footer="708"/>
          <w:paperSrc w:first="0" w:other="0" a="0" b="0"/>
          <w:pgNumType w:fmt="decimal"/>
          <w:tmGutter w:val="1"/>
          <w:mirrorMargins w:val="1"/>
          <w:tmSection w:h="-1">
            <w:tmHeader w:id="0" w:h="0" edge="709" text="0">
              <w:shd w:val="none"/>
            </w:tmHeader>
            <w:tmFooter w:id="0" w:h="0" edge="708" text="0">
              <w:shd w:val="none"/>
            </w:tmFooter>
            <w:tmHeader w:id="1" w:h="0" edge="709" text="0">
              <w:shd w:val="none"/>
            </w:tmHeader>
            <w:tmFooter w:id="1"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rPr>
          <w:color w:val="007f7f"/>
          <w:sz w:val="28"/>
          <w:szCs w:val="28"/>
        </w:rPr>
      </w:pPr>
      <w:r>
        <w:br w:type="page"/>
      </w:r>
      <w:r>
        <w:rPr>
          <w:color w:val="007f7f"/>
          <w:sz w:val="28"/>
          <w:szCs w:val="28"/>
        </w:rPr>
        <w:t>Inhalt</w:t>
      </w:r>
      <w:r>
        <w:rPr>
          <w:color w:val="007f7f"/>
          <w:sz w:val="28"/>
          <w:szCs w:val="28"/>
        </w:rPr>
      </w:r>
    </w:p>
    <w:p>
      <w:pPr>
        <w:rPr>
          <w:sz w:val="24"/>
        </w:rPr>
      </w:pPr>
      <w:r>
        <w:rPr>
          <w:sz w:val="24"/>
        </w:rPr>
      </w:r>
    </w:p>
    <w:p>
      <w:pPr>
        <w:pStyle w:val="para19"/>
        <w:rPr>
          <w:lang w:eastAsia="de-de" w:bidi="de-de"/>
        </w:rPr>
      </w:pPr>
      <w:r>
        <w:rPr>
          <w:lang w:eastAsia="de-de" w:bidi="de-de"/>
        </w:rPr>
        <w:fldChar w:fldCharType="begin"/>
      </w:r>
      <w:r>
        <w:rPr>
          <w:lang w:eastAsia="de-de" w:bidi="de-de"/>
        </w:rPr>
        <w:instrText xml:space="preserve"> TOC \o "1 - 4" \z </w:instrText>
      </w:r>
      <w:r>
        <w:rPr>
          <w:lang w:eastAsia="de-de" w:bidi="de-de"/>
        </w:rPr>
        <w:fldChar w:fldCharType="separate"/>
      </w:r>
      <w:hyperlink w:anchor="_TOC000066" w:history="1">
        <w:r>
          <w:rPr>
            <w:lang w:eastAsia="de-de" w:bidi="de-de"/>
          </w:rPr>
          <w:t>1</w:t>
          <w:tab/>
          <w:t xml:space="preserve"> Die Komponenten der Ernährung</w:t>
          <w:tab/>
          <w:t>2</w:t>
        </w:r>
      </w:hyperlink>
    </w:p>
    <w:p>
      <w:pPr>
        <w:pStyle w:val="para20"/>
      </w:pPr>
      <w:hyperlink w:anchor="_TOC000003" w:history="1">
        <w:r>
          <w:t>1.1</w:t>
          <w:tab/>
          <w:t xml:space="preserve"> </w:t>
          <w:fldChar w:fldCharType="begin"/>
          <w:instrText xml:space="preserve">XE "Kohlenhydrate" \G </w:instrText>
          <w:fldChar w:fldCharType="end"/>
          <w:t>Kohlenhydrate</w:t>
          <w:tab/>
          <w:t>5</w:t>
        </w:r>
      </w:hyperlink>
    </w:p>
    <w:p>
      <w:pPr>
        <w:pStyle w:val="para21"/>
      </w:pPr>
      <w:hyperlink w:anchor="_TOC000121" w:history="1">
        <w:r>
          <w:t>1.1.1</w:t>
          <w:tab/>
          <w:t xml:space="preserve"> Einteilung von Kohlenhydraten</w:t>
          <w:tab/>
          <w:t>6</w:t>
        </w:r>
      </w:hyperlink>
    </w:p>
    <w:p>
      <w:pPr>
        <w:pStyle w:val="para21"/>
      </w:pPr>
      <w:hyperlink w:anchor="_TOC000104" w:history="1">
        <w:r>
          <w:t>1.1.2</w:t>
          <w:tab/>
          <w:t xml:space="preserve"> Zucker</w:t>
          <w:tab/>
          <w:t>8</w:t>
        </w:r>
      </w:hyperlink>
    </w:p>
    <w:p>
      <w:pPr>
        <w:pStyle w:val="para21"/>
      </w:pPr>
      <w:hyperlink w:anchor="_TOC000041" w:history="1">
        <w:r>
          <w:t>1.1.3</w:t>
          <w:tab/>
          <w:t xml:space="preserve"> </w:t>
          <w:fldChar w:fldCharType="begin"/>
          <w:instrText xml:space="preserve">XE "Kohlenhydrate" \G </w:instrText>
          <w:fldChar w:fldCharType="end"/>
          <w:t>Kohlenhydrate bringen Energie</w:t>
          <w:tab/>
          <w:t>8</w:t>
        </w:r>
      </w:hyperlink>
    </w:p>
    <w:p>
      <w:pPr>
        <w:pStyle w:val="para21"/>
      </w:pPr>
      <w:hyperlink w:anchor="_TOC000049" w:history="1">
        <w:r>
          <w:t>1.1.4</w:t>
          <w:tab/>
          <w:t xml:space="preserve"> Resistente </w:t>
          <w:fldChar w:fldCharType="begin"/>
          <w:instrText xml:space="preserve">XE "Stärke" \G </w:instrText>
          <w:fldChar w:fldCharType="end"/>
          <w:t>Stärke</w:t>
          <w:tab/>
          <w:t>10</w:t>
        </w:r>
      </w:hyperlink>
    </w:p>
    <w:p>
      <w:pPr>
        <w:pStyle w:val="para21"/>
      </w:pPr>
      <w:hyperlink w:anchor="_TOC000050" w:history="1">
        <w:r>
          <w:t>1.1.5</w:t>
          <w:tab/>
          <w:t xml:space="preserve"> Obst</w:t>
          <w:tab/>
          <w:t>11</w:t>
        </w:r>
      </w:hyperlink>
    </w:p>
    <w:p>
      <w:pPr>
        <w:pStyle w:val="para22"/>
      </w:pPr>
      <w:hyperlink w:anchor="_TOC000051" w:history="1">
        <w:r>
          <w:t>1.1.5.1</w:t>
          <w:tab/>
          <w:t xml:space="preserve"> Beeren</w:t>
          <w:tab/>
          <w:t>11</w:t>
        </w:r>
      </w:hyperlink>
    </w:p>
    <w:p>
      <w:pPr>
        <w:pStyle w:val="para22"/>
      </w:pPr>
      <w:hyperlink w:anchor="_TOC000342" w:history="1">
        <w:r>
          <w:t>1.1.5.2</w:t>
          <w:tab/>
          <w:t xml:space="preserve"> Obst essen, aber richtig</w:t>
          <w:tab/>
          <w:t>11</w:t>
        </w:r>
      </w:hyperlink>
    </w:p>
    <w:p>
      <w:pPr>
        <w:pStyle w:val="para21"/>
      </w:pPr>
      <w:hyperlink w:anchor="_TOC000269" w:history="1">
        <w:r>
          <w:t>1.1.6</w:t>
          <w:tab/>
          <w:t xml:space="preserve"> Tipps für »Süße«</w:t>
          <w:tab/>
          <w:t>12</w:t>
        </w:r>
      </w:hyperlink>
    </w:p>
    <w:p>
      <w:pPr>
        <w:pStyle w:val="para20"/>
      </w:pPr>
      <w:hyperlink w:anchor="_TOC000307" w:history="1">
        <w:r>
          <w:t>1.2</w:t>
          <w:tab/>
          <w:t xml:space="preserve"> Fazit:</w:t>
          <w:tab/>
          <w:t>12</w:t>
        </w:r>
      </w:hyperlink>
    </w:p>
    <w:p>
      <w:pPr>
        <w:pStyle w:val="para20"/>
      </w:pPr>
      <w:hyperlink w:anchor="_TOC000035" w:history="1">
        <w:r>
          <w:t>1.3</w:t>
          <w:tab/>
          <w:t xml:space="preserve"> Wie Zellen aus der Nahrung Energie erzeugen</w:t>
          <w:tab/>
          <w:t>13</w:t>
        </w:r>
      </w:hyperlink>
    </w:p>
    <w:p>
      <w:pPr>
        <w:pStyle w:val="para21"/>
      </w:pPr>
      <w:hyperlink w:anchor="_TOC000036" w:history="1">
        <w:r>
          <w:t>1.3.1</w:t>
          <w:tab/>
          <w:t xml:space="preserve"> Die </w:t>
          <w:fldChar w:fldCharType="begin"/>
          <w:instrText xml:space="preserve">XE "Mitochondrien" \G </w:instrText>
          <w:fldChar w:fldCharType="end"/>
          <w:t>Mitochondrien</w:t>
          <w:tab/>
          <w:t>14</w:t>
        </w:r>
      </w:hyperlink>
    </w:p>
    <w:p>
      <w:pPr>
        <w:pStyle w:val="para22"/>
      </w:pPr>
      <w:hyperlink w:anchor="_TOC000301" w:history="1">
        <w:r>
          <w:t>1.3.1.1</w:t>
          <w:tab/>
          <w:t xml:space="preserve"> Wie die </w:t>
          <w:fldChar w:fldCharType="begin"/>
          <w:instrText xml:space="preserve">XE "Mitochondrien" \G </w:instrText>
          <w:fldChar w:fldCharType="end"/>
          <w:t>Mitochondrien Energie erzeugen</w:t>
          <w:tab/>
          <w:t>14</w:t>
        </w:r>
      </w:hyperlink>
    </w:p>
    <w:p>
      <w:pPr>
        <w:pStyle w:val="para21"/>
      </w:pPr>
      <w:hyperlink w:anchor="_TOC000302" w:history="1">
        <w:r>
          <w:t>1.3.2</w:t>
          <w:tab/>
          <w:t xml:space="preserve"> Freie Radikale, </w:t>
          <w:fldChar w:fldCharType="begin"/>
          <w:instrText xml:space="preserve">XE "oxidativer Stress" \G </w:instrText>
          <w:fldChar w:fldCharType="end"/>
          <w:t xml:space="preserve">oxidativer Stress und </w:t>
          <w:fldChar w:fldCharType="begin"/>
          <w:instrText xml:space="preserve">XE "Antioxidantien" \G </w:instrText>
          <w:fldChar w:fldCharType="end"/>
          <w:t>Antioxidantien</w:t>
          <w:tab/>
          <w:t>15</w:t>
        </w:r>
      </w:hyperlink>
    </w:p>
    <w:p>
      <w:pPr>
        <w:pStyle w:val="para21"/>
      </w:pPr>
      <w:hyperlink w:anchor="_TOC000271" w:history="1">
        <w:r>
          <w:t>1.3.3</w:t>
          <w:tab/>
          <w:t xml:space="preserve"> Anthocyane</w:t>
          <w:tab/>
          <w:t>16</w:t>
        </w:r>
      </w:hyperlink>
    </w:p>
    <w:p>
      <w:pPr>
        <w:pStyle w:val="para20"/>
      </w:pPr>
      <w:hyperlink w:anchor="_TOC000305" w:history="1">
        <w:r>
          <w:t>1.4</w:t>
          <w:tab/>
          <w:t xml:space="preserve"> Problemstoffe im Getreide</w:t>
          <w:tab/>
          <w:t>17</w:t>
        </w:r>
      </w:hyperlink>
    </w:p>
    <w:p>
      <w:pPr>
        <w:pStyle w:val="para21"/>
      </w:pPr>
      <w:hyperlink w:anchor="_TOC000053" w:history="1">
        <w:r>
          <w:t>1.4.1</w:t>
          <w:tab/>
          <w:t xml:space="preserve"> </w:t>
          <w:fldChar w:fldCharType="begin"/>
          <w:instrText xml:space="preserve">XE "Lektine" \G </w:instrText>
          <w:fldChar w:fldCharType="end"/>
          <w:t>Lektine</w:t>
          <w:tab/>
          <w:t>17</w:t>
        </w:r>
      </w:hyperlink>
    </w:p>
    <w:p>
      <w:pPr>
        <w:pStyle w:val="para22"/>
      </w:pPr>
      <w:hyperlink w:anchor="_TOC000243" w:history="1">
        <w:r>
          <w:t>1.4.1.1</w:t>
          <w:tab/>
          <w:t xml:space="preserve"> </w:t>
          <w:fldChar w:fldCharType="begin"/>
          <w:instrText xml:space="preserve">XE "Lektine" \G </w:instrText>
          <w:fldChar w:fldCharType="end"/>
          <w:t>Lektine schwächen den Darm und das Immunsystem</w:t>
          <w:tab/>
          <w:t>18</w:t>
        </w:r>
      </w:hyperlink>
    </w:p>
    <w:p>
      <w:pPr>
        <w:pStyle w:val="para22"/>
      </w:pPr>
      <w:hyperlink w:anchor="_TOC000205" w:history="1">
        <w:r>
          <w:t>1.4.1.2</w:t>
          <w:tab/>
          <w:t xml:space="preserve"> </w:t>
          <w:fldChar w:fldCharType="begin"/>
          <w:instrText xml:space="preserve">XE "Lektine" \G </w:instrText>
          <w:fldChar w:fldCharType="end"/>
          <w:t>Lektine stören den Muskelaufbau</w:t>
          <w:tab/>
          <w:t>18</w:t>
        </w:r>
      </w:hyperlink>
    </w:p>
    <w:p>
      <w:pPr>
        <w:pStyle w:val="para22"/>
      </w:pPr>
      <w:hyperlink w:anchor="_TOC000055" w:history="1">
        <w:r>
          <w:t>1.4.1.3</w:t>
          <w:tab/>
          <w:t xml:space="preserve"> </w:t>
          <w:fldChar w:fldCharType="begin"/>
          <w:instrText xml:space="preserve">XE "Lektine" \G </w:instrText>
          <w:fldChar w:fldCharType="end"/>
          <w:t>Lektine machen langsam</w:t>
          <w:tab/>
          <w:t>18</w:t>
        </w:r>
      </w:hyperlink>
    </w:p>
    <w:p>
      <w:pPr>
        <w:pStyle w:val="para22"/>
      </w:pPr>
      <w:hyperlink w:anchor="_TOC000056" w:history="1">
        <w:r>
          <w:t>1.4.1.4</w:t>
          <w:tab/>
          <w:t xml:space="preserve"> </w:t>
          <w:fldChar w:fldCharType="begin"/>
          <w:instrText xml:space="preserve">XE "Lektine" \G </w:instrText>
          <w:fldChar w:fldCharType="end"/>
          <w:t>Lektine greifen Gelenkstrukturen an</w:t>
          <w:tab/>
          <w:t>18</w:t>
        </w:r>
      </w:hyperlink>
    </w:p>
    <w:p>
      <w:pPr>
        <w:pStyle w:val="para22"/>
      </w:pPr>
      <w:hyperlink w:anchor="_TOC000247" w:history="1">
        <w:r>
          <w:t>1.4.1.5</w:t>
          <w:tab/>
          <w:t xml:space="preserve"> </w:t>
          <w:fldChar w:fldCharType="begin"/>
          <w:instrText xml:space="preserve">XE "Lektine" \G </w:instrText>
          <w:fldChar w:fldCharType="end"/>
          <w:t>Lektine Lebensmittel-Liste</w:t>
          <w:tab/>
          <w:t>19</w:t>
        </w:r>
      </w:hyperlink>
    </w:p>
    <w:p>
      <w:pPr>
        <w:pStyle w:val="para21"/>
      </w:pPr>
      <w:hyperlink w:anchor="_TOC000058" w:history="1">
        <w:r>
          <w:t>1.4.2</w:t>
          <w:tab/>
          <w:t xml:space="preserve"> </w:t>
          <w:fldChar w:fldCharType="begin"/>
          <w:instrText xml:space="preserve">XE "Phytinsäure" \G </w:instrText>
          <w:fldChar w:fldCharType="end"/>
          <w:t xml:space="preserve">Phytinsäure im Getreide verringert </w:t>
          <w:fldChar w:fldCharType="begin"/>
          <w:instrText xml:space="preserve">XE "Vitamine" \G </w:instrText>
          <w:fldChar w:fldCharType="end"/>
          <w:t>Vitamine und Mineralien</w:t>
          <w:tab/>
          <w:t>20</w:t>
        </w:r>
      </w:hyperlink>
    </w:p>
    <w:p>
      <w:pPr>
        <w:pStyle w:val="para22"/>
      </w:pPr>
      <w:hyperlink w:anchor="_TOC000213" w:history="1">
        <w:r>
          <w:t>1.4.2.1</w:t>
          <w:tab/>
          <w:t xml:space="preserve"> Lebensmittel mit </w:t>
          <w:fldChar w:fldCharType="begin"/>
          <w:instrText xml:space="preserve">XE "Phytinsäure" \G </w:instrText>
          <w:fldChar w:fldCharType="end"/>
          <w:t>Phytinsäure</w:t>
          <w:tab/>
          <w:t>21</w:t>
        </w:r>
      </w:hyperlink>
    </w:p>
    <w:p>
      <w:pPr>
        <w:pStyle w:val="para21"/>
      </w:pPr>
      <w:hyperlink w:anchor="_TOC000362" w:history="1">
        <w:r>
          <w:t>1.4.3</w:t>
          <w:tab/>
          <w:t xml:space="preserve"> </w:t>
          <w:fldChar w:fldCharType="begin"/>
          <w:instrText xml:space="preserve">XE "Gluten" \G </w:instrText>
          <w:fldChar w:fldCharType="end"/>
          <w:t>Gluten im Getreide greift die Darmschleimhäute an</w:t>
          <w:tab/>
          <w:t>22</w:t>
        </w:r>
      </w:hyperlink>
    </w:p>
    <w:p>
      <w:pPr>
        <w:pStyle w:val="para21"/>
      </w:pPr>
      <w:hyperlink w:anchor="_TOC000363" w:history="1">
        <w:r>
          <w:t>1.4.4</w:t>
          <w:tab/>
          <w:t xml:space="preserve"> Ist Vollkorn gesünder?</w:t>
          <w:tab/>
          <w:t>23</w:t>
        </w:r>
      </w:hyperlink>
    </w:p>
    <w:p>
      <w:pPr>
        <w:pStyle w:val="para21"/>
      </w:pPr>
      <w:hyperlink w:anchor="_TOC000005" w:history="1">
        <w:r>
          <w:t>1.4.5</w:t>
          <w:tab/>
          <w:t xml:space="preserve"> Darf ich mir mein Weizenbier noch gönnen?</w:t>
          <w:tab/>
          <w:t>23</w:t>
        </w:r>
      </w:hyperlink>
    </w:p>
    <w:p>
      <w:pPr>
        <w:pStyle w:val="para21"/>
      </w:pPr>
      <w:hyperlink w:anchor="_TOC000309" w:history="1">
        <w:r>
          <w:t>1.4.6</w:t>
          <w:tab/>
          <w:t xml:space="preserve"> Fazit</w:t>
          <w:tab/>
          <w:t>23</w:t>
        </w:r>
      </w:hyperlink>
    </w:p>
    <w:p>
      <w:pPr>
        <w:pStyle w:val="para20"/>
      </w:pPr>
      <w:hyperlink w:anchor="_TOC000310" w:history="1">
        <w:r>
          <w:t>1.5</w:t>
          <w:tab/>
          <w:t xml:space="preserve"> Proteine (</w:t>
          <w:fldChar w:fldCharType="begin"/>
          <w:instrText xml:space="preserve">XE "Eiweiß" \G </w:instrText>
          <w:fldChar w:fldCharType="end"/>
          <w:t>Eiweiß)</w:t>
          <w:tab/>
          <w:t>24</w:t>
        </w:r>
      </w:hyperlink>
    </w:p>
    <w:p>
      <w:pPr>
        <w:pStyle w:val="para21"/>
      </w:pPr>
      <w:hyperlink w:anchor="_TOC000317" w:history="1">
        <w:r>
          <w:t>1.5.1</w:t>
          <w:tab/>
          <w:t xml:space="preserve"> Hochwertige Eiweißversorgung</w:t>
          <w:tab/>
          <w:t>24</w:t>
        </w:r>
      </w:hyperlink>
    </w:p>
    <w:p>
      <w:pPr>
        <w:pStyle w:val="para22"/>
      </w:pPr>
      <w:hyperlink w:anchor="_TOC000077" w:history="1">
        <w:r>
          <w:t>1.5.1.1</w:t>
          <w:tab/>
          <w:t xml:space="preserve"> Tierisches </w:t>
          <w:fldChar w:fldCharType="begin"/>
          <w:instrText xml:space="preserve">XE "Eiweiß" \G </w:instrText>
          <w:fldChar w:fldCharType="end"/>
          <w:t>Eiweiß</w:t>
          <w:tab/>
          <w:t>25</w:t>
        </w:r>
      </w:hyperlink>
    </w:p>
    <w:p>
      <w:pPr>
        <w:pStyle w:val="para22"/>
      </w:pPr>
      <w:hyperlink w:anchor="_TOC000078" w:history="1">
        <w:r>
          <w:t>1.5.1.2</w:t>
          <w:tab/>
          <w:t xml:space="preserve"> Eier</w:t>
          <w:tab/>
          <w:t>26</w:t>
        </w:r>
      </w:hyperlink>
    </w:p>
    <w:p>
      <w:pPr>
        <w:pStyle w:val="para22"/>
      </w:pPr>
      <w:hyperlink w:anchor="_TOC000080" w:history="1">
        <w:r>
          <w:t>1.5.1.3</w:t>
          <w:tab/>
          <w:t xml:space="preserve"> </w:t>
          <w:fldChar w:fldCharType="begin"/>
          <w:instrText xml:space="preserve">XE "Milchprodukte" \G </w:instrText>
          <w:fldChar w:fldCharType="end"/>
          <w:t>Milchprodukte</w:t>
          <w:tab/>
          <w:t>26</w:t>
        </w:r>
      </w:hyperlink>
    </w:p>
    <w:p>
      <w:pPr>
        <w:pStyle w:val="para22"/>
      </w:pPr>
      <w:hyperlink w:anchor="_TOC000197" w:history="1">
        <w:r>
          <w:t>1.5.1.4</w:t>
          <w:tab/>
          <w:t xml:space="preserve"> Pflanzliches </w:t>
          <w:fldChar w:fldCharType="begin"/>
          <w:instrText xml:space="preserve">XE "Eiweiß" \G </w:instrText>
          <w:fldChar w:fldCharType="end"/>
          <w:t>Eiweiß</w:t>
          <w:tab/>
          <w:t>27</w:t>
        </w:r>
      </w:hyperlink>
    </w:p>
    <w:p>
      <w:pPr>
        <w:pStyle w:val="para22"/>
      </w:pPr>
      <w:hyperlink w:anchor="_TOC000318" w:history="1">
        <w:r>
          <w:t>1.5.1.5</w:t>
          <w:tab/>
          <w:t xml:space="preserve"> Sparsam mit </w:t>
          <w:fldChar w:fldCharType="begin"/>
          <w:instrText xml:space="preserve">XE "Soja" \G </w:instrText>
          <w:fldChar w:fldCharType="end"/>
          <w:t>Soja und Tofu</w:t>
          <w:tab/>
          <w:t>28</w:t>
        </w:r>
      </w:hyperlink>
    </w:p>
    <w:p>
      <w:pPr>
        <w:pStyle w:val="para21"/>
      </w:pPr>
      <w:hyperlink w:anchor="_TOC000312" w:history="1">
        <w:r>
          <w:t>1.5.2</w:t>
          <w:tab/>
          <w:t xml:space="preserve"> Fazit</w:t>
          <w:tab/>
          <w:t>28</w:t>
        </w:r>
      </w:hyperlink>
    </w:p>
    <w:p>
      <w:pPr>
        <w:pStyle w:val="para20"/>
      </w:pPr>
      <w:hyperlink w:anchor="_TOC000012" w:history="1">
        <w:r>
          <w:t>1.6</w:t>
          <w:tab/>
          <w:t xml:space="preserve"> Fette</w:t>
          <w:tab/>
          <w:t>28</w:t>
        </w:r>
      </w:hyperlink>
    </w:p>
    <w:p>
      <w:pPr>
        <w:pStyle w:val="para21"/>
      </w:pPr>
      <w:hyperlink w:anchor="_TOC000067" w:history="1">
        <w:r>
          <w:t>1.6.1</w:t>
          <w:tab/>
          <w:t xml:space="preserve"> Gesättigte </w:t>
          <w:fldChar w:fldCharType="begin"/>
          <w:instrText xml:space="preserve">XE "Fettsäuren" \G </w:instrText>
          <w:fldChar w:fldCharType="end"/>
          <w:t>Fettsäuren</w:t>
          <w:tab/>
          <w:t>29</w:t>
        </w:r>
      </w:hyperlink>
    </w:p>
    <w:p>
      <w:pPr>
        <w:pStyle w:val="para22"/>
      </w:pPr>
      <w:hyperlink w:anchor="_TOC000068" w:history="1">
        <w:r>
          <w:t>1.6.1.1</w:t>
          <w:tab/>
          <w:t xml:space="preserve"> </w:t>
          <w:fldChar w:fldCharType="begin"/>
          <w:instrText xml:space="preserve">XE "Milchfett" \G </w:instrText>
          <w:fldChar w:fldCharType="end"/>
          <w:t>Milchfett: Butter und Sahne</w:t>
          <w:tab/>
          <w:t>30</w:t>
        </w:r>
      </w:hyperlink>
    </w:p>
    <w:p>
      <w:pPr>
        <w:pStyle w:val="para22"/>
      </w:pPr>
      <w:hyperlink w:anchor="_TOC000069" w:history="1">
        <w:r>
          <w:t>1.6.1.2</w:t>
          <w:tab/>
          <w:t xml:space="preserve"> Kokosnuss-Öl</w:t>
          <w:tab/>
          <w:t>30</w:t>
        </w:r>
      </w:hyperlink>
    </w:p>
    <w:p>
      <w:pPr>
        <w:pStyle w:val="para22"/>
      </w:pPr>
      <w:hyperlink w:anchor="_TOC000070" w:history="1">
        <w:r>
          <w:t>1.6.1.3</w:t>
          <w:tab/>
          <w:t xml:space="preserve"> </w:t>
          <w:fldChar w:fldCharType="begin"/>
          <w:instrText xml:space="preserve">XE "Palmöl" \G </w:instrText>
          <w:fldChar w:fldCharType="end"/>
          <w:t>Palmöl</w:t>
          <w:tab/>
          <w:t>30</w:t>
        </w:r>
      </w:hyperlink>
    </w:p>
    <w:p>
      <w:pPr>
        <w:pStyle w:val="para21"/>
      </w:pPr>
      <w:hyperlink w:anchor="_TOC000335" w:history="1">
        <w:r>
          <w:t>1.6.2</w:t>
          <w:tab/>
          <w:t xml:space="preserve"> Gehärtete Fette</w:t>
          <w:tab/>
          <w:t>31</w:t>
        </w:r>
      </w:hyperlink>
    </w:p>
    <w:p>
      <w:pPr>
        <w:pStyle w:val="para21"/>
      </w:pPr>
      <w:hyperlink w:anchor="_TOC000320" w:history="1">
        <w:r>
          <w:t>1.6.3</w:t>
          <w:tab/>
          <w:t xml:space="preserve"> </w:t>
          <w:fldChar w:fldCharType="begin"/>
          <w:instrText xml:space="preserve">XE "Transfettsäuren" \G </w:instrText>
          <w:fldChar w:fldCharType="end"/>
          <w:t>Transfettsäuren - der Feind Ihrer Vitalität</w:t>
          <w:tab/>
          <w:t>31</w:t>
        </w:r>
      </w:hyperlink>
    </w:p>
    <w:p>
      <w:pPr>
        <w:pStyle w:val="para22"/>
      </w:pPr>
      <w:hyperlink w:anchor="_TOC000336" w:history="1">
        <w:r>
          <w:t>1.6.3.1</w:t>
          <w:tab/>
          <w:t xml:space="preserve"> Beispiele für Lebensmittel mit gehärteten Fetten</w:t>
          <w:tab/>
          <w:t>32</w:t>
        </w:r>
      </w:hyperlink>
    </w:p>
    <w:p>
      <w:pPr>
        <w:pStyle w:val="para21"/>
      </w:pPr>
      <w:hyperlink w:anchor="_TOC000028" w:history="1">
        <w:r>
          <w:t>1.6.4</w:t>
          <w:tab/>
          <w:t xml:space="preserve"> </w:t>
          <w:fldChar w:fldCharType="begin"/>
          <w:instrText xml:space="preserve">XE "Mehrfach ungesättigte Fettsäuren" \G </w:instrText>
          <w:fldChar w:fldCharType="end"/>
          <w:t xml:space="preserve">Mehrfach ungesättigte </w:t>
          <w:fldChar w:fldCharType="begin"/>
          <w:instrText xml:space="preserve">XE "Fettsäuren" \G </w:instrText>
          <w:fldChar w:fldCharType="end"/>
          <w:t>Fettsäuren</w:t>
          <w:tab/>
          <w:t>33</w:t>
        </w:r>
      </w:hyperlink>
    </w:p>
    <w:p>
      <w:pPr>
        <w:pStyle w:val="para22"/>
      </w:pPr>
      <w:hyperlink w:anchor="_TOC000024" w:history="1">
        <w:r>
          <w:t>1.6.4.1</w:t>
          <w:tab/>
          <w:t xml:space="preserve"> Omega-3-</w:t>
          <w:fldChar w:fldCharType="begin"/>
          <w:instrText xml:space="preserve">XE "Fettsäuren" \G </w:instrText>
          <w:fldChar w:fldCharType="end"/>
          <w:t>Fettsäuren</w:t>
          <w:tab/>
          <w:t>33</w:t>
        </w:r>
      </w:hyperlink>
    </w:p>
    <w:p>
      <w:pPr>
        <w:pStyle w:val="para22"/>
      </w:pPr>
      <w:hyperlink w:anchor="_TOC000027" w:history="1">
        <w:r>
          <w:t>1.6.4.2</w:t>
          <w:tab/>
          <w:t xml:space="preserve"> Omega-6-</w:t>
          <w:fldChar w:fldCharType="begin"/>
          <w:instrText xml:space="preserve">XE "Fettsäuren" \G </w:instrText>
          <w:fldChar w:fldCharType="end"/>
          <w:t>Fettsäuren</w:t>
          <w:tab/>
          <w:t>34</w:t>
        </w:r>
      </w:hyperlink>
    </w:p>
    <w:p>
      <w:pPr>
        <w:pStyle w:val="para21"/>
      </w:pPr>
      <w:hyperlink w:anchor="_TOC000045" w:history="1">
        <w:r>
          <w:t>1.6.5</w:t>
          <w:tab/>
          <w:t xml:space="preserve"> Die "Omega-6 zu Omega-3-Balance" ist wichtig</w:t>
          <w:tab/>
          <w:t>38</w:t>
        </w:r>
      </w:hyperlink>
    </w:p>
    <w:p>
      <w:pPr>
        <w:pStyle w:val="para22"/>
      </w:pPr>
      <w:hyperlink w:anchor="_TOC000244" w:history="1">
        <w:r>
          <w:t>1.6.5.1</w:t>
          <w:tab/>
          <w:t xml:space="preserve"> Die Omega-3 zu Omega-6-Tabelle für Lebensmittel</w:t>
          <w:tab/>
          <w:t>38</w:t>
        </w:r>
      </w:hyperlink>
    </w:p>
    <w:p>
      <w:pPr>
        <w:pStyle w:val="para22"/>
      </w:pPr>
      <w:hyperlink w:anchor="_TOC000294" w:history="1">
        <w:r>
          <w:t>1.6.5.2</w:t>
          <w:tab/>
          <w:t xml:space="preserve"> So verringerst du den Anteil an Omega-6-</w:t>
          <w:fldChar w:fldCharType="begin"/>
          <w:instrText xml:space="preserve">XE "Fettsäuren" \G </w:instrText>
          <w:fldChar w:fldCharType="end"/>
          <w:t>Fettsäuren</w:t>
          <w:tab/>
          <w:t>42</w:t>
        </w:r>
      </w:hyperlink>
    </w:p>
    <w:p>
      <w:pPr>
        <w:pStyle w:val="para22"/>
      </w:pPr>
      <w:hyperlink w:anchor="_TOC000245" w:history="1">
        <w:r>
          <w:t>1.6.5.3</w:t>
          <w:tab/>
          <w:t xml:space="preserve"> So erhöhst du den Anteil an Omega-3-</w:t>
          <w:fldChar w:fldCharType="begin"/>
          <w:instrText xml:space="preserve">XE "Fettsäuren" \G </w:instrText>
          <w:fldChar w:fldCharType="end"/>
          <w:t>Fettsäuren</w:t>
          <w:tab/>
          <w:t>42</w:t>
        </w:r>
      </w:hyperlink>
    </w:p>
    <w:p>
      <w:pPr>
        <w:pStyle w:val="para21"/>
      </w:pPr>
      <w:hyperlink w:anchor="_TOC000313" w:history="1">
        <w:r>
          <w:t>1.6.6</w:t>
          <w:tab/>
          <w:t xml:space="preserve"> Fazit</w:t>
          <w:tab/>
          <w:t>44</w:t>
        </w:r>
      </w:hyperlink>
    </w:p>
    <w:p>
      <w:pPr>
        <w:pStyle w:val="para20"/>
      </w:pPr>
      <w:hyperlink w:anchor="_TOC000345" w:history="1">
        <w:r>
          <w:t>1.7</w:t>
          <w:tab/>
          <w:t xml:space="preserve"> </w:t>
          <w:fldChar w:fldCharType="begin"/>
          <w:instrText xml:space="preserve">XE "Mikronährstoffe" \G </w:instrText>
          <w:fldChar w:fldCharType="end"/>
          <w:t>Mikronährstoffe</w:t>
          <w:tab/>
          <w:t>45</w:t>
        </w:r>
      </w:hyperlink>
    </w:p>
    <w:p>
      <w:pPr>
        <w:pStyle w:val="para21"/>
      </w:pPr>
      <w:hyperlink w:anchor="_TOC000346" w:history="1">
        <w:r>
          <w:t>1.7.1</w:t>
          <w:tab/>
          <w:t xml:space="preserve"> Funktionen und Bedeutung</w:t>
          <w:tab/>
          <w:t>45</w:t>
        </w:r>
      </w:hyperlink>
    </w:p>
    <w:p>
      <w:pPr>
        <w:pStyle w:val="para21"/>
      </w:pPr>
      <w:hyperlink w:anchor="_TOC000347" w:history="1">
        <w:r>
          <w:t>1.7.2</w:t>
          <w:tab/>
          <w:t xml:space="preserve"> Wichtige Beispiele und ihre Quellen</w:t>
          <w:tab/>
          <w:t>45</w:t>
        </w:r>
      </w:hyperlink>
    </w:p>
    <w:p>
      <w:pPr>
        <w:pStyle w:val="para21"/>
      </w:pPr>
      <w:hyperlink w:anchor="_TOC000348" w:history="1">
        <w:r>
          <w:t>1.7.3</w:t>
          <w:tab/>
          <w:t xml:space="preserve"> </w:t>
          <w:fldChar w:fldCharType="begin"/>
          <w:instrText xml:space="preserve">XE "Vitamine" \G </w:instrText>
          <w:fldChar w:fldCharType="end"/>
          <w:t>Vitamine</w:t>
          <w:tab/>
          <w:t>46</w:t>
        </w:r>
      </w:hyperlink>
    </w:p>
    <w:p>
      <w:pPr>
        <w:pStyle w:val="para20"/>
      </w:pPr>
      <w:hyperlink w:anchor="_TOC000355" w:history="1">
        <w:r>
          <w:t>1.8</w:t>
          <w:tab/>
          <w:t xml:space="preserve"> </w:t>
          <w:fldChar w:fldCharType="begin"/>
          <w:instrText xml:space="preserve">XE "Gewürze" \G </w:instrText>
          <w:fldChar w:fldCharType="end"/>
          <w:t>Gewürze</w:t>
          <w:tab/>
          <w:t>47</w:t>
        </w:r>
      </w:hyperlink>
    </w:p>
    <w:p>
      <w:pPr>
        <w:pStyle w:val="para21"/>
      </w:pPr>
      <w:hyperlink w:anchor="_TOC000007" w:history="1">
        <w:r>
          <w:t>1.8.1</w:t>
          <w:tab/>
          <w:t xml:space="preserve"> </w:t>
          <w:fldChar w:fldCharType="begin"/>
          <w:instrText xml:space="preserve">XE "Chili" \G </w:instrText>
          <w:fldChar w:fldCharType="end"/>
          <w:t>Chili</w:t>
          <w:tab/>
          <w:t>47</w:t>
        </w:r>
      </w:hyperlink>
    </w:p>
    <w:p>
      <w:pPr>
        <w:pStyle w:val="para22"/>
      </w:pPr>
      <w:hyperlink w:anchor="_TOC000009" w:history="1">
        <w:r>
          <w:t>1.8.1.1</w:t>
          <w:tab/>
          <w:t xml:space="preserve"> Capsaicin: Wirkung auf Nerven, Gehirn und Stoffwechsel</w:t>
          <w:tab/>
          <w:t>47</w:t>
        </w:r>
      </w:hyperlink>
    </w:p>
    <w:p>
      <w:pPr>
        <w:pStyle w:val="para22"/>
      </w:pPr>
      <w:hyperlink w:anchor="_TOC000186" w:history="1">
        <w:r>
          <w:t>1.8.1.2</w:t>
          <w:tab/>
          <w:t xml:space="preserve"> Capsaicin regt Verdauung an</w:t>
          <w:tab/>
          <w:t>47</w:t>
        </w:r>
      </w:hyperlink>
    </w:p>
    <w:p>
      <w:pPr>
        <w:pStyle w:val="para22"/>
      </w:pPr>
      <w:hyperlink w:anchor="_TOC000187" w:history="1">
        <w:r>
          <w:t>1.8.1.3</w:t>
          <w:tab/>
          <w:t xml:space="preserve"> Capsaicin bei Erkältung: Schärfe wirkt schleimlösend</w:t>
          <w:tab/>
          <w:t>47</w:t>
        </w:r>
      </w:hyperlink>
    </w:p>
    <w:p>
      <w:pPr>
        <w:pStyle w:val="para22"/>
      </w:pPr>
      <w:hyperlink w:anchor="_TOC000350" w:history="1">
        <w:r>
          <w:t>1.8.1.4</w:t>
          <w:tab/>
          <w:t xml:space="preserve"> Die Scoville-Skala</w:t>
          <w:tab/>
          <w:t>48</w:t>
        </w:r>
      </w:hyperlink>
    </w:p>
    <w:p>
      <w:pPr>
        <w:pStyle w:val="para21"/>
      </w:pPr>
      <w:hyperlink w:anchor="_TOC000356" w:history="1">
        <w:r>
          <w:t>1.8.2</w:t>
          <w:tab/>
          <w:t xml:space="preserve"> </w:t>
          <w:fldChar w:fldCharType="begin"/>
          <w:instrText xml:space="preserve">XE "Ingwer" \G </w:instrText>
          <w:fldChar w:fldCharType="end"/>
          <w:t>Ingwer</w:t>
          <w:tab/>
          <w:t>48</w:t>
        </w:r>
      </w:hyperlink>
    </w:p>
    <w:p>
      <w:pPr>
        <w:pStyle w:val="para21"/>
      </w:pPr>
      <w:hyperlink w:anchor="_TOC000357" w:history="1">
        <w:r>
          <w:t>1.8.3</w:t>
          <w:tab/>
          <w:t xml:space="preserve"> </w:t>
          <w:fldChar w:fldCharType="begin"/>
          <w:instrText xml:space="preserve">XE "Kurkuma" \G </w:instrText>
          <w:fldChar w:fldCharType="end"/>
          <w:t>Kurkuma</w:t>
          <w:tab/>
          <w:t>48</w:t>
        </w:r>
      </w:hyperlink>
    </w:p>
    <w:p>
      <w:pPr>
        <w:pStyle w:val="para22"/>
      </w:pPr>
      <w:hyperlink w:anchor="_TOC000358" w:history="1">
        <w:r>
          <w:t>1.8.3.1</w:t>
          <w:tab/>
          <w:t xml:space="preserve"> Wirkungsbereich von </w:t>
          <w:fldChar w:fldCharType="begin"/>
          <w:instrText xml:space="preserve">XE "Kurkuma" \G </w:instrText>
          <w:fldChar w:fldCharType="end"/>
          <w:t>Kurkuma</w:t>
          <w:tab/>
          <w:t>49</w:t>
        </w:r>
      </w:hyperlink>
    </w:p>
    <w:p>
      <w:pPr>
        <w:pStyle w:val="para21"/>
      </w:pPr>
      <w:hyperlink w:anchor="_TOC000292" w:history="1">
        <w:r>
          <w:t>1.8.4</w:t>
          <w:tab/>
          <w:t xml:space="preserve"> </w:t>
          <w:fldChar w:fldCharType="begin"/>
          <w:instrText xml:space="preserve">XE "Pfeffer" \G </w:instrText>
          <w:fldChar w:fldCharType="end"/>
          <w:t>Pfeffer</w:t>
          <w:tab/>
          <w:t>49</w:t>
        </w:r>
      </w:hyperlink>
    </w:p>
    <w:p>
      <w:pPr>
        <w:pStyle w:val="para22"/>
      </w:pPr>
      <w:hyperlink w:anchor="_TOC000228" w:history="1">
        <w:r>
          <w:t>1.8.4.1</w:t>
          <w:tab/>
          <w:t xml:space="preserve"> Schwarzer </w:t>
          <w:fldChar w:fldCharType="begin"/>
          <w:instrText xml:space="preserve">XE "Pfeffer" \G </w:instrText>
          <w:fldChar w:fldCharType="end"/>
          <w:t>Pfeffer</w:t>
          <w:tab/>
          <w:t>50</w:t>
        </w:r>
      </w:hyperlink>
    </w:p>
    <w:p>
      <w:pPr>
        <w:pStyle w:val="para21"/>
      </w:pPr>
      <w:hyperlink w:anchor="_TOC000043" w:history="1">
        <w:r>
          <w:t>1.8.5</w:t>
          <w:tab/>
          <w:t xml:space="preserve"> </w:t>
          <w:fldChar w:fldCharType="begin"/>
          <w:instrText xml:space="preserve">XE "Zimt" \G </w:instrText>
          <w:fldChar w:fldCharType="end"/>
          <w:t>Zimt</w:t>
          <w:tab/>
          <w:t>51</w:t>
        </w:r>
      </w:hyperlink>
    </w:p>
    <w:p>
      <w:pPr>
        <w:pStyle w:val="para21"/>
      </w:pPr>
      <w:hyperlink w:anchor="_TOC000359" w:history="1">
        <w:r>
          <w:t>1.8.6</w:t>
          <w:tab/>
          <w:t xml:space="preserve"> Scharfe Helfer - </w:t>
          <w:fldChar w:fldCharType="begin"/>
          <w:instrText xml:space="preserve">XE "Meerrettich" \G </w:instrText>
          <w:fldChar w:fldCharType="end"/>
          <w:t xml:space="preserve">Meerrettich, </w:t>
          <w:fldChar w:fldCharType="begin"/>
          <w:instrText xml:space="preserve">XE "Senf" \G </w:instrText>
          <w:fldChar w:fldCharType="end"/>
          <w:t xml:space="preserve">Senf, </w:t>
          <w:fldChar w:fldCharType="begin"/>
          <w:instrText xml:space="preserve">XE "Knoblauch" \G </w:instrText>
          <w:fldChar w:fldCharType="end"/>
          <w:t xml:space="preserve">Knoblauch und </w:t>
          <w:fldChar w:fldCharType="begin"/>
          <w:instrText xml:space="preserve">XE "Zwiebel" \G </w:instrText>
          <w:fldChar w:fldCharType="end"/>
          <w:t>Zwiebel</w:t>
          <w:tab/>
          <w:t>52</w:t>
        </w:r>
      </w:hyperlink>
    </w:p>
    <w:p>
      <w:pPr>
        <w:pStyle w:val="para22"/>
      </w:pPr>
      <w:hyperlink w:anchor="_TOC000194" w:history="1">
        <w:r>
          <w:t>1.8.6.1</w:t>
          <w:tab/>
          <w:t xml:space="preserve"> </w:t>
          <w:fldChar w:fldCharType="begin"/>
          <w:instrText xml:space="preserve">XE "Meerrettich" \G </w:instrText>
          <w:fldChar w:fldCharType="end"/>
          <w:t>Meerrettich</w:t>
          <w:tab/>
          <w:t>52</w:t>
        </w:r>
      </w:hyperlink>
    </w:p>
    <w:p>
      <w:pPr>
        <w:pStyle w:val="para22"/>
      </w:pPr>
      <w:hyperlink w:anchor="_TOC000353" w:history="1">
        <w:r>
          <w:t>1.8.6.2</w:t>
          <w:tab/>
          <w:t xml:space="preserve"> </w:t>
          <w:fldChar w:fldCharType="begin"/>
          <w:instrText xml:space="preserve">XE "Senf" \G </w:instrText>
          <w:fldChar w:fldCharType="end"/>
          <w:t>Senf</w:t>
          <w:tab/>
          <w:t>53</w:t>
        </w:r>
      </w:hyperlink>
    </w:p>
    <w:p>
      <w:pPr>
        <w:pStyle w:val="para22"/>
      </w:pPr>
      <w:hyperlink w:anchor="_TOC000196" w:history="1">
        <w:r>
          <w:t>1.8.6.3</w:t>
          <w:tab/>
          <w:t xml:space="preserve"> </w:t>
          <w:fldChar w:fldCharType="begin"/>
          <w:instrText xml:space="preserve">XE "Zwiebel" \G </w:instrText>
          <w:fldChar w:fldCharType="end"/>
          <w:t xml:space="preserve">Zwiebel und </w:t>
          <w:fldChar w:fldCharType="begin"/>
          <w:instrText xml:space="preserve">XE "Knoblauch" \G </w:instrText>
          <w:fldChar w:fldCharType="end"/>
          <w:t>Knoblauch</w:t>
          <w:tab/>
          <w:t>53</w:t>
        </w:r>
      </w:hyperlink>
    </w:p>
    <w:p>
      <w:pPr>
        <w:pStyle w:val="para21"/>
      </w:pPr>
      <w:hyperlink w:anchor="_TOC000206" w:history="1">
        <w:r>
          <w:t>1.8.7</w:t>
          <w:tab/>
          <w:t xml:space="preserve"> Frische Kräuter</w:t>
          <w:tab/>
          <w:t>54</w:t>
        </w:r>
      </w:hyperlink>
    </w:p>
    <w:p>
      <w:pPr>
        <w:pStyle w:val="para19"/>
        <w:rPr>
          <w:lang w:eastAsia="de-de" w:bidi="de-de"/>
        </w:rPr>
      </w:pPr>
      <w:hyperlink w:anchor="_TOC000303" w:history="1">
        <w:r>
          <w:rPr>
            <w:lang w:eastAsia="de-de" w:bidi="de-de"/>
          </w:rPr>
          <w:t>2</w:t>
          <w:tab/>
          <w:t xml:space="preserve"> Ernährungsmanagement</w:t>
          <w:tab/>
          <w:t>55</w:t>
        </w:r>
      </w:hyperlink>
    </w:p>
    <w:p>
      <w:pPr>
        <w:pStyle w:val="para20"/>
      </w:pPr>
      <w:hyperlink w:anchor="_TOC000102" w:history="1">
        <w:r>
          <w:t>2.1</w:t>
          <w:tab/>
          <w:t xml:space="preserve"> </w:t>
          <w:fldChar w:fldCharType="begin"/>
          <w:instrText xml:space="preserve">XE "Gewichtsmanagement" \G </w:instrText>
          <w:fldChar w:fldCharType="end"/>
          <w:t>Gewichtsmanagement</w:t>
          <w:tab/>
          <w:t>55</w:t>
        </w:r>
      </w:hyperlink>
    </w:p>
    <w:p>
      <w:pPr>
        <w:pStyle w:val="para21"/>
      </w:pPr>
      <w:hyperlink w:anchor="_TOC000264" w:history="1">
        <w:r>
          <w:t>2.1.1</w:t>
          <w:tab/>
          <w:t xml:space="preserve"> </w:t>
          <w:fldChar w:fldCharType="begin"/>
          <w:instrText xml:space="preserve">XE "Gewichtsmanagement" \G </w:instrText>
          <w:fldChar w:fldCharType="end"/>
          <w:t>Gewichtsmanagement geht ganz leicht</w:t>
          <w:tab/>
          <w:t>55</w:t>
        </w:r>
      </w:hyperlink>
    </w:p>
    <w:p>
      <w:pPr>
        <w:pStyle w:val="para21"/>
      </w:pPr>
      <w:hyperlink w:anchor="_TOC000098" w:history="1">
        <w:r>
          <w:t>2.1.2</w:t>
          <w:tab/>
          <w:t xml:space="preserve"> Das Gewicht und </w:t>
          <w:fldChar w:fldCharType="begin"/>
          <w:instrText xml:space="preserve">XE "Arthrose" \G </w:instrText>
          <w:fldChar w:fldCharType="end"/>
          <w:t>Arthrose</w:t>
          <w:tab/>
          <w:t>57</w:t>
        </w:r>
      </w:hyperlink>
    </w:p>
    <w:p>
      <w:pPr>
        <w:pStyle w:val="para21"/>
      </w:pPr>
      <w:hyperlink w:anchor="_TOC000099" w:history="1">
        <w:r>
          <w:t>2.1.3</w:t>
          <w:tab/>
          <w:t xml:space="preserve"> Ein gutes </w:t>
          <w:fldChar w:fldCharType="begin"/>
          <w:instrText xml:space="preserve">XE "Gewichtsmanagement" \G </w:instrText>
          <w:fldChar w:fldCharType="end"/>
          <w:t>Gewichtsmanagement ist entscheidend</w:t>
          <w:tab/>
          <w:t>57</w:t>
        </w:r>
      </w:hyperlink>
    </w:p>
    <w:p>
      <w:pPr>
        <w:pStyle w:val="para22"/>
      </w:pPr>
      <w:hyperlink w:anchor="_TOC000123" w:history="1">
        <w:r>
          <w:t>2.1.3.1</w:t>
          <w:tab/>
          <w:t xml:space="preserve"> </w:t>
          <w:fldChar w:fldCharType="begin"/>
          <w:instrText xml:space="preserve">XE "Gewichtsmanagement" \G </w:instrText>
          <w:fldChar w:fldCharType="end"/>
          <w:t xml:space="preserve">Gewichtsmanagement Schritt 1: Weniger </w:t>
          <w:fldChar w:fldCharType="begin"/>
          <w:instrText xml:space="preserve">XE "Kohlenhydrate" \G </w:instrText>
          <w:fldChar w:fldCharType="end"/>
          <w:t>Kohlenhydrate</w:t>
          <w:tab/>
          <w:t>58</w:t>
        </w:r>
      </w:hyperlink>
    </w:p>
    <w:p>
      <w:pPr>
        <w:pStyle w:val="para22"/>
      </w:pPr>
      <w:hyperlink w:anchor="_TOC000124" w:history="1">
        <w:r>
          <w:t>2.1.3.2</w:t>
          <w:tab/>
          <w:t xml:space="preserve"> </w:t>
          <w:fldChar w:fldCharType="begin"/>
          <w:instrText xml:space="preserve">XE "Gewichtsmanagement" \G </w:instrText>
          <w:fldChar w:fldCharType="end"/>
          <w:t>Gewichtsmanagement Schritt 2: Besseres Timing</w:t>
          <w:tab/>
          <w:t>58</w:t>
        </w:r>
      </w:hyperlink>
    </w:p>
    <w:p>
      <w:pPr>
        <w:pStyle w:val="para22"/>
      </w:pPr>
      <w:hyperlink w:anchor="_TOC000125" w:history="1">
        <w:r>
          <w:t>2.1.3.3</w:t>
          <w:tab/>
          <w:t xml:space="preserve"> </w:t>
          <w:fldChar w:fldCharType="begin"/>
          <w:instrText xml:space="preserve">XE "Gewichtsmanagement" \G </w:instrText>
          <w:fldChar w:fldCharType="end"/>
          <w:t xml:space="preserve">Gewichtsmanagement Schritt 3: Mehr </w:t>
          <w:fldChar w:fldCharType="begin"/>
          <w:instrText xml:space="preserve">XE "Eiweiß" \G </w:instrText>
          <w:fldChar w:fldCharType="end"/>
          <w:t>Eiweiß</w:t>
          <w:tab/>
          <w:t>58</w:t>
        </w:r>
      </w:hyperlink>
    </w:p>
    <w:p>
      <w:pPr>
        <w:pStyle w:val="para22"/>
      </w:pPr>
      <w:hyperlink w:anchor="_TOC000360" w:history="1">
        <w:r>
          <w:t>2.1.3.4</w:t>
          <w:tab/>
          <w:t xml:space="preserve"> Sind Sie Frühstücker?</w:t>
          <w:tab/>
          <w:t>59</w:t>
        </w:r>
      </w:hyperlink>
    </w:p>
    <w:p>
      <w:pPr>
        <w:pStyle w:val="para21"/>
      </w:pPr>
      <w:hyperlink w:anchor="_TOC000126" w:history="1">
        <w:r>
          <w:t>2.1.4</w:t>
          <w:tab/>
          <w:t xml:space="preserve"> Fastenkuren</w:t>
          <w:tab/>
          <w:t>60</w:t>
        </w:r>
      </w:hyperlink>
    </w:p>
    <w:p>
      <w:pPr>
        <w:pStyle w:val="para20"/>
      </w:pPr>
      <w:hyperlink w:anchor="_TOC000324" w:history="1">
        <w:r>
          <w:t>2.2</w:t>
          <w:tab/>
          <w:t xml:space="preserve"> Gesunder Darm, gesunde Gelenke</w:t>
          <w:tab/>
          <w:t>61</w:t>
        </w:r>
      </w:hyperlink>
    </w:p>
    <w:p>
      <w:pPr>
        <w:pStyle w:val="para21"/>
      </w:pPr>
      <w:hyperlink w:anchor="_TOC000127" w:history="1">
        <w:r>
          <w:t>2.2.1</w:t>
          <w:tab/>
          <w:t xml:space="preserve"> Mikrokosmos im Darm</w:t>
          <w:tab/>
          <w:t>61</w:t>
        </w:r>
      </w:hyperlink>
    </w:p>
    <w:p>
      <w:pPr>
        <w:pStyle w:val="para22"/>
      </w:pPr>
      <w:hyperlink w:anchor="_TOC000128" w:history="1">
        <w:r>
          <w:t>2.2.1.1</w:t>
          <w:tab/>
          <w:t xml:space="preserve"> Was der Darm liebt</w:t>
          <w:tab/>
          <w:t>61</w:t>
        </w:r>
      </w:hyperlink>
    </w:p>
    <w:p>
      <w:pPr>
        <w:pStyle w:val="para22"/>
      </w:pPr>
      <w:hyperlink w:anchor="_TOC000101" w:history="1">
        <w:r>
          <w:t>2.2.1.2</w:t>
          <w:tab/>
          <w:t xml:space="preserve"> Was der Darm hasst</w:t>
          <w:tab/>
          <w:t>63</w:t>
        </w:r>
      </w:hyperlink>
    </w:p>
    <w:p>
      <w:pPr>
        <w:pStyle w:val="para20"/>
      </w:pPr>
      <w:hyperlink w:anchor="_TOC000278" w:history="1">
        <w:r>
          <w:t>2.3</w:t>
          <w:tab/>
          <w:t xml:space="preserve"> Eisenaufnahme optimieren</w:t>
          <w:tab/>
          <w:t>64</w:t>
        </w:r>
      </w:hyperlink>
    </w:p>
    <w:p>
      <w:pPr>
        <w:pStyle w:val="para21"/>
      </w:pPr>
      <w:hyperlink w:anchor="_TOC000198" w:history="1">
        <w:r>
          <w:t>2.3.1</w:t>
          <w:tab/>
          <w:t xml:space="preserve"> Förderstoffe der Eisenaufnahme</w:t>
          <w:tab/>
          <w:t>64</w:t>
        </w:r>
      </w:hyperlink>
    </w:p>
    <w:p>
      <w:pPr>
        <w:pStyle w:val="para21"/>
      </w:pPr>
      <w:hyperlink w:anchor="_TOC000199" w:history="1">
        <w:r>
          <w:t>2.3.2</w:t>
          <w:tab/>
          <w:t xml:space="preserve"> Hemmstoffe der Eisenaufnahme</w:t>
          <w:tab/>
          <w:t>64</w:t>
        </w:r>
      </w:hyperlink>
    </w:p>
    <w:p>
      <w:pPr>
        <w:pStyle w:val="para21"/>
      </w:pPr>
      <w:hyperlink w:anchor="_TOC000215" w:history="1">
        <w:r>
          <w:t>2.3.3</w:t>
          <w:tab/>
          <w:t xml:space="preserve"> </w:t>
        </w:r>
        <w:r>
          <w:rPr>
            <w:lang w:eastAsia="zh-cn" w:bidi="ar-sa"/>
          </w:rPr>
          <w:t>Eisenhaltige Lebensmittel</w:t>
        </w:r>
        <w:r>
          <w:tab/>
          <w:t>65</w:t>
        </w:r>
      </w:hyperlink>
    </w:p>
    <w:p>
      <w:pPr>
        <w:pStyle w:val="para21"/>
      </w:pPr>
      <w:hyperlink w:anchor="_TOC000092" w:history="1">
        <w:r>
          <w:t>2.3.4</w:t>
          <w:tab/>
          <w:t xml:space="preserve"> Problemstoff Oxalsäure</w:t>
          <w:tab/>
          <w:t>68</w:t>
        </w:r>
      </w:hyperlink>
    </w:p>
    <w:p>
      <w:pPr>
        <w:pStyle w:val="para22"/>
      </w:pPr>
      <w:hyperlink w:anchor="_TOC000224" w:history="1">
        <w:r>
          <w:t>2.3.4.1</w:t>
          <w:tab/>
          <w:t xml:space="preserve"> Oxalsäure hemmt die Eisenaufnahme</w:t>
          <w:tab/>
          <w:t>68</w:t>
        </w:r>
      </w:hyperlink>
    </w:p>
    <w:p>
      <w:pPr>
        <w:pStyle w:val="para22"/>
      </w:pPr>
      <w:hyperlink w:anchor="_TOC000219" w:history="1">
        <w:r>
          <w:t>2.3.4.2</w:t>
          <w:tab/>
          <w:t xml:space="preserve"> Blanchieren und Schälen reduzieren den Oxalsäuregehalt</w:t>
          <w:tab/>
          <w:t>69</w:t>
        </w:r>
      </w:hyperlink>
    </w:p>
    <w:p>
      <w:pPr>
        <w:pStyle w:val="para22"/>
      </w:pPr>
      <w:hyperlink w:anchor="_TOC000220" w:history="1">
        <w:r>
          <w:t>2.3.4.3</w:t>
          <w:tab/>
          <w:t xml:space="preserve"> Schwarzen Tee am besten englisch genießen</w:t>
          <w:tab/>
          <w:t>69</w:t>
        </w:r>
      </w:hyperlink>
    </w:p>
    <w:p>
      <w:pPr>
        <w:pStyle w:val="para22"/>
      </w:pPr>
      <w:hyperlink w:anchor="_TOC000235" w:history="1">
        <w:r>
          <w:t>2.3.4.4</w:t>
          <w:tab/>
          <w:t xml:space="preserve"> Matcha-Tee</w:t>
          <w:tab/>
          <w:t>69</w:t>
        </w:r>
      </w:hyperlink>
    </w:p>
    <w:p>
      <w:pPr>
        <w:pStyle w:val="para21"/>
      </w:pPr>
      <w:hyperlink w:anchor="_TOC000200" w:history="1">
        <w:r>
          <w:t>2.3.5</w:t>
          <w:tab/>
          <w:t xml:space="preserve"> Sechs Strategien für gute Eisenversorgung</w:t>
          <w:tab/>
          <w:t>70</w:t>
        </w:r>
      </w:hyperlink>
    </w:p>
    <w:p>
      <w:pPr>
        <w:pStyle w:val="para20"/>
      </w:pPr>
      <w:hyperlink w:anchor="_TOC000326" w:history="1">
        <w:r>
          <w:t>2.4</w:t>
          <w:tab/>
          <w:t xml:space="preserve"> Wer viel Hochverarbeitetes isst, martert seine Gesundheit</w:t>
          <w:tab/>
          <w:t>71</w:t>
        </w:r>
      </w:hyperlink>
    </w:p>
    <w:p>
      <w:pPr>
        <w:pStyle w:val="para21"/>
      </w:pPr>
      <w:hyperlink w:anchor="_TOC000327" w:history="1">
        <w:r>
          <w:t>2.4.1</w:t>
          <w:tab/>
          <w:t xml:space="preserve"> Was steckt denn nun im Essen?</w:t>
          <w:tab/>
          <w:t>71</w:t>
        </w:r>
      </w:hyperlink>
    </w:p>
    <w:p>
      <w:pPr>
        <w:pStyle w:val="para21"/>
      </w:pPr>
      <w:hyperlink w:anchor="_TOC000328" w:history="1">
        <w:r>
          <w:t>2.4.2</w:t>
          <w:tab/>
          <w:t xml:space="preserve"> Eine profitable Industrie</w:t>
          <w:tab/>
          <w:t>72</w:t>
        </w:r>
      </w:hyperlink>
    </w:p>
    <w:p>
      <w:pPr>
        <w:pStyle w:val="para21"/>
      </w:pPr>
      <w:hyperlink w:anchor="_TOC000329" w:history="1">
        <w:r>
          <w:t>2.4.3</w:t>
          <w:tab/>
          <w:t xml:space="preserve"> Anteil in deutschen Supermärkten hoch</w:t>
          <w:tab/>
          <w:t>72</w:t>
        </w:r>
      </w:hyperlink>
    </w:p>
    <w:p>
      <w:pPr>
        <w:pStyle w:val="para21"/>
      </w:pPr>
      <w:hyperlink w:anchor="_TOC000330" w:history="1">
        <w:r>
          <w:t>2.4.4</w:t>
          <w:tab/>
          <w:t xml:space="preserve"> Kosten einer gesunden Ernährung</w:t>
          <w:tab/>
          <w:t>72</w:t>
        </w:r>
      </w:hyperlink>
    </w:p>
    <w:p>
      <w:pPr>
        <w:pStyle w:val="para21"/>
      </w:pPr>
      <w:hyperlink w:anchor="_TOC000331" w:history="1">
        <w:r>
          <w:t>2.4.5</w:t>
          <w:tab/>
          <w:t xml:space="preserve"> Kinder besonders anfällig</w:t>
          <w:tab/>
          <w:t>73</w:t>
        </w:r>
      </w:hyperlink>
    </w:p>
    <w:p>
      <w:pPr>
        <w:pStyle w:val="para19"/>
        <w:rPr>
          <w:lang w:eastAsia="de-de" w:bidi="de-de"/>
        </w:rPr>
      </w:pPr>
      <w:hyperlink w:anchor="_TOC000332" w:history="1">
        <w:r>
          <w:rPr>
            <w:lang w:eastAsia="de-de" w:bidi="de-de"/>
          </w:rPr>
          <w:t>3</w:t>
          <w:tab/>
          <w:t xml:space="preserve"> Ernährung bei Entzündungen, </w:t>
          <w:fldChar w:fldCharType="begin"/>
          <w:instrText xml:space="preserve">XE "Arthrose" \G </w:instrText>
          <w:fldChar w:fldCharType="end"/>
          <w:t>Arthrose und Rheuma</w:t>
          <w:tab/>
          <w:t>74</w:t>
        </w:r>
      </w:hyperlink>
    </w:p>
    <w:p>
      <w:pPr>
        <w:pStyle w:val="para20"/>
      </w:pPr>
      <w:hyperlink w:anchor="_TOC000139" w:history="1">
        <w:r>
          <w:t>3.1</w:t>
          <w:tab/>
          <w:t xml:space="preserve"> Die Anti-Entzündungs-Ernährung</w:t>
          <w:tab/>
          <w:t>74</w:t>
        </w:r>
      </w:hyperlink>
    </w:p>
    <w:p>
      <w:pPr>
        <w:pStyle w:val="para22"/>
      </w:pPr>
      <w:hyperlink w:anchor="_TOC000140" w:history="1">
        <w:r>
          <w:t>3.1.1.1</w:t>
          <w:tab/>
          <w:t xml:space="preserve"> Das bringt die Diät bei rheumatoider Arthritis</w:t>
          <w:tab/>
          <w:t>74</w:t>
        </w:r>
      </w:hyperlink>
    </w:p>
    <w:p>
      <w:pPr>
        <w:pStyle w:val="para22"/>
      </w:pPr>
      <w:hyperlink w:anchor="_TOC000141" w:history="1">
        <w:r>
          <w:t>3.1.1.2</w:t>
          <w:tab/>
          <w:t xml:space="preserve"> Das bringt die Diät bei </w:t>
          <w:fldChar w:fldCharType="begin"/>
          <w:instrText xml:space="preserve">XE "Arthrose" \G </w:instrText>
          <w:fldChar w:fldCharType="end"/>
          <w:t>Arthrose</w:t>
          <w:tab/>
          <w:t>75</w:t>
        </w:r>
      </w:hyperlink>
    </w:p>
    <w:p>
      <w:pPr>
        <w:pStyle w:val="para21"/>
      </w:pPr>
      <w:hyperlink w:anchor="_TOC000142" w:history="1">
        <w:r>
          <w:t>3.1.2</w:t>
          <w:tab/>
          <w:t xml:space="preserve"> Die wichtigsten Nährstoffe der Anti-Entzündungsdiät</w:t>
          <w:tab/>
          <w:t>75</w:t>
        </w:r>
      </w:hyperlink>
    </w:p>
    <w:p>
      <w:pPr>
        <w:pStyle w:val="para22"/>
      </w:pPr>
      <w:hyperlink w:anchor="_TOC000143" w:history="1">
        <w:r>
          <w:t>3.1.2.1</w:t>
          <w:tab/>
          <w:t xml:space="preserve"> </w:t>
          <w:fldChar w:fldCharType="begin"/>
          <w:instrText xml:space="preserve">XE "Antioxidantien" \G </w:instrText>
          <w:fldChar w:fldCharType="end"/>
          <w:t>Antioxidantien</w:t>
          <w:tab/>
          <w:t>75</w:t>
        </w:r>
      </w:hyperlink>
    </w:p>
    <w:p>
      <w:pPr>
        <w:pStyle w:val="para22"/>
      </w:pPr>
      <w:hyperlink w:anchor="_TOC000254" w:history="1">
        <w:r>
          <w:t>3.1.2.2</w:t>
          <w:tab/>
          <w:t xml:space="preserve"> Fette</w:t>
          <w:tab/>
          <w:t>75</w:t>
        </w:r>
      </w:hyperlink>
    </w:p>
    <w:p>
      <w:pPr>
        <w:pStyle w:val="para22"/>
      </w:pPr>
      <w:hyperlink w:anchor="_TOC000148" w:history="1">
        <w:r>
          <w:t>3.1.2.3</w:t>
          <w:tab/>
          <w:t xml:space="preserve"> </w:t>
          <w:fldChar w:fldCharType="begin"/>
          <w:instrText xml:space="preserve">XE "Vitamine" \G </w:instrText>
          <w:fldChar w:fldCharType="end"/>
          <w:t>Vitamine und Mineralien</w:t>
          <w:tab/>
          <w:t>76</w:t>
        </w:r>
      </w:hyperlink>
    </w:p>
    <w:p>
      <w:pPr>
        <w:pStyle w:val="para22"/>
      </w:pPr>
      <w:hyperlink w:anchor="_TOC000338" w:history="1">
        <w:r>
          <w:t>3.1.2.4</w:t>
          <w:tab/>
          <w:t xml:space="preserve"> So viel Fisch, Gemüse und Co. brauchen Sie</w:t>
          <w:tab/>
          <w:t>78</w:t>
        </w:r>
      </w:hyperlink>
    </w:p>
    <w:p>
      <w:pPr>
        <w:pStyle w:val="para21"/>
      </w:pPr>
      <w:hyperlink w:anchor="_TOC000299" w:history="1">
        <w:r>
          <w:t>3.1.3</w:t>
          <w:tab/>
          <w:t xml:space="preserve"> Verzicht tut gut</w:t>
          <w:tab/>
          <w:t>80</w:t>
        </w:r>
      </w:hyperlink>
    </w:p>
    <w:p>
      <w:pPr>
        <w:pStyle w:val="para22"/>
      </w:pPr>
      <w:hyperlink w:anchor="_TOC000159" w:history="1">
        <w:r>
          <w:t>3.1.3.1</w:t>
          <w:tab/>
          <w:t xml:space="preserve"> Entzündungstreiber </w:t>
          <w:fldChar w:fldCharType="begin"/>
          <w:instrText xml:space="preserve">XE "Arachidonsäure" \G </w:instrText>
          <w:fldChar w:fldCharType="end"/>
          <w:t>Arachidonsäure</w:t>
          <w:tab/>
          <w:t>80</w:t>
        </w:r>
      </w:hyperlink>
    </w:p>
    <w:p>
      <w:pPr>
        <w:pStyle w:val="para22"/>
      </w:pPr>
      <w:hyperlink w:anchor="_TOC000160" w:history="1">
        <w:r>
          <w:t>3.1.3.2</w:t>
          <w:tab/>
          <w:t xml:space="preserve"> Entzündungstreiber Weizen</w:t>
          <w:tab/>
          <w:t>80</w:t>
        </w:r>
      </w:hyperlink>
    </w:p>
    <w:p>
      <w:pPr>
        <w:pStyle w:val="para22"/>
      </w:pPr>
      <w:hyperlink w:anchor="_TOC000161" w:history="1">
        <w:r>
          <w:t>3.1.3.3</w:t>
          <w:tab/>
          <w:t xml:space="preserve"> Fasten bei Rheuma</w:t>
          <w:tab/>
          <w:t>80</w:t>
        </w:r>
      </w:hyperlink>
    </w:p>
    <w:p>
      <w:pPr>
        <w:pStyle w:val="para21"/>
      </w:pPr>
      <w:hyperlink w:anchor="_TOC000162" w:history="1">
        <w:r>
          <w:t>3.1.4</w:t>
          <w:tab/>
          <w:t xml:space="preserve"> Das Extra an Vitaminen und Co.</w:t>
          <w:tab/>
          <w:t>81</w:t>
        </w:r>
      </w:hyperlink>
    </w:p>
    <w:p>
      <w:pPr>
        <w:pStyle w:val="para22"/>
      </w:pPr>
      <w:hyperlink w:anchor="_TOC000163" w:history="1">
        <w:r>
          <w:t>3.1.4.1</w:t>
          <w:tab/>
          <w:t xml:space="preserve"> </w:t>
          <w:fldChar w:fldCharType="begin"/>
          <w:instrText xml:space="preserve">XE "Vitamine" \G </w:instrText>
          <w:fldChar w:fldCharType="end"/>
          <w:t>Vitamine</w:t>
          <w:tab/>
          <w:t>81</w:t>
        </w:r>
      </w:hyperlink>
    </w:p>
    <w:p>
      <w:pPr>
        <w:pStyle w:val="para22"/>
      </w:pPr>
      <w:hyperlink w:anchor="_TOC000105" w:history="1">
        <w:r>
          <w:t>3.1.4.2</w:t>
          <w:tab/>
          <w:t xml:space="preserve"> Mineralien und Spurenelemente</w:t>
          <w:tab/>
          <w:t>81</w:t>
        </w:r>
      </w:hyperlink>
    </w:p>
    <w:p>
      <w:pPr>
        <w:pStyle w:val="para21"/>
      </w:pPr>
      <w:hyperlink w:anchor="_TOC000283" w:history="1">
        <w:r>
          <w:t>3.1.5</w:t>
          <w:tab/>
          <w:t xml:space="preserve"> Superfoods gegen Schmerzen</w:t>
          <w:tab/>
          <w:t>82</w:t>
        </w:r>
      </w:hyperlink>
    </w:p>
    <w:p>
      <w:pPr>
        <w:pStyle w:val="para22"/>
      </w:pPr>
      <w:hyperlink w:anchor="_TOC000284" w:history="1">
        <w:r>
          <w:t>3.1.5.1</w:t>
          <w:tab/>
          <w:t xml:space="preserve"> Grüntee</w:t>
          <w:tab/>
          <w:t>82</w:t>
        </w:r>
      </w:hyperlink>
    </w:p>
    <w:p>
      <w:pPr>
        <w:pStyle w:val="para22"/>
      </w:pPr>
      <w:hyperlink w:anchor="_TOC000285" w:history="1">
        <w:r>
          <w:t>3.1.5.2</w:t>
          <w:tab/>
          <w:t xml:space="preserve"> Kirschen</w:t>
          <w:tab/>
          <w:t>82</w:t>
        </w:r>
      </w:hyperlink>
    </w:p>
    <w:p>
      <w:pPr>
        <w:pStyle w:val="para22"/>
      </w:pPr>
      <w:hyperlink w:anchor="_TOC000286" w:history="1">
        <w:r>
          <w:t>3.1.5.3</w:t>
          <w:tab/>
          <w:t xml:space="preserve"> </w:t>
          <w:fldChar w:fldCharType="begin"/>
          <w:instrText xml:space="preserve">XE "Kurkuma" \G </w:instrText>
          <w:fldChar w:fldCharType="end"/>
          <w:t>Kurkuma</w:t>
          <w:tab/>
          <w:t>83</w:t>
        </w:r>
      </w:hyperlink>
    </w:p>
    <w:p>
      <w:pPr>
        <w:pStyle w:val="para22"/>
      </w:pPr>
      <w:hyperlink w:anchor="_TOC000287" w:history="1">
        <w:r>
          <w:t>3.1.5.4</w:t>
          <w:tab/>
          <w:t xml:space="preserve"> Leinöl</w:t>
          <w:tab/>
          <w:t>83</w:t>
        </w:r>
      </w:hyperlink>
    </w:p>
    <w:p>
      <w:pPr>
        <w:pStyle w:val="para22"/>
      </w:pPr>
      <w:hyperlink w:anchor="_TOC000288" w:history="1">
        <w:r>
          <w:t>3.1.5.5</w:t>
          <w:tab/>
          <w:t xml:space="preserve"> </w:t>
          <w:fldChar w:fldCharType="begin"/>
          <w:instrText xml:space="preserve">XE "Ingwer" \G </w:instrText>
          <w:fldChar w:fldCharType="end"/>
          <w:t>Ingwer</w:t>
          <w:tab/>
          <w:t>83</w:t>
        </w:r>
      </w:hyperlink>
    </w:p>
    <w:p>
      <w:pPr>
        <w:pStyle w:val="para22"/>
      </w:pPr>
      <w:hyperlink w:anchor="_TOC000289" w:history="1">
        <w:r>
          <w:t>3.1.5.6</w:t>
          <w:tab/>
          <w:t xml:space="preserve"> Beeren</w:t>
          <w:tab/>
          <w:t>83</w:t>
        </w:r>
      </w:hyperlink>
    </w:p>
    <w:p>
      <w:pPr>
        <w:pStyle w:val="para20"/>
      </w:pPr>
      <w:hyperlink w:anchor="_TOC000018" w:history="1">
        <w:r>
          <w:t>3.2</w:t>
          <w:tab/>
          <w:t xml:space="preserve"> Knorpel heilt doch!</w:t>
          <w:tab/>
          <w:t>84</w:t>
        </w:r>
      </w:hyperlink>
    </w:p>
    <w:p>
      <w:pPr>
        <w:pStyle w:val="para21"/>
      </w:pPr>
      <w:hyperlink w:anchor="_TOC000333" w:history="1">
        <w:r>
          <w:t>3.2.2</w:t>
          <w:tab/>
          <w:t xml:space="preserve"> Wie ein Gelenk aufgebaut ist</w:t>
          <w:tab/>
          <w:t>85</w:t>
        </w:r>
      </w:hyperlink>
    </w:p>
    <w:p>
      <w:pPr>
        <w:pStyle w:val="para21"/>
      </w:pPr>
      <w:hyperlink w:anchor="_TOC000034" w:history="1">
        <w:r>
          <w:t>3.2.3</w:t>
          <w:tab/>
          <w:t xml:space="preserve"> Wie der Knorpel versorgt wird</w:t>
          <w:tab/>
          <w:t>85</w:t>
        </w:r>
      </w:hyperlink>
    </w:p>
    <w:p>
      <w:pPr>
        <w:pStyle w:val="para21"/>
      </w:pPr>
      <w:hyperlink w:anchor="_TOC000106" w:history="1">
        <w:r>
          <w:t>3.2.4</w:t>
          <w:tab/>
          <w:t xml:space="preserve"> Das Krankheitsbild der </w:t>
          <w:fldChar w:fldCharType="begin"/>
          <w:instrText xml:space="preserve">XE "Arthrose" \G </w:instrText>
          <w:fldChar w:fldCharType="end"/>
          <w:t>Arthrose</w:t>
          <w:tab/>
          <w:t>86</w:t>
        </w:r>
      </w:hyperlink>
    </w:p>
    <w:p>
      <w:pPr>
        <w:pStyle w:val="para21"/>
      </w:pPr>
      <w:hyperlink w:anchor="_TOC000107" w:history="1">
        <w:r>
          <w:t>3.2.5</w:t>
          <w:tab/>
          <w:t xml:space="preserve"> Ist auch Rheuma heilbar?</w:t>
          <w:tab/>
          <w:t>88</w:t>
        </w:r>
      </w:hyperlink>
    </w:p>
    <w:p>
      <w:pPr>
        <w:pStyle w:val="para20"/>
      </w:pPr>
      <w:hyperlink w:anchor="_TOC000108" w:history="1">
        <w:r>
          <w:t>3.3</w:t>
          <w:tab/>
          <w:t xml:space="preserve"> Die Dr. Feil Arthrosestrategie</w:t>
          <w:tab/>
          <w:t>89</w:t>
        </w:r>
      </w:hyperlink>
    </w:p>
    <w:p>
      <w:pPr>
        <w:pStyle w:val="para21"/>
      </w:pPr>
      <w:hyperlink w:anchor="_TOC000109" w:history="1">
        <w:r>
          <w:t>3.3.1</w:t>
          <w:tab/>
          <w:t xml:space="preserve"> Baustein 1: Die entzündungssenkende Ernährung</w:t>
          <w:tab/>
          <w:t>89</w:t>
        </w:r>
      </w:hyperlink>
    </w:p>
    <w:p>
      <w:pPr>
        <w:pStyle w:val="para22"/>
      </w:pPr>
      <w:hyperlink w:anchor="_TOC000110" w:history="1">
        <w:r>
          <w:t>3.3.1.1</w:t>
          <w:tab/>
          <w:t xml:space="preserve"> </w:t>
          <w:fldChar w:fldCharType="begin"/>
          <w:instrText xml:space="preserve">XE "Kohlenhydrate" \G </w:instrText>
          <w:fldChar w:fldCharType="end"/>
          <w:t>Kohlenhydrate</w:t>
          <w:tab/>
          <w:t>89</w:t>
        </w:r>
      </w:hyperlink>
    </w:p>
    <w:p>
      <w:pPr>
        <w:pStyle w:val="para22"/>
      </w:pPr>
      <w:hyperlink w:anchor="_TOC000111" w:history="1">
        <w:r>
          <w:t>3.3.1.2</w:t>
          <w:tab/>
          <w:t xml:space="preserve"> Fette und Öle</w:t>
          <w:tab/>
          <w:t>89</w:t>
        </w:r>
      </w:hyperlink>
    </w:p>
    <w:p>
      <w:pPr>
        <w:pStyle w:val="para22"/>
      </w:pPr>
      <w:hyperlink w:anchor="_TOC000343" w:history="1">
        <w:r>
          <w:t>3.3.1.3</w:t>
          <w:tab/>
          <w:t xml:space="preserve"> Die entzündungssenkende Kapazität der Nahrungsmittel</w:t>
          <w:tab/>
          <w:t>91</w:t>
        </w:r>
      </w:hyperlink>
    </w:p>
    <w:p>
      <w:pPr>
        <w:pStyle w:val="para22"/>
      </w:pPr>
      <w:hyperlink w:anchor="_TOC000251" w:history="1">
        <w:r>
          <w:t>3.3.1.4</w:t>
          <w:tab/>
          <w:t xml:space="preserve"> Die FROLOX-Lebensmitteltabellen</w:t>
          <w:tab/>
          <w:t>91</w:t>
        </w:r>
      </w:hyperlink>
    </w:p>
    <w:p>
      <w:pPr>
        <w:pStyle w:val="para21"/>
      </w:pPr>
      <w:hyperlink w:anchor="_TOC000252" w:history="1">
        <w:r>
          <w:t>3.3.2</w:t>
          <w:tab/>
          <w:t xml:space="preserve"> Spezialnährstoffe bei </w:t>
          <w:fldChar w:fldCharType="begin"/>
          <w:instrText xml:space="preserve">XE "Arthrose" \G </w:instrText>
          <w:fldChar w:fldCharType="end"/>
          <w:t>Arthrose</w:t>
          <w:tab/>
          <w:t>97</w:t>
        </w:r>
      </w:hyperlink>
    </w:p>
    <w:p>
      <w:pPr>
        <w:pStyle w:val="para22"/>
      </w:pPr>
      <w:hyperlink w:anchor="_TOC000211" w:history="1">
        <w:r>
          <w:t>3.3.2.1</w:t>
          <w:tab/>
          <w:t xml:space="preserve"> Das Geheimnis der </w:t>
          <w:fldChar w:fldCharType="begin"/>
          <w:instrText xml:space="preserve">XE "Knorpelregeneration" \G </w:instrText>
          <w:fldChar w:fldCharType="end"/>
          <w:t>Knorpelregeneration</w:t>
          <w:tab/>
          <w:t>97</w:t>
        </w:r>
      </w:hyperlink>
    </w:p>
    <w:p>
      <w:pPr>
        <w:pStyle w:val="para22"/>
      </w:pPr>
      <w:hyperlink w:anchor="_TOC000167" w:history="1">
        <w:r>
          <w:t>3.3.2.2</w:t>
          <w:tab/>
          <w:t xml:space="preserve"> </w:t>
          <w:fldChar w:fldCharType="begin"/>
          <w:instrText xml:space="preserve">XE "Knorpelregeneration" \G </w:instrText>
          <w:fldChar w:fldCharType="end"/>
          <w:t>Knorpelregeneration braucht Unterstützung</w:t>
          <w:tab/>
          <w:t>98</w:t>
        </w:r>
      </w:hyperlink>
    </w:p>
    <w:p>
      <w:pPr>
        <w:pStyle w:val="para22"/>
      </w:pPr>
      <w:hyperlink w:anchor="_TOC000168" w:history="1">
        <w:r>
          <w:t>3.3.2.3</w:t>
          <w:tab/>
          <w:t xml:space="preserve"> Knorpel-Baustein Nr. 1: </w:t>
          <w:fldChar w:fldCharType="begin"/>
          <w:instrText xml:space="preserve">XE "Silizium" \G </w:instrText>
          <w:fldChar w:fldCharType="end"/>
          <w:t>Silizium bzw. Kieselsäure</w:t>
          <w:tab/>
          <w:t>98</w:t>
        </w:r>
      </w:hyperlink>
    </w:p>
    <w:p>
      <w:pPr>
        <w:pStyle w:val="para22"/>
      </w:pPr>
      <w:hyperlink w:anchor="_TOC000174" w:history="1">
        <w:r>
          <w:t>3.3.2.4</w:t>
          <w:tab/>
          <w:t xml:space="preserve"> Knorpel-Baustein Nr. 2: Glucosaminsulfat</w:t>
          <w:tab/>
          <w:t>99</w:t>
        </w:r>
      </w:hyperlink>
    </w:p>
    <w:p>
      <w:pPr>
        <w:pStyle w:val="para22"/>
      </w:pPr>
      <w:hyperlink w:anchor="_TOC000175" w:history="1">
        <w:r>
          <w:t>3.3.2.5</w:t>
          <w:tab/>
          <w:t xml:space="preserve"> Knorpel-Baustein Nr. 3: Chondroitinsulfat</w:t>
          <w:tab/>
          <w:t>100</w:t>
        </w:r>
      </w:hyperlink>
    </w:p>
    <w:p>
      <w:pPr>
        <w:pStyle w:val="para22"/>
      </w:pPr>
      <w:hyperlink w:anchor="_TOC000212" w:history="1">
        <w:r>
          <w:t>3.3.2.6</w:t>
          <w:tab/>
          <w:t xml:space="preserve"> Knorpel-Baustein Nr. 4: Kollagen-Hydrolysat</w:t>
          <w:tab/>
          <w:t>100</w:t>
        </w:r>
      </w:hyperlink>
    </w:p>
    <w:p>
      <w:pPr>
        <w:pStyle w:val="para21"/>
      </w:pPr>
      <w:hyperlink w:anchor="_TOC000314" w:history="1">
        <w:r>
          <w:t>3.3.3</w:t>
          <w:tab/>
          <w:t xml:space="preserve"> Mentaltraining und Heilung</w:t>
          <w:tab/>
          <w:t>101</w:t>
        </w:r>
      </w:hyperlink>
    </w:p>
    <w:p>
      <w:pPr>
        <w:pStyle w:val="para20"/>
      </w:pPr>
      <w:hyperlink w:anchor="_TOC000315" w:history="1">
        <w:r>
          <w:t>3.4</w:t>
          <w:tab/>
          <w:t xml:space="preserve"> Ernährung bei </w:t>
          <w:fldChar w:fldCharType="begin"/>
          <w:instrText xml:space="preserve">XE "Gicht" \G </w:instrText>
          <w:fldChar w:fldCharType="end"/>
          <w:t xml:space="preserve">Gicht: Diese Kost dämmt die </w:t>
          <w:fldChar w:fldCharType="begin"/>
          <w:instrText xml:space="preserve">XE "Harnsäure" \G </w:instrText>
          <w:fldChar w:fldCharType="end"/>
          <w:t>Harnsäure ein</w:t>
          <w:tab/>
          <w:t>103</w:t>
        </w:r>
      </w:hyperlink>
    </w:p>
    <w:p>
      <w:pPr>
        <w:pStyle w:val="para21"/>
      </w:pPr>
      <w:hyperlink w:anchor="_TOC000017" w:history="1">
        <w:r>
          <w:t>3.4.1</w:t>
          <w:tab/>
          <w:t xml:space="preserve"> Diese Lebensmittel dürfen Gichtkranke genießen</w:t>
          <w:tab/>
          <w:t>104</w:t>
        </w:r>
      </w:hyperlink>
    </w:p>
    <w:p>
      <w:pPr>
        <w:pStyle w:val="para21"/>
      </w:pPr>
      <w:hyperlink w:anchor="_TOC000182" w:history="1">
        <w:r>
          <w:t>3.4.2</w:t>
          <w:tab/>
          <w:t xml:space="preserve"> Diese Lebensmittel sollten Gichtkranke möglichst meiden</w:t>
          <w:tab/>
          <w:t>104</w:t>
        </w:r>
      </w:hyperlink>
    </w:p>
    <w:p>
      <w:pPr>
        <w:pStyle w:val="para21"/>
      </w:pPr>
      <w:hyperlink w:anchor="_TOC000183" w:history="1">
        <w:r>
          <w:t>3.4.3</w:t>
          <w:tab/>
          <w:t xml:space="preserve"> Purin in Lebensmitteln</w:t>
          <w:tab/>
          <w:t>105</w:t>
        </w:r>
      </w:hyperlink>
    </w:p>
    <w:p>
      <w:pPr>
        <w:pStyle w:val="para19"/>
        <w:rPr>
          <w:lang w:eastAsia="de-de" w:bidi="de-de"/>
        </w:rPr>
      </w:pPr>
      <w:hyperlink w:anchor="_TOC000071" w:history="1">
        <w:r>
          <w:rPr>
            <w:lang w:eastAsia="de-de" w:bidi="de-de"/>
          </w:rPr>
          <w:t>4</w:t>
          <w:tab/>
          <w:t xml:space="preserve"> Die tägliche Salzzufuhr und der Blutdruck</w:t>
          <w:tab/>
          <w:t>107</w:t>
        </w:r>
      </w:hyperlink>
    </w:p>
    <w:p>
      <w:pPr>
        <w:pStyle w:val="para19"/>
        <w:rPr>
          <w:lang w:eastAsia="de-de" w:bidi="de-de"/>
        </w:rPr>
      </w:pPr>
      <w:hyperlink w:anchor="_TOC000073" w:history="1">
        <w:r>
          <w:rPr>
            <w:lang w:eastAsia="de-de" w:bidi="de-de"/>
          </w:rPr>
          <w:t>5</w:t>
          <w:tab/>
          <w:t xml:space="preserve"> Rezepte von Dr. Feil</w:t>
          <w:tab/>
          <w:t>110</w:t>
        </w:r>
      </w:hyperlink>
    </w:p>
    <w:p>
      <w:pPr>
        <w:pStyle w:val="para20"/>
      </w:pPr>
      <w:hyperlink w:anchor="_TOC000114" w:history="1">
        <w:r>
          <w:t>5.1</w:t>
          <w:tab/>
          <w:t xml:space="preserve"> Selbstgemachtes Müsli (ohne Getreide)</w:t>
          <w:tab/>
          <w:t>110</w:t>
        </w:r>
      </w:hyperlink>
    </w:p>
    <w:p>
      <w:pPr>
        <w:pStyle w:val="para20"/>
      </w:pPr>
      <w:hyperlink w:anchor="_TOC000082" w:history="1">
        <w:r>
          <w:t>5.2</w:t>
          <w:tab/>
          <w:t xml:space="preserve"> Porridge in Joghurt und Banane </w:t>
          <w:tab/>
          <w:t>111</w:t>
        </w:r>
      </w:hyperlink>
    </w:p>
    <w:p>
      <w:pPr>
        <w:pStyle w:val="para20"/>
      </w:pPr>
      <w:hyperlink w:anchor="_TOC000255" w:history="1">
        <w:r>
          <w:t>5.3</w:t>
          <w:tab/>
          <w:t xml:space="preserve"> Minestrone</w:t>
          <w:tab/>
          <w:t>112</w:t>
        </w:r>
      </w:hyperlink>
    </w:p>
    <w:p>
      <w:pPr>
        <w:pStyle w:val="para20"/>
      </w:pPr>
      <w:hyperlink w:anchor="_TOC000115" w:history="1">
        <w:r>
          <w:t>5.4</w:t>
          <w:tab/>
          <w:t xml:space="preserve"> Radicchio-Pilz-Salat mit Maronen</w:t>
          <w:tab/>
          <w:t>113</w:t>
        </w:r>
      </w:hyperlink>
    </w:p>
    <w:p>
      <w:pPr>
        <w:pStyle w:val="para20"/>
      </w:pPr>
      <w:hyperlink w:anchor="_TOC000267" w:history="1">
        <w:r>
          <w:t>5.5</w:t>
          <w:tab/>
          <w:t xml:space="preserve"> Buchweizen-Bratlinge mit Kräuterquark</w:t>
          <w:tab/>
          <w:t>114</w:t>
        </w:r>
      </w:hyperlink>
    </w:p>
    <w:p>
      <w:pPr>
        <w:pStyle w:val="para20"/>
      </w:pPr>
      <w:hyperlink w:anchor="_TOC000256" w:history="1">
        <w:r>
          <w:t>5.6</w:t>
          <w:tab/>
          <w:t xml:space="preserve"> Gefüllte Gewürzpfannkuchen mit Shrimps und Schinken</w:t>
          <w:tab/>
          <w:t>115</w:t>
        </w:r>
      </w:hyperlink>
    </w:p>
    <w:p>
      <w:pPr>
        <w:pStyle w:val="para20"/>
      </w:pPr>
      <w:hyperlink w:anchor="_TOC000339" w:history="1">
        <w:r>
          <w:t>5.7</w:t>
          <w:tab/>
          <w:t xml:space="preserve"> Gemüse mit selbst gemachtem Pesto</w:t>
          <w:tab/>
          <w:t>116</w:t>
        </w:r>
      </w:hyperlink>
    </w:p>
    <w:p>
      <w:pPr>
        <w:pStyle w:val="para20"/>
      </w:pPr>
      <w:hyperlink w:anchor="_TOC000116" w:history="1">
        <w:r>
          <w:t>5.8</w:t>
          <w:tab/>
          <w:t xml:space="preserve"> Avocadodip mit Gemüsesticks</w:t>
          <w:tab/>
          <w:t>117</w:t>
        </w:r>
      </w:hyperlink>
    </w:p>
    <w:p>
      <w:pPr>
        <w:pStyle w:val="para20"/>
      </w:pPr>
      <w:hyperlink w:anchor="_TOC000257" w:history="1">
        <w:r>
          <w:t>5.9</w:t>
          <w:tab/>
          <w:t xml:space="preserve"> Wildlachs an Mandelbrokkoli mit Limettensauce</w:t>
          <w:tab/>
          <w:t>118</w:t>
        </w:r>
      </w:hyperlink>
    </w:p>
    <w:p>
      <w:pPr>
        <w:pStyle w:val="para20"/>
      </w:pPr>
      <w:hyperlink w:anchor="_TOC000122" w:history="1">
        <w:r>
          <w:t>5.10</w:t>
          <w:tab/>
          <w:t xml:space="preserve"> Eingelegter Hering mit Zwiebeln, Äpfeln und Essiggurken</w:t>
          <w:tab/>
          <w:t>119</w:t>
        </w:r>
      </w:hyperlink>
    </w:p>
    <w:p>
      <w:pPr>
        <w:pStyle w:val="para20"/>
      </w:pPr>
      <w:hyperlink w:anchor="_TOC000279" w:history="1">
        <w:r>
          <w:t>5.11</w:t>
          <w:tab/>
          <w:t xml:space="preserve"> Ofenkartoffeln mit Avocadosoße</w:t>
          <w:tab/>
          <w:t>120</w:t>
        </w:r>
      </w:hyperlink>
    </w:p>
    <w:p>
      <w:pPr>
        <w:pStyle w:val="para20"/>
      </w:pPr>
      <w:hyperlink w:anchor="_TOC000274" w:history="1">
        <w:r>
          <w:t>5.12</w:t>
          <w:tab/>
          <w:t xml:space="preserve"> Eiersalat mit grünem Spargel</w:t>
          <w:tab/>
          <w:t>121</w:t>
        </w:r>
      </w:hyperlink>
    </w:p>
    <w:p>
      <w:pPr>
        <w:pStyle w:val="para20"/>
      </w:pPr>
      <w:hyperlink w:anchor="_TOC000179" w:history="1">
        <w:r>
          <w:t>5.13</w:t>
          <w:tab/>
          <w:t xml:space="preserve"> Mango-Avocado-Salat mit Garnelen</w:t>
          <w:tab/>
          <w:t>122</w:t>
        </w:r>
      </w:hyperlink>
    </w:p>
    <w:p>
      <w:pPr>
        <w:pStyle w:val="para20"/>
      </w:pPr>
      <w:hyperlink w:anchor="_TOC000178" w:history="1">
        <w:r>
          <w:t>5.14</w:t>
          <w:tab/>
          <w:t xml:space="preserve"> Auberginen-Tomaten-Auflauf</w:t>
          <w:tab/>
          <w:t>123</w:t>
        </w:r>
      </w:hyperlink>
    </w:p>
    <w:p>
      <w:pPr>
        <w:pStyle w:val="para20"/>
      </w:pPr>
      <w:hyperlink w:anchor="_TOC000230" w:history="1">
        <w:r>
          <w:t>5.15</w:t>
          <w:tab/>
          <w:t xml:space="preserve"> Minibraten mit Wurzelgemüse</w:t>
          <w:tab/>
          <w:t>124</w:t>
        </w:r>
      </w:hyperlink>
    </w:p>
    <w:p>
      <w:pPr>
        <w:pStyle w:val="para20"/>
      </w:pPr>
      <w:hyperlink w:anchor="_TOC000234" w:history="1">
        <w:r>
          <w:t>5.16</w:t>
          <w:tab/>
          <w:t xml:space="preserve"> Gulasch mit Paprika, Zwiebeln, Tomatenmark, dazu Dinkelbandnudeln</w:t>
          <w:tab/>
          <w:t>125</w:t>
        </w:r>
      </w:hyperlink>
    </w:p>
    <w:p>
      <w:pPr>
        <w:pStyle w:val="para20"/>
      </w:pPr>
      <w:hyperlink w:anchor="_TOC000258" w:history="1">
        <w:r>
          <w:t>5.17</w:t>
          <w:tab/>
          <w:t xml:space="preserve"> Rinderragout mit Roter Bete</w:t>
          <w:tab/>
          <w:t>126</w:t>
        </w:r>
      </w:hyperlink>
    </w:p>
    <w:p>
      <w:pPr>
        <w:pStyle w:val="para20"/>
      </w:pPr>
      <w:hyperlink w:anchor="_TOC000236" w:history="1">
        <w:r>
          <w:t>5.18</w:t>
          <w:tab/>
          <w:t xml:space="preserve"> Gemüsecouscous mit Rinderfilet</w:t>
          <w:tab/>
          <w:t>127</w:t>
        </w:r>
      </w:hyperlink>
    </w:p>
    <w:p>
      <w:pPr>
        <w:pStyle w:val="para20"/>
      </w:pPr>
      <w:hyperlink w:anchor="_TOC000074" w:history="1">
        <w:r>
          <w:t>5.19</w:t>
          <w:tab/>
          <w:t xml:space="preserve"> Rinderschmorbraten nach Dr. Feil</w:t>
          <w:tab/>
          <w:t>128</w:t>
        </w:r>
      </w:hyperlink>
    </w:p>
    <w:p>
      <w:pPr>
        <w:pStyle w:val="para20"/>
      </w:pPr>
      <w:hyperlink w:anchor="_TOC000085" w:history="1">
        <w:r>
          <w:t>5.20</w:t>
          <w:tab/>
          <w:t xml:space="preserve"> Brokkoli-Blumenkohl-Bohnen Gemüse mit Hühnchen und Pesto</w:t>
          <w:tab/>
          <w:t>129</w:t>
        </w:r>
      </w:hyperlink>
    </w:p>
    <w:p>
      <w:pPr>
        <w:pStyle w:val="para20"/>
      </w:pPr>
      <w:hyperlink w:anchor="_TOC000086" w:history="1">
        <w:r>
          <w:t>5.21</w:t>
          <w:tab/>
          <w:t xml:space="preserve"> Schoko-</w:t>
          <w:fldChar w:fldCharType="begin"/>
          <w:instrText xml:space="preserve">XE "Zimt" \G </w:instrText>
          <w:fldChar w:fldCharType="end"/>
          <w:t>Zimt-Granola</w:t>
          <w:tab/>
          <w:t>130</w:t>
        </w:r>
      </w:hyperlink>
    </w:p>
    <w:p>
      <w:pPr>
        <w:pStyle w:val="para20"/>
      </w:pPr>
      <w:hyperlink w:anchor="_TOC000259" w:history="1">
        <w:r>
          <w:t>5.22</w:t>
          <w:tab/>
          <w:t xml:space="preserve"> Mousse au Chocolat</w:t>
          <w:tab/>
          <w:t>131</w:t>
        </w:r>
      </w:hyperlink>
    </w:p>
    <w:p>
      <w:pPr>
        <w:pStyle w:val="para20"/>
      </w:pPr>
      <w:hyperlink w:anchor="_TOC000261" w:history="1">
        <w:r>
          <w:t>5.23</w:t>
          <w:tab/>
          <w:t xml:space="preserve"> Obstsalat mit gerösteten Haferflocken</w:t>
          <w:tab/>
          <w:t>132</w:t>
        </w:r>
      </w:hyperlink>
    </w:p>
    <w:p>
      <w:pPr>
        <w:pStyle w:val="para20"/>
      </w:pPr>
      <w:hyperlink w:anchor="_TOC000272" w:history="1">
        <w:r>
          <w:t>5.24</w:t>
          <w:tab/>
          <w:t xml:space="preserve"> Himbeer-Quark-Nachtisch</w:t>
          <w:tab/>
          <w:t>133</w:t>
        </w:r>
      </w:hyperlink>
    </w:p>
    <w:p>
      <w:pPr>
        <w:pStyle w:val="para19"/>
        <w:rPr>
          <w:lang w:eastAsia="de-de" w:bidi="de-de"/>
        </w:rPr>
      </w:pPr>
      <w:hyperlink w:anchor="_TOC000364" w:history="1">
        <w:r>
          <w:rPr>
            <w:lang w:eastAsia="de-de" w:bidi="de-de"/>
          </w:rPr>
          <w:t>6</w:t>
          <w:tab/>
          <w:t xml:space="preserve"> Stichwortverzeichnis</w:t>
          <w:tab/>
          <w:t>135</w:t>
        </w:r>
      </w:hyperlink>
    </w:p>
    <w:p>
      <w:pPr>
        <w:pStyle w:val="para19"/>
        <w:rPr>
          <w:lang w:eastAsia="de-de" w:bidi="de-de"/>
        </w:rPr>
      </w:pPr>
      <w:hyperlink w:anchor="_TOC000232" w:history="1">
        <w:r>
          <w:rPr>
            <w:lang w:eastAsia="de-de" w:bidi="de-de"/>
          </w:rPr>
          <w:t>7</w:t>
          <w:tab/>
          <w:t xml:space="preserve"> Literaturliste</w:t>
          <w:tab/>
          <w:t>137</w:t>
        </w:r>
      </w:hyperlink>
    </w:p>
    <w:p>
      <w:r>
        <w:fldChar w:fldCharType="end"/>
      </w:r>
      <w:r/>
    </w:p>
    <w:p>
      <w:pPr>
        <w:sectPr>
          <w:footnotePr>
            <w:pos w:val="pageBottom"/>
            <w:numFmt w:val="decimal"/>
            <w:numStart w:val="1"/>
            <w:numRestart w:val="continuous"/>
          </w:footnotePr>
          <w:endnotePr>
            <w:pos w:val="docEnd"/>
            <w:numFmt w:val="decimal"/>
            <w:numStart w:val="1"/>
            <w:numRestart w:val="continuous"/>
          </w:endnotePr>
          <w:headerReference w:type="default" r:id="rId17"/>
          <w:footerReference w:type="default" r:id="rId18"/>
          <w:headerReference w:type="even" r:id="rId19"/>
          <w:footerReference w:type="even" r:id="rId20"/>
          <w:type w:val="nextPage"/>
          <w:pgSz w:h="16840" w:w="11900"/>
          <w:pgMar w:left="1984" w:top="1417" w:right="850" w:bottom="1134" w:header="709" w:footer="708"/>
          <w:paperSrc w:first="0" w:other="0" a="0" b="0"/>
          <w:pgNumType w:fmt="lowerRoman"/>
          <w:tmGutter w:val="1"/>
          <w:mirrorMargins w:val="1"/>
          <w:tmSection w:h="-1">
            <w:tmHeader w:id="0" w:h="0" edge="709" text="0">
              <w:shd w:val="none"/>
            </w:tmHeader>
            <w:tmFooter w:id="0" w:h="0" edge="708" text="0">
              <w:shd w:val="none"/>
            </w:tmFooter>
            <w:tmHeader w:id="1" w:h="0" edge="709" text="0">
              <w:shd w:val="none"/>
            </w:tmHeader>
            <w:tmFooter w:id="1"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numPr>
          <w:ilvl w:val="0"/>
          <w:numId w:val="1"/>
        </w:numPr>
        <w:ind w:left="432" w:hanging="432"/>
      </w:pPr>
      <w:r>
        <w:br w:type="page"/>
      </w:r>
      <w:r/>
    </w:p>
    <w:p>
      <w:pPr>
        <w:pStyle w:val="para1"/>
        <w:numPr>
          <w:ilvl w:val="0"/>
          <w:numId w:val="1"/>
        </w:numPr>
        <w:ind w:left="432" w:hanging="432"/>
      </w:pPr>
      <w:r>
        <w:br w:type="page"/>
      </w:r>
      <w:bookmarkStart w:id="1" w:name="_TOC000066"/>
      <w:r>
        <w:t>Die Komponenten der Ernährung</w:t>
      </w:r>
      <w:bookmarkEnd w:id="1"/>
      <w:r/>
    </w:p>
    <w:p>
      <w:pPr>
        <w:ind w:left="907" w:hanging="907"/>
        <w:spacing/>
        <w:jc w:val="left"/>
      </w:pPr>
      <w:r>
        <w:t>Quellen: Feil &amp; Feil: Die F-AS-T Formel, 2014</w:t>
        <w:br w:type="textWrapping"/>
        <w:t>Steffny &amp; Feil: Die Lauf-Diät, Südwest Verlag, 2010</w:t>
      </w:r>
    </w:p>
    <w:p>
      <w:r>
        <w:t>Für alle lebenswichtigen Vorgänge benötigt der Körper Energie, die er aus der Nahrung bezieht. Alles, was man isst, wird im Darm in kleinste Bestandteile zerlegt und über die Blutbahn zu den einzelnen Zellen transportiert oder ausgeschieden. Diese Verarbeitung (Thermogenese) benötigt etwa 10% der täglichen Energieaufnahme. In den Zellen werden diese Bausteine zu neuen Stoffen zusammengesetzt, um z.B. Zellwände, Muskelfasern, Nervenfasern und Knochen aufzubauen.</w:t>
      </w:r>
    </w:p>
    <w:p>
      <w:r>
        <w:t xml:space="preserve">Früher empfahl man Sportlern eine Kalorienverteilung von etwa 60% Kohlenhydraten, 25% </w:t>
        <w:fldChar w:fldCharType="begin"/>
        <w:instrText xml:space="preserve">XE "Fett" \G </w:instrText>
        <w:fldChar w:fldCharType="end"/>
        <w:t xml:space="preserve">Fett und 15% </w:t>
        <w:fldChar w:fldCharType="begin"/>
        <w:instrText xml:space="preserve">XE "Eiweiß" \G </w:instrText>
        <w:fldChar w:fldCharType="end"/>
        <w:t>Eiweiß (Protein</w:t>
      </w:r>
      <w:r>
        <w:fldChar w:fldCharType="begin"/>
        <w:instrText xml:space="preserve">XE "Protein"</w:instrText>
        <w:fldChar w:fldCharType="end"/>
      </w:r>
      <w:r>
        <w:t xml:space="preserve">). Heute weiß man, dass </w:t>
        <w:fldChar w:fldCharType="begin"/>
        <w:instrText xml:space="preserve">XE "Fett" \G </w:instrText>
        <w:fldChar w:fldCharType="end"/>
        <w:t xml:space="preserve">Fett und </w:t>
        <w:fldChar w:fldCharType="begin"/>
        <w:instrText xml:space="preserve">XE "Eiweiß" \G </w:instrText>
        <w:fldChar w:fldCharType="end"/>
        <w:t xml:space="preserve">Eiweiß viel wichtiger sind als </w:t>
        <w:fldChar w:fldCharType="begin"/>
        <w:instrText xml:space="preserve">XE "Kohlenhydrate" \G </w:instrText>
        <w:fldChar w:fldCharType="end"/>
        <w:t xml:space="preserve">Kohlenhydrate. Außerdem wissen wir, dass für einen verbesserten Fettstoffwechsel, für eine verbesserte Regeneration und für ein gestärktes Immunsystem das Verhältnis der Kalorienaufnahme in etwa wie folgt sein sollte: 30% Kohlenhydratkalorien, 50% Fettkalorien und 20% </w:t>
        <w:fldChar w:fldCharType="begin"/>
        <w:instrText xml:space="preserve">XE "Eiweiß" \G </w:instrText>
        <w:fldChar w:fldCharType="end"/>
        <w:t>Eiweiß.</w:t>
      </w:r>
    </w:p>
    <w:p>
      <w:pPr>
        <w:spacing/>
        <w:jc w:val="center"/>
      </w:pPr>
      <w:r>
        <w:rPr>
          <w:noProof/>
        </w:rPr>
        <w:drawing>
          <wp:inline distT="0" distB="0" distL="0" distR="0">
            <wp:extent cx="5090160" cy="2072640"/>
            <wp:effectExtent l="0" t="0" r="0" b="0"/>
            <wp:docPr id="1" name="Grafik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5"/>
                    <pic:cNvPicPr>
                      <a:picLocks noChangeAspect="1"/>
                      <a:codePr string="" type="101"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nAAAAB6IAAAAAAAAAAAAAAQAAAAAAAAAAAAAAAQAAAAAAAAAAAAAAUB8AAMAMAAAAAAAAAAAAAAAAAAAoAAAACAAAAAEAAAABAAAAMAAAABQAAAAAAAAAAAD//wAAAQAAAP//AAABAA=="/>
                        </a:ext>
                      </a:extLst>
                    </pic:cNvPicPr>
                  </pic:nvPicPr>
                  <pic:blipFill>
                    <a:blip r:embed="rId21"/>
                    <a:stretch>
                      <a:fillRect/>
                    </a:stretch>
                  </pic:blipFill>
                  <pic:spPr>
                    <a:xfrm>
                      <a:off x="0" y="0"/>
                      <a:ext cx="5090160" cy="2072640"/>
                    </a:xfrm>
                    <a:prstGeom prst="rect">
                      <a:avLst/>
                    </a:prstGeom>
                    <a:noFill/>
                    <a:ln w="12700">
                      <a:noFill/>
                    </a:ln>
                  </pic:spPr>
                </pic:pic>
              </a:graphicData>
            </a:graphic>
          </wp:inline>
        </w:drawing>
      </w:r>
      <w:r/>
    </w:p>
    <w:p>
      <w:pPr>
        <w:tabs defTabSz="708">
          <w:tab w:val="center" w:pos="1984" w:leader="none"/>
          <w:tab w:val="center" w:pos="6803" w:leader="none"/>
        </w:tabs>
      </w:pPr>
      <w:r>
        <w:tab/>
        <w:t>Kalorienaufteilung früher</w:t>
        <w:tab/>
        <w:t>Kalorienaufteilung heute</w:t>
      </w:r>
    </w:p>
    <w:p>
      <w:pPr>
        <w:spacing/>
        <w:jc w:val="center"/>
      </w:pPr>
      <w:r>
        <w:t>Quelle: Dr. Wolfgang Feil, Friederike Feil: Die F-AS-T Formel, Seite 14</w:t>
      </w:r>
    </w:p>
    <w:p>
      <w:r/>
    </w:p>
    <w:p>
      <w:r>
        <w:t xml:space="preserve">Bei einem 70 kg schweren Menschen und einer Kalorienaufnahme von 2000 Kilokalorien bedeutet das umgerechnet etwa täglich 600 Kilokalorien aus Kohlenhydraten, 1000 Kilokalorien aus </w:t>
        <w:fldChar w:fldCharType="begin"/>
        <w:instrText xml:space="preserve">XE "Fett" \G </w:instrText>
        <w:fldChar w:fldCharType="end"/>
        <w:t xml:space="preserve">Fett und 400 Kilokalorien aus </w:t>
        <w:fldChar w:fldCharType="begin"/>
        <w:instrText xml:space="preserve">XE "Eiweiß" \G </w:instrText>
        <w:fldChar w:fldCharType="end"/>
        <w:t>Eiweiß.</w:t>
      </w:r>
    </w:p>
    <w:p>
      <w:r>
        <w:rPr>
          <w:noProof/>
        </w:rPr>
        <w:drawing>
          <wp:inline distT="0" distB="0" distL="0" distR="0">
            <wp:extent cx="5756910" cy="2142490"/>
            <wp:effectExtent l="0" t="0" r="0" b="0"/>
            <wp:docPr id="2" name="Grafik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16"/>
                    <pic:cNvPicPr>
                      <a:picLocks noChangeAspect="1"/>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sAAAAB6IAAAAAAAAAAAAAAAAAAAAAAAAAAAAAAAAAAAAAAAAAAAAAaiMAAC4NAAAAAAAAAAAAAAAAAAAoAAAACAAAAAEAAAABAAAAMAAAABQAAAAAAAAAAAD//wAAAQAAAP//AAABAA=="/>
                        </a:ext>
                      </a:extLst>
                    </pic:cNvPicPr>
                  </pic:nvPicPr>
                  <pic:blipFill>
                    <a:blip r:embed="rId22"/>
                    <a:stretch>
                      <a:fillRect/>
                    </a:stretch>
                  </pic:blipFill>
                  <pic:spPr>
                    <a:xfrm>
                      <a:off x="0" y="0"/>
                      <a:ext cx="5756910" cy="2142490"/>
                    </a:xfrm>
                    <a:prstGeom prst="rect">
                      <a:avLst/>
                    </a:prstGeom>
                    <a:noFill/>
                    <a:ln w="12700">
                      <a:noFill/>
                    </a:ln>
                  </pic:spPr>
                </pic:pic>
              </a:graphicData>
            </a:graphic>
          </wp:inline>
        </w:drawing>
      </w:r>
      <w:r/>
    </w:p>
    <w:p>
      <w:r/>
    </w:p>
    <w:p>
      <w:pPr>
        <w:rPr>
          <w:sz w:val="28"/>
          <w:szCs w:val="28"/>
        </w:rPr>
      </w:pPr>
      <w:r>
        <w:br w:type="page"/>
      </w:r>
      <w:r>
        <w:rPr>
          <w:sz w:val="28"/>
          <w:szCs w:val="28"/>
        </w:rPr>
        <w:t xml:space="preserve">Listen mit Anteilen von Kohlenhydraten, </w:t>
        <w:fldChar w:fldCharType="begin"/>
        <w:instrText xml:space="preserve">XE "Fett" \G </w:instrText>
        <w:fldChar w:fldCharType="end"/>
        <w:t xml:space="preserve">Fett und </w:t>
        <w:fldChar w:fldCharType="begin"/>
        <w:instrText xml:space="preserve">XE "Eiweiß" \G </w:instrText>
        <w:fldChar w:fldCharType="end"/>
        <w:t>Eiweiß in Lebensmitteln</w:t>
      </w:r>
      <w:r>
        <w:rPr>
          <w:sz w:val="28"/>
          <w:szCs w:val="28"/>
        </w:rPr>
      </w:r>
    </w:p>
    <w:p>
      <w:pPr>
        <w:spacing w:after="120" w:line="240" w:lineRule="atLeast"/>
        <w:rPr>
          <w:sz w:val="18"/>
          <w:szCs w:val="18"/>
        </w:rPr>
      </w:pPr>
      <w:r>
        <w:rPr>
          <w:sz w:val="18"/>
          <w:szCs w:val="18"/>
        </w:rPr>
        <w:t>Die Anteile können je nach Bodenbeschaffenheit und Klima variieren.</w:t>
      </w:r>
      <w:r>
        <w:rPr>
          <w:sz w:val="18"/>
          <w:szCs w:val="18"/>
        </w:rPr>
      </w:r>
    </w:p>
    <w:tbl>
      <w:tblPr>
        <w:tblStyle w:val="TableGrid"/>
        <w:name w:val="Tabelle11"/>
        <w:tabOrder w:val="0"/>
        <w:jc w:val="left"/>
        <w:tblInd w:w="1134" w:type="dxa"/>
        <w:tblW w:w="5283" w:type="dxa"/>
        <w:pPr>
          <w:ind w:left="1134"/>
          <w:spacing w:after="120" w:line="240" w:lineRule="atLeast"/>
          <w:jc w:val="left"/>
        </w:pPr>
        <w:tblLook w:val="04A0" w:firstRow="1" w:lastRow="0" w:firstColumn="1" w:lastColumn="0" w:noHBand="0" w:noVBand="1"/>
      </w:tblPr>
      <w:tblGrid>
        <w:gridCol w:w="2047"/>
        <w:gridCol w:w="3236"/>
      </w:tblGrid>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rPr>
                <w:b/>
                <w:bCs/>
              </w:rPr>
            </w:pPr>
            <w:r>
              <w:rPr>
                <w:b/>
                <w:bCs/>
              </w:rPr>
              <w:t>Gemüse</w:t>
            </w:r>
          </w:p>
        </w:tc>
        <w:tc>
          <w:tcPr>
            <w:tcW w:w="3236" w:type="dxa"/>
            <w:tcMar>
              <w:top w:w="57" w:type="dxa"/>
              <w:left w:w="57" w:type="dxa"/>
              <w:bottom w:w="57" w:type="dxa"/>
              <w:right w:w="57" w:type="dxa"/>
            </w:tcMar>
            <w:tmTcPr id="1766737683" protected="0"/>
          </w:tcPr>
          <w:p>
            <w:pPr>
              <w:spacing w:after="0" w:line="240" w:lineRule="auto"/>
              <w:jc w:val="center"/>
              <w:rPr>
                <w:b/>
                <w:bCs/>
              </w:rPr>
            </w:pPr>
            <w:r>
              <w:rPr>
                <w:b/>
                <w:bCs/>
              </w:rPr>
              <w:fldChar w:fldCharType="begin"/>
              <w:instrText xml:space="preserve">XE "Kohlenhydrate" \G </w:instrText>
              <w:fldChar w:fldCharType="end"/>
              <w:t>Kohlenhydrate in g / 100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Linsen</w:t>
            </w:r>
          </w:p>
        </w:tc>
        <w:tc>
          <w:tcPr>
            <w:tcW w:w="3236" w:type="dxa"/>
            <w:tcMar>
              <w:top w:w="57" w:type="dxa"/>
              <w:left w:w="57" w:type="dxa"/>
              <w:bottom w:w="57" w:type="dxa"/>
              <w:right w:w="57" w:type="dxa"/>
            </w:tcMar>
            <w:tmTcPr id="1766737683" protected="0"/>
          </w:tcPr>
          <w:p>
            <w:pPr>
              <w:spacing w:after="0" w:line="240" w:lineRule="auto"/>
              <w:jc w:val="center"/>
            </w:pPr>
            <w:r>
              <w:t>49,3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Weiße Bohnen</w:t>
            </w:r>
          </w:p>
        </w:tc>
        <w:tc>
          <w:tcPr>
            <w:tcW w:w="3236" w:type="dxa"/>
            <w:tcMar>
              <w:top w:w="57" w:type="dxa"/>
              <w:left w:w="57" w:type="dxa"/>
              <w:bottom w:w="57" w:type="dxa"/>
              <w:right w:w="57" w:type="dxa"/>
            </w:tcMar>
            <w:tmTcPr id="1766737683" protected="0"/>
          </w:tcPr>
          <w:p>
            <w:pPr>
              <w:spacing w:after="0" w:line="240" w:lineRule="auto"/>
              <w:jc w:val="center"/>
            </w:pPr>
            <w:r>
              <w:t>39,8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fldChar w:fldCharType="begin"/>
              <w:instrText xml:space="preserve">XE "Knoblauch" \G </w:instrText>
              <w:fldChar w:fldCharType="end"/>
              <w:t>Knoblauch</w:t>
            </w:r>
          </w:p>
        </w:tc>
        <w:tc>
          <w:tcPr>
            <w:tcW w:w="3236" w:type="dxa"/>
            <w:tcMar>
              <w:top w:w="57" w:type="dxa"/>
              <w:left w:w="57" w:type="dxa"/>
              <w:bottom w:w="57" w:type="dxa"/>
              <w:right w:w="57" w:type="dxa"/>
            </w:tcMar>
            <w:tmTcPr id="1766737683" protected="0"/>
          </w:tcPr>
          <w:p>
            <w:pPr>
              <w:spacing w:after="0" w:line="240" w:lineRule="auto"/>
              <w:jc w:val="center"/>
            </w:pPr>
            <w:r>
              <w:t>28,4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Kichererbsen</w:t>
            </w:r>
          </w:p>
        </w:tc>
        <w:tc>
          <w:tcPr>
            <w:tcW w:w="3236" w:type="dxa"/>
            <w:tcMar>
              <w:top w:w="57" w:type="dxa"/>
              <w:left w:w="57" w:type="dxa"/>
              <w:bottom w:w="57" w:type="dxa"/>
              <w:right w:w="57" w:type="dxa"/>
            </w:tcMar>
            <w:tmTcPr id="1766737683" protected="0"/>
          </w:tcPr>
          <w:p>
            <w:pPr>
              <w:spacing w:after="0" w:line="240" w:lineRule="auto"/>
              <w:jc w:val="center"/>
            </w:pPr>
            <w:r>
              <w:t>21,2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Zuckermais</w:t>
            </w:r>
          </w:p>
        </w:tc>
        <w:tc>
          <w:tcPr>
            <w:tcW w:w="3236" w:type="dxa"/>
            <w:tcMar>
              <w:top w:w="57" w:type="dxa"/>
              <w:left w:w="57" w:type="dxa"/>
              <w:bottom w:w="57" w:type="dxa"/>
              <w:right w:w="57" w:type="dxa"/>
            </w:tcMar>
            <w:tmTcPr id="1766737683" protected="0"/>
          </w:tcPr>
          <w:p>
            <w:pPr>
              <w:spacing w:after="0" w:line="240" w:lineRule="auto"/>
              <w:jc w:val="center"/>
            </w:pPr>
            <w:r>
              <w:t>15,7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Kartoffeln</w:t>
            </w:r>
          </w:p>
        </w:tc>
        <w:tc>
          <w:tcPr>
            <w:tcW w:w="3236" w:type="dxa"/>
            <w:tcMar>
              <w:top w:w="57" w:type="dxa"/>
              <w:left w:w="57" w:type="dxa"/>
              <w:bottom w:w="57" w:type="dxa"/>
              <w:right w:w="57" w:type="dxa"/>
            </w:tcMar>
            <w:tmTcPr id="1766737683" protected="0"/>
          </w:tcPr>
          <w:p>
            <w:pPr>
              <w:spacing w:after="0" w:line="240" w:lineRule="auto"/>
              <w:jc w:val="center"/>
            </w:pPr>
            <w:r>
              <w:t>15,0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Dicke Bohnen</w:t>
            </w:r>
          </w:p>
        </w:tc>
        <w:tc>
          <w:tcPr>
            <w:tcW w:w="3236" w:type="dxa"/>
            <w:tcMar>
              <w:top w:w="57" w:type="dxa"/>
              <w:left w:w="57" w:type="dxa"/>
              <w:bottom w:w="57" w:type="dxa"/>
              <w:right w:w="57" w:type="dxa"/>
            </w:tcMar>
            <w:tmTcPr id="1766737683" protected="0"/>
          </w:tcPr>
          <w:p>
            <w:pPr>
              <w:spacing w:after="0" w:line="240" w:lineRule="auto"/>
              <w:jc w:val="center"/>
            </w:pPr>
            <w:r>
              <w:t>12,5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Pastinake</w:t>
            </w:r>
          </w:p>
        </w:tc>
        <w:tc>
          <w:tcPr>
            <w:tcW w:w="3236" w:type="dxa"/>
            <w:tcMar>
              <w:top w:w="57" w:type="dxa"/>
              <w:left w:w="57" w:type="dxa"/>
              <w:bottom w:w="57" w:type="dxa"/>
              <w:right w:w="57" w:type="dxa"/>
            </w:tcMar>
            <w:tmTcPr id="1766737683" protected="0"/>
          </w:tcPr>
          <w:p>
            <w:pPr>
              <w:spacing w:after="0" w:line="240" w:lineRule="auto"/>
              <w:jc w:val="center"/>
            </w:pPr>
            <w:r>
              <w:t>12,5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Grüne Erbsen</w:t>
            </w:r>
          </w:p>
        </w:tc>
        <w:tc>
          <w:tcPr>
            <w:tcW w:w="3236" w:type="dxa"/>
            <w:tcMar>
              <w:top w:w="57" w:type="dxa"/>
              <w:left w:w="57" w:type="dxa"/>
              <w:bottom w:w="57" w:type="dxa"/>
              <w:right w:w="57" w:type="dxa"/>
            </w:tcMar>
            <w:tmTcPr id="1766737683" protected="0"/>
          </w:tcPr>
          <w:p>
            <w:pPr>
              <w:spacing w:after="0" w:line="240" w:lineRule="auto"/>
              <w:jc w:val="center"/>
            </w:pPr>
            <w:r>
              <w:t>12,3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Limabohne</w:t>
            </w:r>
          </w:p>
        </w:tc>
        <w:tc>
          <w:tcPr>
            <w:tcW w:w="3236" w:type="dxa"/>
            <w:tcMar>
              <w:top w:w="57" w:type="dxa"/>
              <w:left w:w="57" w:type="dxa"/>
              <w:bottom w:w="57" w:type="dxa"/>
              <w:right w:w="57" w:type="dxa"/>
            </w:tcMar>
            <w:tmTcPr id="1766737683" protected="0"/>
          </w:tcPr>
          <w:p>
            <w:pPr>
              <w:spacing w:after="0" w:line="240" w:lineRule="auto"/>
              <w:jc w:val="center"/>
            </w:pPr>
            <w:r>
              <w:t>12,0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Sojabohne</w:t>
            </w:r>
          </w:p>
        </w:tc>
        <w:tc>
          <w:tcPr>
            <w:tcW w:w="3236" w:type="dxa"/>
            <w:tcMar>
              <w:top w:w="57" w:type="dxa"/>
              <w:left w:w="57" w:type="dxa"/>
              <w:bottom w:w="57" w:type="dxa"/>
              <w:right w:w="57" w:type="dxa"/>
            </w:tcMar>
            <w:tmTcPr id="1766737683" protected="0"/>
          </w:tcPr>
          <w:p>
            <w:pPr>
              <w:spacing w:after="0" w:line="240" w:lineRule="auto"/>
              <w:jc w:val="center"/>
            </w:pPr>
            <w:r>
              <w:t>10,4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Lauchzwiebel</w:t>
            </w:r>
          </w:p>
        </w:tc>
        <w:tc>
          <w:tcPr>
            <w:tcW w:w="3236" w:type="dxa"/>
            <w:tcMar>
              <w:top w:w="57" w:type="dxa"/>
              <w:left w:w="57" w:type="dxa"/>
              <w:bottom w:w="57" w:type="dxa"/>
              <w:right w:w="57" w:type="dxa"/>
            </w:tcMar>
            <w:tmTcPr id="1766737683" protected="0"/>
          </w:tcPr>
          <w:p>
            <w:pPr>
              <w:spacing w:after="0" w:line="240" w:lineRule="auto"/>
              <w:jc w:val="center"/>
            </w:pPr>
            <w:r>
              <w:t>8,5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Karotten / Möhren</w:t>
            </w:r>
          </w:p>
        </w:tc>
        <w:tc>
          <w:tcPr>
            <w:tcW w:w="3236" w:type="dxa"/>
            <w:tcMar>
              <w:top w:w="57" w:type="dxa"/>
              <w:left w:w="57" w:type="dxa"/>
              <w:bottom w:w="57" w:type="dxa"/>
              <w:right w:w="57" w:type="dxa"/>
            </w:tcMar>
            <w:tmTcPr id="1766737683" protected="0"/>
          </w:tcPr>
          <w:p>
            <w:pPr>
              <w:spacing w:after="0" w:line="240" w:lineRule="auto"/>
              <w:jc w:val="center"/>
            </w:pPr>
            <w:r>
              <w:t>6,8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Rote Paprika</w:t>
            </w:r>
          </w:p>
        </w:tc>
        <w:tc>
          <w:tcPr>
            <w:tcW w:w="3236" w:type="dxa"/>
            <w:tcMar>
              <w:top w:w="57" w:type="dxa"/>
              <w:left w:w="57" w:type="dxa"/>
              <w:bottom w:w="57" w:type="dxa"/>
              <w:right w:w="57" w:type="dxa"/>
            </w:tcMar>
            <w:tmTcPr id="1766737683" protected="0"/>
          </w:tcPr>
          <w:p>
            <w:pPr>
              <w:spacing w:after="0" w:line="240" w:lineRule="auto"/>
              <w:jc w:val="center"/>
            </w:pPr>
            <w:r>
              <w:t>6,4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Gelbe Paprika</w:t>
            </w:r>
          </w:p>
        </w:tc>
        <w:tc>
          <w:tcPr>
            <w:tcW w:w="3236" w:type="dxa"/>
            <w:tcMar>
              <w:top w:w="57" w:type="dxa"/>
              <w:left w:w="57" w:type="dxa"/>
              <w:bottom w:w="57" w:type="dxa"/>
              <w:right w:w="57" w:type="dxa"/>
            </w:tcMar>
            <w:tmTcPr id="1766737683" protected="0"/>
          </w:tcPr>
          <w:p>
            <w:pPr>
              <w:spacing w:after="0" w:line="240" w:lineRule="auto"/>
              <w:jc w:val="center"/>
            </w:pPr>
            <w:r>
              <w:t>5,3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Grüne Bohnen</w:t>
            </w:r>
          </w:p>
        </w:tc>
        <w:tc>
          <w:tcPr>
            <w:tcW w:w="3236" w:type="dxa"/>
            <w:tcMar>
              <w:top w:w="57" w:type="dxa"/>
              <w:left w:w="57" w:type="dxa"/>
              <w:bottom w:w="57" w:type="dxa"/>
              <w:right w:w="57" w:type="dxa"/>
            </w:tcMar>
            <w:tmTcPr id="1766737683" protected="0"/>
          </w:tcPr>
          <w:p>
            <w:pPr>
              <w:spacing w:after="0" w:line="240" w:lineRule="auto"/>
              <w:jc w:val="center"/>
            </w:pPr>
            <w:r>
              <w:t>5,1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Zwiebeln</w:t>
            </w:r>
          </w:p>
        </w:tc>
        <w:tc>
          <w:tcPr>
            <w:tcW w:w="3236" w:type="dxa"/>
            <w:tcMar>
              <w:top w:w="57" w:type="dxa"/>
              <w:left w:w="57" w:type="dxa"/>
              <w:bottom w:w="57" w:type="dxa"/>
              <w:right w:w="57" w:type="dxa"/>
            </w:tcMar>
            <w:tmTcPr id="1766737683" protected="0"/>
          </w:tcPr>
          <w:p>
            <w:pPr>
              <w:spacing w:after="0" w:line="240" w:lineRule="auto"/>
              <w:jc w:val="center"/>
            </w:pPr>
            <w:r>
              <w:t>4,9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Kürbis</w:t>
            </w:r>
          </w:p>
        </w:tc>
        <w:tc>
          <w:tcPr>
            <w:tcW w:w="3236" w:type="dxa"/>
            <w:tcMar>
              <w:top w:w="57" w:type="dxa"/>
              <w:left w:w="57" w:type="dxa"/>
              <w:bottom w:w="57" w:type="dxa"/>
              <w:right w:w="57" w:type="dxa"/>
            </w:tcMar>
            <w:tmTcPr id="1766737683" protected="0"/>
          </w:tcPr>
          <w:p>
            <w:pPr>
              <w:spacing w:after="0" w:line="240" w:lineRule="auto"/>
              <w:jc w:val="center"/>
            </w:pPr>
            <w:r>
              <w:t>4,6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Weißkohl</w:t>
            </w:r>
          </w:p>
        </w:tc>
        <w:tc>
          <w:tcPr>
            <w:tcW w:w="3236" w:type="dxa"/>
            <w:tcMar>
              <w:top w:w="57" w:type="dxa"/>
              <w:left w:w="57" w:type="dxa"/>
              <w:bottom w:w="57" w:type="dxa"/>
              <w:right w:w="57" w:type="dxa"/>
            </w:tcMar>
            <w:tmTcPr id="1766737683" protected="0"/>
          </w:tcPr>
          <w:p>
            <w:pPr>
              <w:spacing w:after="0" w:line="240" w:lineRule="auto"/>
              <w:jc w:val="center"/>
            </w:pPr>
            <w:r>
              <w:t>4,2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Kohlrabi</w:t>
            </w:r>
          </w:p>
        </w:tc>
        <w:tc>
          <w:tcPr>
            <w:tcW w:w="3236" w:type="dxa"/>
            <w:tcMar>
              <w:top w:w="57" w:type="dxa"/>
              <w:left w:w="57" w:type="dxa"/>
              <w:bottom w:w="57" w:type="dxa"/>
              <w:right w:w="57" w:type="dxa"/>
            </w:tcMar>
            <w:tmTcPr id="1766737683" protected="0"/>
          </w:tcPr>
          <w:p>
            <w:pPr>
              <w:spacing w:after="0" w:line="240" w:lineRule="auto"/>
              <w:jc w:val="center"/>
            </w:pPr>
            <w:r>
              <w:t>3,7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Rotkohl</w:t>
            </w:r>
          </w:p>
        </w:tc>
        <w:tc>
          <w:tcPr>
            <w:tcW w:w="3236" w:type="dxa"/>
            <w:tcMar>
              <w:top w:w="57" w:type="dxa"/>
              <w:left w:w="57" w:type="dxa"/>
              <w:bottom w:w="57" w:type="dxa"/>
              <w:right w:w="57" w:type="dxa"/>
            </w:tcMar>
            <w:tmTcPr id="1766737683" protected="0"/>
          </w:tcPr>
          <w:p>
            <w:pPr>
              <w:spacing w:after="0" w:line="240" w:lineRule="auto"/>
              <w:jc w:val="center"/>
            </w:pPr>
            <w:r>
              <w:t>3,5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Rosenkohl</w:t>
            </w:r>
          </w:p>
        </w:tc>
        <w:tc>
          <w:tcPr>
            <w:tcW w:w="3236" w:type="dxa"/>
            <w:tcMar>
              <w:top w:w="57" w:type="dxa"/>
              <w:left w:w="57" w:type="dxa"/>
              <w:bottom w:w="57" w:type="dxa"/>
              <w:right w:w="57" w:type="dxa"/>
            </w:tcMar>
            <w:tmTcPr id="1766737683" protected="0"/>
          </w:tcPr>
          <w:p>
            <w:pPr>
              <w:spacing w:after="0" w:line="240" w:lineRule="auto"/>
              <w:jc w:val="center"/>
            </w:pPr>
            <w:r>
              <w:t>3,3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Fenchel</w:t>
            </w:r>
          </w:p>
        </w:tc>
        <w:tc>
          <w:tcPr>
            <w:tcW w:w="3236" w:type="dxa"/>
            <w:tcMar>
              <w:top w:w="57" w:type="dxa"/>
              <w:left w:w="57" w:type="dxa"/>
              <w:bottom w:w="57" w:type="dxa"/>
              <w:right w:w="57" w:type="dxa"/>
            </w:tcMar>
            <w:tmTcPr id="1766737683" protected="0"/>
          </w:tcPr>
          <w:p>
            <w:pPr>
              <w:spacing w:after="0" w:line="240" w:lineRule="auto"/>
              <w:jc w:val="center"/>
            </w:pPr>
            <w:r>
              <w:t>3,0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Grüne Paprika</w:t>
            </w:r>
          </w:p>
        </w:tc>
        <w:tc>
          <w:tcPr>
            <w:tcW w:w="3236" w:type="dxa"/>
            <w:tcMar>
              <w:top w:w="57" w:type="dxa"/>
              <w:left w:w="57" w:type="dxa"/>
              <w:bottom w:w="57" w:type="dxa"/>
              <w:right w:w="57" w:type="dxa"/>
            </w:tcMar>
            <w:tmTcPr id="1766737683" protected="0"/>
          </w:tcPr>
          <w:p>
            <w:pPr>
              <w:spacing w:after="0" w:line="240" w:lineRule="auto"/>
              <w:jc w:val="center"/>
            </w:pPr>
            <w:r>
              <w:t>2,9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Brokkoli</w:t>
            </w:r>
          </w:p>
        </w:tc>
        <w:tc>
          <w:tcPr>
            <w:tcW w:w="3236" w:type="dxa"/>
            <w:tcMar>
              <w:top w:w="57" w:type="dxa"/>
              <w:left w:w="57" w:type="dxa"/>
              <w:bottom w:w="57" w:type="dxa"/>
              <w:right w:w="57" w:type="dxa"/>
            </w:tcMar>
            <w:tmTcPr id="1766737683" protected="0"/>
          </w:tcPr>
          <w:p>
            <w:pPr>
              <w:spacing w:after="0" w:line="240" w:lineRule="auto"/>
              <w:jc w:val="center"/>
            </w:pPr>
            <w:r>
              <w:t>2,7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Grünkohl</w:t>
            </w:r>
          </w:p>
        </w:tc>
        <w:tc>
          <w:tcPr>
            <w:tcW w:w="3236" w:type="dxa"/>
            <w:tcMar>
              <w:top w:w="57" w:type="dxa"/>
              <w:left w:w="57" w:type="dxa"/>
              <w:bottom w:w="57" w:type="dxa"/>
              <w:right w:w="57" w:type="dxa"/>
            </w:tcMar>
            <w:tmTcPr id="1766737683" protected="0"/>
          </w:tcPr>
          <w:p>
            <w:pPr>
              <w:spacing w:after="0" w:line="240" w:lineRule="auto"/>
              <w:jc w:val="center"/>
            </w:pPr>
            <w:r>
              <w:t>2,5 g</w:t>
            </w:r>
          </w:p>
        </w:tc>
      </w:tr>
      <w:tr>
        <w:trPr>
          <w:tblHeader w:val="0"/>
          <w:cantSplit w:val="0"/>
          <w:trHeight w:val="0" w:hRule="auto"/>
        </w:trPr>
        <w:tc>
          <w:tcPr>
            <w:tcW w:w="2047" w:type="dxa"/>
            <w:tcMar>
              <w:top w:w="57" w:type="dxa"/>
              <w:left w:w="57" w:type="dxa"/>
              <w:bottom w:w="57" w:type="dxa"/>
              <w:right w:w="57" w:type="dxa"/>
            </w:tcMar>
            <w:tmTcPr id="1766737683" protected="0"/>
          </w:tcPr>
          <w:p>
            <w:pPr>
              <w:spacing w:after="0" w:line="240" w:lineRule="auto"/>
            </w:pPr>
            <w:r>
              <w:t>Blumenkohl</w:t>
            </w:r>
          </w:p>
        </w:tc>
        <w:tc>
          <w:tcPr>
            <w:tcW w:w="3236" w:type="dxa"/>
            <w:tcMar>
              <w:top w:w="57" w:type="dxa"/>
              <w:left w:w="57" w:type="dxa"/>
              <w:bottom w:w="57" w:type="dxa"/>
              <w:right w:w="57" w:type="dxa"/>
            </w:tcMar>
            <w:tmTcPr id="1766737683" protected="0"/>
          </w:tcPr>
          <w:p>
            <w:pPr>
              <w:spacing w:after="0" w:line="240" w:lineRule="auto"/>
              <w:jc w:val="center"/>
            </w:pPr>
            <w:r>
              <w:t>2,3 g</w:t>
            </w:r>
          </w:p>
        </w:tc>
      </w:tr>
    </w:tbl>
    <w:p>
      <w:pPr>
        <w:spacing w:after="120" w:line="240" w:lineRule="atLeast"/>
        <w:jc w:val="left"/>
        <w:rPr>
          <w:sz w:val="18"/>
          <w:szCs w:val="18"/>
        </w:rPr>
      </w:pPr>
      <w:r>
        <w:rPr>
          <w:sz w:val="18"/>
          <w:szCs w:val="18"/>
        </w:rPr>
        <w:t xml:space="preserve">Quelle: </w:t>
      </w:r>
      <w:hyperlink r:id="rId23" w:history="1">
        <w:r>
          <w:rPr>
            <w:rStyle w:val="char20"/>
            <w:sz w:val="18"/>
            <w:szCs w:val="18"/>
          </w:rPr>
          <w:t>https://www.orthomol.com/de-de/ernaehrung/naehrstoffe/</w:t>
          <w:fldChar w:fldCharType="begin"/>
          <w:instrText xml:space="preserve">XE "Kohlenhydrate" \G </w:instrText>
          <w:fldChar w:fldCharType="end"/>
          <w:t>kohlenhydrate-lebensmittel#tabelle-lebensmittel-mit-kohlenhydraten</w:t>
        </w:r>
      </w:hyperlink>
      <w:r>
        <w:rPr>
          <w:sz w:val="18"/>
          <w:szCs w:val="18"/>
        </w:rPr>
        <w:t>, 20.07.2025</w:t>
      </w:r>
      <w:r>
        <w:rPr>
          <w:sz w:val="18"/>
          <w:szCs w:val="18"/>
        </w:rPr>
      </w:r>
    </w:p>
    <w:p>
      <w:pPr>
        <w:spacing w:after="120" w:line="240" w:lineRule="atLeast"/>
        <w:rPr>
          <w:sz w:val="18"/>
          <w:szCs w:val="18"/>
        </w:rPr>
      </w:pPr>
      <w:r>
        <w:rPr>
          <w:sz w:val="18"/>
          <w:szCs w:val="18"/>
        </w:rPr>
      </w:r>
    </w:p>
    <w:p>
      <w:pPr>
        <w:sectPr>
          <w:footnotePr>
            <w:pos w:val="pageBottom"/>
            <w:numFmt w:val="decimal"/>
            <w:numStart w:val="1"/>
            <w:numRestart w:val="continuous"/>
          </w:footnotePr>
          <w:endnotePr>
            <w:pos w:val="docEnd"/>
            <w:numFmt w:val="decimal"/>
            <w:numStart w:val="1"/>
            <w:numRestart w:val="continuous"/>
          </w:endnotePr>
          <w:headerReference w:type="default" r:id="rId24"/>
          <w:footerReference w:type="default" r:id="rId25"/>
          <w:headerReference w:type="even" r:id="rId26"/>
          <w:footerReference w:type="even" r:id="rId27"/>
          <w:type w:val="nextPage"/>
          <w:pgSz w:h="16840" w:w="11900"/>
          <w:pgMar w:left="1984" w:top="1417" w:right="850" w:bottom="1134" w:header="708" w:footer="708"/>
          <w:paperSrc w:first="0" w:other="0" a="0" b="0"/>
          <w:pgNumType w:fmt="decimal" w:start="1"/>
          <w:tmGutter w:val="1"/>
          <w:mirrorMargins w:val="1"/>
          <w:tmSection w:h="-1">
            <w:tmHeader w:id="0" w:h="0" edge="708" text="0">
              <w:shd w:val="none"/>
            </w:tmHeader>
            <w:tmFooter w:id="0" w:h="0" edge="708" text="0">
              <w:shd w:val="none"/>
            </w:tmFooter>
            <w:tmHeader w:id="1" w:h="0" edge="708" text="0">
              <w:shd w:val="none"/>
            </w:tmHeader>
            <w:tmFooter w:id="1"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r>
        <w:br w:type="page"/>
      </w:r>
    </w:p>
    <w:tbl>
      <w:tblPr>
        <w:tblStyle w:val="TableGrid"/>
        <w:name w:val="Tabelle12"/>
        <w:tabOrder w:val="0"/>
        <w:jc w:val="left"/>
        <w:tblInd w:w="0" w:type="dxa"/>
        <w:tblW w:w="4159" w:type="dxa"/>
        <w:pPr>
          <w:spacing w:after="120" w:line="240" w:lineRule="atLeast"/>
          <w:jc w:val="left"/>
        </w:pPr>
        <w:tblLook w:val="04A0" w:firstRow="1" w:lastRow="0" w:firstColumn="1" w:lastColumn="0" w:noHBand="0" w:noVBand="1"/>
      </w:tblPr>
      <w:tblGrid>
        <w:gridCol w:w="2213"/>
        <w:gridCol w:w="1946"/>
      </w:tblGrid>
      <w:tr>
        <w:trPr>
          <w:tblHeader w:val="0"/>
          <w:cantSplit w:val="0"/>
          <w:trHeight w:val="0" w:hRule="auto"/>
        </w:trPr>
        <w:tc>
          <w:tcPr>
            <w:tcW w:w="2213" w:type="dxa"/>
            <w:tcMar>
              <w:top w:w="57" w:type="dxa"/>
              <w:left w:w="57" w:type="dxa"/>
              <w:bottom w:w="57" w:type="dxa"/>
              <w:right w:w="57" w:type="dxa"/>
            </w:tcMar>
            <w:tmTcPr id="1766737683" protected="0"/>
          </w:tcPr>
          <w:p>
            <w:pPr>
              <w:rPr>
                <w:b/>
                <w:bCs/>
              </w:rPr>
            </w:pPr>
            <w:r>
              <w:rPr>
                <w:b/>
                <w:bCs/>
              </w:rPr>
              <w:t>Fette und Öle</w:t>
            </w:r>
          </w:p>
        </w:tc>
        <w:tc>
          <w:tcPr>
            <w:tcW w:w="1946" w:type="dxa"/>
            <w:tcMar>
              <w:top w:w="57" w:type="dxa"/>
              <w:left w:w="57" w:type="dxa"/>
              <w:bottom w:w="57" w:type="dxa"/>
              <w:right w:w="57" w:type="dxa"/>
            </w:tcMar>
            <w:tmTcPr id="1766737683" protected="0"/>
          </w:tcPr>
          <w:p>
            <w:pPr>
              <w:spacing/>
              <w:jc w:val="center"/>
              <w:rPr>
                <w:b/>
                <w:bCs/>
              </w:rPr>
            </w:pPr>
            <w:r>
              <w:rPr>
                <w:b/>
                <w:bCs/>
              </w:rPr>
              <w:fldChar w:fldCharType="begin"/>
              <w:instrText xml:space="preserve">XE "Fett" \G </w:instrText>
              <w:fldChar w:fldCharType="end"/>
              <w:t>Fett in g / 100 g</w:t>
            </w:r>
          </w:p>
        </w:tc>
      </w:tr>
      <w:tr>
        <w:trPr>
          <w:tblHeader w:val="0"/>
          <w:cantSplit w:val="0"/>
          <w:trHeight w:val="0" w:hRule="auto"/>
        </w:trPr>
        <w:tc>
          <w:tcPr>
            <w:tcW w:w="2213" w:type="dxa"/>
            <w:tcMar>
              <w:top w:w="57" w:type="dxa"/>
              <w:left w:w="57" w:type="dxa"/>
              <w:bottom w:w="57" w:type="dxa"/>
              <w:right w:w="57" w:type="dxa"/>
            </w:tcMar>
            <w:tmTcPr id="1766737683" protected="0"/>
          </w:tcPr>
          <w:p>
            <w:pPr/>
            <w:r>
              <w:t>Kakaobutter</w:t>
            </w:r>
          </w:p>
        </w:tc>
        <w:tc>
          <w:tcPr>
            <w:tcW w:w="1946" w:type="dxa"/>
            <w:tcMar>
              <w:top w:w="57" w:type="dxa"/>
              <w:left w:w="57" w:type="dxa"/>
              <w:bottom w:w="57" w:type="dxa"/>
              <w:right w:w="57" w:type="dxa"/>
            </w:tcMar>
            <w:tmTcPr id="1766737683" protected="0"/>
          </w:tcPr>
          <w:p>
            <w:pPr>
              <w:spacing/>
              <w:jc w:val="center"/>
            </w:pPr>
            <w:r>
              <w:t>100,0</w:t>
            </w:r>
          </w:p>
        </w:tc>
      </w:tr>
      <w:tr>
        <w:trPr>
          <w:tblHeader w:val="0"/>
          <w:cantSplit w:val="0"/>
          <w:trHeight w:val="0" w:hRule="auto"/>
        </w:trPr>
        <w:tc>
          <w:tcPr>
            <w:tcW w:w="2213" w:type="dxa"/>
            <w:tcMar>
              <w:top w:w="57" w:type="dxa"/>
              <w:left w:w="57" w:type="dxa"/>
              <w:bottom w:w="57" w:type="dxa"/>
              <w:right w:w="57" w:type="dxa"/>
            </w:tcMar>
            <w:tmTcPr id="1766737683" protected="0"/>
          </w:tcPr>
          <w:p>
            <w:pPr/>
            <w:r>
              <w:t>Rapsöl</w:t>
            </w:r>
          </w:p>
        </w:tc>
        <w:tc>
          <w:tcPr>
            <w:tcW w:w="1946" w:type="dxa"/>
            <w:tcMar>
              <w:top w:w="57" w:type="dxa"/>
              <w:left w:w="57" w:type="dxa"/>
              <w:bottom w:w="57" w:type="dxa"/>
              <w:right w:w="57" w:type="dxa"/>
            </w:tcMar>
            <w:tmTcPr id="1766737683" protected="0"/>
          </w:tcPr>
          <w:p>
            <w:pPr>
              <w:spacing/>
              <w:jc w:val="center"/>
            </w:pPr>
            <w:r>
              <w:t>100,0</w:t>
            </w:r>
          </w:p>
        </w:tc>
      </w:tr>
      <w:tr>
        <w:trPr>
          <w:tblHeader w:val="0"/>
          <w:cantSplit w:val="0"/>
          <w:trHeight w:val="0" w:hRule="auto"/>
        </w:trPr>
        <w:tc>
          <w:tcPr>
            <w:tcW w:w="2213" w:type="dxa"/>
            <w:tcMar>
              <w:top w:w="57" w:type="dxa"/>
              <w:left w:w="57" w:type="dxa"/>
              <w:bottom w:w="57" w:type="dxa"/>
              <w:right w:w="57" w:type="dxa"/>
            </w:tcMar>
            <w:tmTcPr id="1766737683" protected="0"/>
          </w:tcPr>
          <w:p>
            <w:pPr/>
            <w:r>
              <w:t>Weizenkeimöl</w:t>
            </w:r>
          </w:p>
        </w:tc>
        <w:tc>
          <w:tcPr>
            <w:tcW w:w="1946" w:type="dxa"/>
            <w:tcMar>
              <w:top w:w="57" w:type="dxa"/>
              <w:left w:w="57" w:type="dxa"/>
              <w:bottom w:w="57" w:type="dxa"/>
              <w:right w:w="57" w:type="dxa"/>
            </w:tcMar>
            <w:tmTcPr id="1766737683" protected="0"/>
          </w:tcPr>
          <w:p>
            <w:pPr>
              <w:spacing/>
              <w:jc w:val="center"/>
            </w:pPr>
            <w:r>
              <w:t>100,0</w:t>
            </w:r>
          </w:p>
        </w:tc>
      </w:tr>
      <w:tr>
        <w:trPr>
          <w:tblHeader w:val="0"/>
          <w:cantSplit w:val="0"/>
          <w:trHeight w:val="0" w:hRule="auto"/>
        </w:trPr>
        <w:tc>
          <w:tcPr>
            <w:tcW w:w="2213" w:type="dxa"/>
            <w:tcMar>
              <w:top w:w="57" w:type="dxa"/>
              <w:left w:w="57" w:type="dxa"/>
              <w:bottom w:w="57" w:type="dxa"/>
              <w:right w:w="57" w:type="dxa"/>
            </w:tcMar>
            <w:tmTcPr id="1766737683" protected="0"/>
          </w:tcPr>
          <w:p>
            <w:pPr/>
            <w:r>
              <w:t>Distelöl</w:t>
            </w:r>
          </w:p>
        </w:tc>
        <w:tc>
          <w:tcPr>
            <w:tcW w:w="1946" w:type="dxa"/>
            <w:tcMar>
              <w:top w:w="57" w:type="dxa"/>
              <w:left w:w="57" w:type="dxa"/>
              <w:bottom w:w="57" w:type="dxa"/>
              <w:right w:w="57" w:type="dxa"/>
            </w:tcMar>
            <w:tmTcPr id="1766737683" protected="0"/>
          </w:tcPr>
          <w:p>
            <w:pPr>
              <w:spacing/>
              <w:jc w:val="center"/>
            </w:pPr>
            <w:r>
              <w:t>99,9</w:t>
            </w:r>
          </w:p>
        </w:tc>
      </w:tr>
      <w:tr>
        <w:trPr>
          <w:tblHeader w:val="0"/>
          <w:cantSplit w:val="0"/>
          <w:trHeight w:val="0" w:hRule="auto"/>
        </w:trPr>
        <w:tc>
          <w:tcPr>
            <w:tcW w:w="2213" w:type="dxa"/>
            <w:tcMar>
              <w:top w:w="57" w:type="dxa"/>
              <w:left w:w="57" w:type="dxa"/>
              <w:bottom w:w="57" w:type="dxa"/>
              <w:right w:w="57" w:type="dxa"/>
            </w:tcMar>
            <w:tmTcPr id="1766737683" protected="0"/>
          </w:tcPr>
          <w:p>
            <w:pPr/>
            <w:r>
              <w:t>Maiskeimöl</w:t>
            </w:r>
          </w:p>
        </w:tc>
        <w:tc>
          <w:tcPr>
            <w:tcW w:w="1946" w:type="dxa"/>
            <w:tcMar>
              <w:top w:w="57" w:type="dxa"/>
              <w:left w:w="57" w:type="dxa"/>
              <w:bottom w:w="57" w:type="dxa"/>
              <w:right w:w="57" w:type="dxa"/>
            </w:tcMar>
            <w:tmTcPr id="1766737683" protected="0"/>
          </w:tcPr>
          <w:p>
            <w:pPr>
              <w:spacing/>
              <w:jc w:val="center"/>
            </w:pPr>
            <w:r>
              <w:t>99,9</w:t>
            </w:r>
          </w:p>
        </w:tc>
      </w:tr>
      <w:tr>
        <w:trPr>
          <w:tblHeader w:val="0"/>
          <w:cantSplit w:val="0"/>
          <w:trHeight w:val="0" w:hRule="auto"/>
        </w:trPr>
        <w:tc>
          <w:tcPr>
            <w:tcW w:w="2213" w:type="dxa"/>
            <w:tcMar>
              <w:top w:w="57" w:type="dxa"/>
              <w:left w:w="57" w:type="dxa"/>
              <w:bottom w:w="57" w:type="dxa"/>
              <w:right w:w="57" w:type="dxa"/>
            </w:tcMar>
            <w:tmTcPr id="1766737683" protected="0"/>
          </w:tcPr>
          <w:p>
            <w:pPr/>
            <w:r>
              <w:t>Schweineschmalz</w:t>
            </w:r>
          </w:p>
        </w:tc>
        <w:tc>
          <w:tcPr>
            <w:tcW w:w="1946" w:type="dxa"/>
            <w:tcMar>
              <w:top w:w="57" w:type="dxa"/>
              <w:left w:w="57" w:type="dxa"/>
              <w:bottom w:w="57" w:type="dxa"/>
              <w:right w:w="57" w:type="dxa"/>
            </w:tcMar>
            <w:tmTcPr id="1766737683" protected="0"/>
          </w:tcPr>
          <w:p>
            <w:pPr>
              <w:spacing/>
              <w:jc w:val="center"/>
            </w:pPr>
            <w:r>
              <w:t>99,7</w:t>
            </w:r>
          </w:p>
        </w:tc>
      </w:tr>
      <w:tr>
        <w:trPr>
          <w:tblHeader w:val="0"/>
          <w:cantSplit w:val="0"/>
          <w:trHeight w:val="0" w:hRule="auto"/>
        </w:trPr>
        <w:tc>
          <w:tcPr>
            <w:tcW w:w="2213" w:type="dxa"/>
            <w:tcMar>
              <w:top w:w="57" w:type="dxa"/>
              <w:left w:w="57" w:type="dxa"/>
              <w:bottom w:w="57" w:type="dxa"/>
              <w:right w:w="57" w:type="dxa"/>
            </w:tcMar>
            <w:tmTcPr id="1766737683" protected="0"/>
          </w:tcPr>
          <w:p>
            <w:pPr/>
            <w:r>
              <w:fldChar w:fldCharType="begin"/>
              <w:instrText xml:space="preserve">XE "Olivenöl" \G </w:instrText>
              <w:fldChar w:fldCharType="end"/>
              <w:t>Olivenöl</w:t>
            </w:r>
          </w:p>
        </w:tc>
        <w:tc>
          <w:tcPr>
            <w:tcW w:w="1946" w:type="dxa"/>
            <w:tcMar>
              <w:top w:w="57" w:type="dxa"/>
              <w:left w:w="57" w:type="dxa"/>
              <w:bottom w:w="57" w:type="dxa"/>
              <w:right w:w="57" w:type="dxa"/>
            </w:tcMar>
            <w:tmTcPr id="1766737683" protected="0"/>
          </w:tcPr>
          <w:p>
            <w:pPr>
              <w:spacing/>
              <w:jc w:val="center"/>
            </w:pPr>
            <w:r>
              <w:t>99,6</w:t>
            </w:r>
          </w:p>
        </w:tc>
      </w:tr>
      <w:tr>
        <w:trPr>
          <w:tblHeader w:val="0"/>
          <w:cantSplit w:val="0"/>
          <w:trHeight w:val="0" w:hRule="auto"/>
        </w:trPr>
        <w:tc>
          <w:tcPr>
            <w:tcW w:w="2213" w:type="dxa"/>
            <w:tcMar>
              <w:top w:w="57" w:type="dxa"/>
              <w:left w:w="57" w:type="dxa"/>
              <w:bottom w:w="57" w:type="dxa"/>
              <w:right w:w="57" w:type="dxa"/>
            </w:tcMar>
            <w:tmTcPr id="1766737683" protected="0"/>
          </w:tcPr>
          <w:p>
            <w:pPr/>
            <w:r>
              <w:t>Butterschmalz</w:t>
            </w:r>
          </w:p>
        </w:tc>
        <w:tc>
          <w:tcPr>
            <w:tcW w:w="1946" w:type="dxa"/>
            <w:tcMar>
              <w:top w:w="57" w:type="dxa"/>
              <w:left w:w="57" w:type="dxa"/>
              <w:bottom w:w="57" w:type="dxa"/>
              <w:right w:w="57" w:type="dxa"/>
            </w:tcMar>
            <w:tmTcPr id="1766737683" protected="0"/>
          </w:tcPr>
          <w:p>
            <w:pPr>
              <w:spacing/>
              <w:jc w:val="center"/>
            </w:pPr>
            <w:r>
              <w:t>99,5</w:t>
            </w:r>
          </w:p>
        </w:tc>
      </w:tr>
      <w:tr>
        <w:trPr>
          <w:tblHeader w:val="0"/>
          <w:cantSplit w:val="0"/>
          <w:trHeight w:val="0" w:hRule="auto"/>
        </w:trPr>
        <w:tc>
          <w:tcPr>
            <w:tcW w:w="2213" w:type="dxa"/>
            <w:tcMar>
              <w:top w:w="57" w:type="dxa"/>
              <w:left w:w="57" w:type="dxa"/>
              <w:bottom w:w="57" w:type="dxa"/>
              <w:right w:w="57" w:type="dxa"/>
            </w:tcMar>
            <w:tmTcPr id="1766737683" protected="0"/>
          </w:tcPr>
          <w:p>
            <w:pPr/>
            <w:r>
              <w:t>Gänseschmalz</w:t>
            </w:r>
          </w:p>
        </w:tc>
        <w:tc>
          <w:tcPr>
            <w:tcW w:w="1946" w:type="dxa"/>
            <w:tcMar>
              <w:top w:w="57" w:type="dxa"/>
              <w:left w:w="57" w:type="dxa"/>
              <w:bottom w:w="57" w:type="dxa"/>
              <w:right w:w="57" w:type="dxa"/>
            </w:tcMar>
            <w:tmTcPr id="1766737683" protected="0"/>
          </w:tcPr>
          <w:p>
            <w:pPr>
              <w:spacing/>
              <w:jc w:val="center"/>
            </w:pPr>
            <w:r>
              <w:t>99,5</w:t>
            </w:r>
          </w:p>
        </w:tc>
      </w:tr>
      <w:tr>
        <w:trPr>
          <w:tblHeader w:val="0"/>
          <w:cantSplit w:val="0"/>
          <w:trHeight w:val="0" w:hRule="auto"/>
        </w:trPr>
        <w:tc>
          <w:tcPr>
            <w:tcW w:w="2213" w:type="dxa"/>
            <w:tcMar>
              <w:top w:w="57" w:type="dxa"/>
              <w:left w:w="57" w:type="dxa"/>
              <w:bottom w:w="57" w:type="dxa"/>
              <w:right w:w="57" w:type="dxa"/>
            </w:tcMar>
            <w:tmTcPr id="1766737683" protected="0"/>
          </w:tcPr>
          <w:p>
            <w:pPr/>
            <w:r>
              <w:t>Butter</w:t>
            </w:r>
          </w:p>
        </w:tc>
        <w:tc>
          <w:tcPr>
            <w:tcW w:w="1946" w:type="dxa"/>
            <w:tcMar>
              <w:top w:w="57" w:type="dxa"/>
              <w:left w:w="57" w:type="dxa"/>
              <w:bottom w:w="57" w:type="dxa"/>
              <w:right w:w="57" w:type="dxa"/>
            </w:tcMar>
            <w:tmTcPr id="1766737683" protected="0"/>
          </w:tcPr>
          <w:p>
            <w:pPr>
              <w:spacing/>
              <w:jc w:val="center"/>
            </w:pPr>
            <w:r>
              <w:t>83,2</w:t>
            </w:r>
          </w:p>
        </w:tc>
      </w:tr>
      <w:tr>
        <w:trPr>
          <w:tblHeader w:val="0"/>
          <w:cantSplit w:val="0"/>
          <w:trHeight w:val="0" w:hRule="auto"/>
        </w:trPr>
        <w:tc>
          <w:tcPr>
            <w:tcW w:w="2213" w:type="dxa"/>
            <w:tcMar>
              <w:top w:w="57" w:type="dxa"/>
              <w:left w:w="57" w:type="dxa"/>
              <w:bottom w:w="57" w:type="dxa"/>
              <w:right w:w="57" w:type="dxa"/>
            </w:tcMar>
            <w:tmTcPr id="1766737683" protected="0"/>
          </w:tcPr>
          <w:p>
            <w:pPr/>
            <w:r>
              <w:t>Mayonnaise</w:t>
            </w:r>
          </w:p>
        </w:tc>
        <w:tc>
          <w:tcPr>
            <w:tcW w:w="1946" w:type="dxa"/>
            <w:tcMar>
              <w:top w:w="57" w:type="dxa"/>
              <w:left w:w="57" w:type="dxa"/>
              <w:bottom w:w="57" w:type="dxa"/>
              <w:right w:w="57" w:type="dxa"/>
            </w:tcMar>
            <w:tmTcPr id="1766737683" protected="0"/>
          </w:tcPr>
          <w:p>
            <w:pPr>
              <w:spacing/>
              <w:jc w:val="center"/>
            </w:pPr>
            <w:r>
              <w:t>82,5</w:t>
            </w:r>
          </w:p>
        </w:tc>
      </w:tr>
      <w:tr>
        <w:trPr>
          <w:tblHeader w:val="0"/>
          <w:cantSplit w:val="0"/>
          <w:trHeight w:val="0" w:hRule="auto"/>
        </w:trPr>
        <w:tc>
          <w:tcPr>
            <w:tcW w:w="2213" w:type="dxa"/>
            <w:tcMar>
              <w:top w:w="57" w:type="dxa"/>
              <w:left w:w="57" w:type="dxa"/>
              <w:bottom w:w="57" w:type="dxa"/>
              <w:right w:w="57" w:type="dxa"/>
            </w:tcMar>
            <w:tmTcPr id="1766737683" protected="0"/>
          </w:tcPr>
          <w:p>
            <w:pPr/>
            <w:r>
              <w:t>Margarine</w:t>
            </w:r>
          </w:p>
        </w:tc>
        <w:tc>
          <w:tcPr>
            <w:tcW w:w="1946" w:type="dxa"/>
            <w:tcMar>
              <w:top w:w="57" w:type="dxa"/>
              <w:left w:w="57" w:type="dxa"/>
              <w:bottom w:w="57" w:type="dxa"/>
              <w:right w:w="57" w:type="dxa"/>
            </w:tcMar>
            <w:tmTcPr id="1766737683" protected="0"/>
          </w:tcPr>
          <w:p>
            <w:pPr>
              <w:spacing/>
              <w:jc w:val="center"/>
            </w:pPr>
            <w:r>
              <w:t>80,0</w:t>
            </w:r>
          </w:p>
        </w:tc>
      </w:tr>
      <w:tr>
        <w:trPr>
          <w:tblHeader w:val="0"/>
          <w:cantSplit w:val="0"/>
          <w:trHeight w:val="0" w:hRule="auto"/>
        </w:trPr>
        <w:tc>
          <w:tcPr>
            <w:tcW w:w="2213" w:type="dxa"/>
            <w:tcMar>
              <w:top w:w="57" w:type="dxa"/>
              <w:left w:w="57" w:type="dxa"/>
              <w:bottom w:w="57" w:type="dxa"/>
              <w:right w:w="57" w:type="dxa"/>
            </w:tcMar>
            <w:tmTcPr id="1766737683" protected="0"/>
          </w:tcPr>
          <w:p>
            <w:pPr/>
            <w:r>
              <w:t>Halbfettmargarine</w:t>
            </w:r>
          </w:p>
        </w:tc>
        <w:tc>
          <w:tcPr>
            <w:tcW w:w="1946" w:type="dxa"/>
            <w:tcMar>
              <w:top w:w="57" w:type="dxa"/>
              <w:left w:w="57" w:type="dxa"/>
              <w:bottom w:w="57" w:type="dxa"/>
              <w:right w:w="57" w:type="dxa"/>
            </w:tcMar>
            <w:tmTcPr id="1766737683" protected="0"/>
          </w:tcPr>
          <w:p>
            <w:pPr>
              <w:spacing/>
              <w:jc w:val="center"/>
            </w:pPr>
            <w:r>
              <w:t>40,0</w:t>
            </w:r>
          </w:p>
        </w:tc>
      </w:tr>
    </w:tbl>
    <w:p>
      <w:pPr>
        <w:spacing w:after="0" w:line="240" w:lineRule="auto"/>
        <w:jc w:val="left"/>
        <w:rPr>
          <w:sz w:val="18"/>
          <w:szCs w:val="18"/>
        </w:rPr>
      </w:pPr>
      <w:r>
        <w:rPr>
          <w:sz w:val="18"/>
          <w:szCs w:val="18"/>
        </w:rPr>
        <w:t xml:space="preserve">Quelle: </w:t>
      </w:r>
      <w:hyperlink r:id="rId28" w:history="1">
        <w:r>
          <w:rPr>
            <w:rStyle w:val="char20"/>
            <w:sz w:val="18"/>
            <w:szCs w:val="18"/>
          </w:rPr>
          <w:t>https://www.eucell.de/ernaehrung/lebensmittellisten/zusammensetzung-der-wichtigsten-lebensmittel-</w:t>
          <w:fldChar w:fldCharType="begin"/>
          <w:instrText xml:space="preserve">XE "Kohlenhydrate" \G </w:instrText>
          <w:fldChar w:fldCharType="end"/>
          <w:t>kohlenhydrate-proteine-fette-ballaststoffe-kalorien/fette-und-oele/fettreiche-lebensmittel</w:t>
        </w:r>
      </w:hyperlink>
      <w:r>
        <w:rPr>
          <w:color w:val="0000ff"/>
          <w:sz w:val="18"/>
          <w:szCs w:val="18"/>
        </w:rPr>
        <w:t>,</w:t>
      </w:r>
      <w:r>
        <w:rPr>
          <w:sz w:val="18"/>
          <w:szCs w:val="18"/>
        </w:rPr>
        <w:t xml:space="preserve"> 20.07.2025</w:t>
      </w:r>
      <w:r>
        <w:rPr>
          <w:sz w:val="18"/>
          <w:szCs w:val="18"/>
        </w:rPr>
      </w:r>
    </w:p>
    <w:p>
      <w:pPr>
        <w:spacing w:after="120" w:line="240" w:lineRule="atLeast"/>
        <w:rPr>
          <w:sz w:val="18"/>
          <w:szCs w:val="18"/>
        </w:rPr>
      </w:pPr>
      <w:r>
        <w:rPr>
          <w:sz w:val="18"/>
          <w:szCs w:val="18"/>
        </w:rPr>
      </w:r>
    </w:p>
    <w:tbl>
      <w:tblPr>
        <w:tblStyle w:val="TableGrid"/>
        <w:name w:val="Tabelle15"/>
        <w:tabOrder w:val="0"/>
        <w:jc w:val="left"/>
        <w:tblInd w:w="0" w:type="dxa"/>
        <w:tblW w:w="4135" w:type="dxa"/>
        <w:pPr>
          <w:spacing w:after="120" w:line="240" w:lineRule="atLeast"/>
          <w:jc w:val="left"/>
        </w:pPr>
        <w:tblLook w:val="04A0" w:firstRow="1" w:lastRow="0" w:firstColumn="1" w:lastColumn="0" w:noHBand="0" w:noVBand="1"/>
      </w:tblPr>
      <w:tblGrid>
        <w:gridCol w:w="2211"/>
        <w:gridCol w:w="1924"/>
      </w:tblGrid>
      <w:tr>
        <w:trPr>
          <w:tblHeader w:val="0"/>
          <w:cantSplit w:val="0"/>
          <w:trHeight w:val="0" w:hRule="auto"/>
        </w:trPr>
        <w:tc>
          <w:tcPr>
            <w:tcW w:w="2211" w:type="dxa"/>
            <w:tcMar>
              <w:top w:w="57" w:type="dxa"/>
              <w:left w:w="57" w:type="dxa"/>
              <w:bottom w:w="57" w:type="dxa"/>
              <w:right w:w="57" w:type="dxa"/>
            </w:tcMar>
            <w:tmTcPr id="1766737683" protected="0"/>
          </w:tcPr>
          <w:p>
            <w:pPr>
              <w:rPr>
                <w:b/>
                <w:bCs/>
              </w:rPr>
            </w:pPr>
            <w:r>
              <w:rPr>
                <w:b/>
                <w:bCs/>
              </w:rPr>
              <w:t>Nüsse und Samen</w:t>
            </w:r>
          </w:p>
        </w:tc>
        <w:tc>
          <w:tcPr>
            <w:tcW w:w="1924" w:type="dxa"/>
            <w:tcMar>
              <w:top w:w="57" w:type="dxa"/>
              <w:left w:w="57" w:type="dxa"/>
              <w:bottom w:w="57" w:type="dxa"/>
              <w:right w:w="57" w:type="dxa"/>
            </w:tcMar>
            <w:tmTcPr id="1766737683" protected="0"/>
          </w:tcPr>
          <w:p>
            <w:pPr>
              <w:spacing/>
              <w:jc w:val="center"/>
              <w:rPr>
                <w:b/>
                <w:bCs/>
              </w:rPr>
            </w:pPr>
            <w:r>
              <w:rPr>
                <w:b/>
                <w:bCs/>
              </w:rPr>
              <w:fldChar w:fldCharType="begin"/>
              <w:instrText xml:space="preserve">XE "Fett" \G </w:instrText>
              <w:fldChar w:fldCharType="end"/>
              <w:t>Fett in g / 100 g</w:t>
            </w:r>
          </w:p>
        </w:tc>
      </w:tr>
      <w:tr>
        <w:trPr>
          <w:tblHeader w:val="0"/>
          <w:cantSplit w:val="0"/>
          <w:trHeight w:val="0" w:hRule="auto"/>
        </w:trPr>
        <w:tc>
          <w:tcPr>
            <w:tcW w:w="2211" w:type="dxa"/>
            <w:tcMar>
              <w:top w:w="57" w:type="dxa"/>
              <w:left w:w="57" w:type="dxa"/>
              <w:bottom w:w="57" w:type="dxa"/>
              <w:right w:w="57" w:type="dxa"/>
            </w:tcMar>
            <w:tmTcPr id="1766737683" protected="0"/>
          </w:tcPr>
          <w:p>
            <w:pPr/>
            <w:r>
              <w:t>Paranuss</w:t>
            </w:r>
          </w:p>
        </w:tc>
        <w:tc>
          <w:tcPr>
            <w:tcW w:w="1924" w:type="dxa"/>
            <w:tcMar>
              <w:top w:w="57" w:type="dxa"/>
              <w:left w:w="57" w:type="dxa"/>
              <w:bottom w:w="57" w:type="dxa"/>
              <w:right w:w="57" w:type="dxa"/>
            </w:tcMar>
            <w:tmTcPr id="1766737683" protected="0"/>
          </w:tcPr>
          <w:p>
            <w:pPr>
              <w:spacing/>
              <w:jc w:val="center"/>
            </w:pPr>
            <w:r>
              <w:t>66,8</w:t>
            </w:r>
          </w:p>
        </w:tc>
      </w:tr>
      <w:tr>
        <w:trPr>
          <w:tblHeader w:val="0"/>
          <w:cantSplit w:val="0"/>
          <w:trHeight w:val="0" w:hRule="auto"/>
        </w:trPr>
        <w:tc>
          <w:tcPr>
            <w:tcW w:w="2211" w:type="dxa"/>
            <w:tcMar>
              <w:top w:w="57" w:type="dxa"/>
              <w:left w:w="57" w:type="dxa"/>
              <w:bottom w:w="57" w:type="dxa"/>
              <w:right w:w="57" w:type="dxa"/>
            </w:tcMar>
            <w:tmTcPr id="1766737683" protected="0"/>
          </w:tcPr>
          <w:p>
            <w:pPr/>
            <w:r>
              <w:t>Walnuss</w:t>
            </w:r>
          </w:p>
        </w:tc>
        <w:tc>
          <w:tcPr>
            <w:tcW w:w="1924" w:type="dxa"/>
            <w:tcMar>
              <w:top w:w="57" w:type="dxa"/>
              <w:left w:w="57" w:type="dxa"/>
              <w:bottom w:w="57" w:type="dxa"/>
              <w:right w:w="57" w:type="dxa"/>
            </w:tcMar>
            <w:tmTcPr id="1766737683" protected="0"/>
          </w:tcPr>
          <w:p>
            <w:pPr>
              <w:spacing/>
              <w:jc w:val="center"/>
            </w:pPr>
            <w:r>
              <w:t>62,5</w:t>
            </w:r>
          </w:p>
        </w:tc>
      </w:tr>
      <w:tr>
        <w:trPr>
          <w:tblHeader w:val="0"/>
          <w:cantSplit w:val="0"/>
          <w:trHeight w:val="0" w:hRule="auto"/>
        </w:trPr>
        <w:tc>
          <w:tcPr>
            <w:tcW w:w="2211" w:type="dxa"/>
            <w:tcMar>
              <w:top w:w="57" w:type="dxa"/>
              <w:left w:w="57" w:type="dxa"/>
              <w:bottom w:w="57" w:type="dxa"/>
              <w:right w:w="57" w:type="dxa"/>
            </w:tcMar>
            <w:tmTcPr id="1766737683" protected="0"/>
          </w:tcPr>
          <w:p>
            <w:pPr/>
            <w:r>
              <w:t>Haselnuss</w:t>
            </w:r>
          </w:p>
        </w:tc>
        <w:tc>
          <w:tcPr>
            <w:tcW w:w="1924" w:type="dxa"/>
            <w:tcMar>
              <w:top w:w="57" w:type="dxa"/>
              <w:left w:w="57" w:type="dxa"/>
              <w:bottom w:w="57" w:type="dxa"/>
              <w:right w:w="57" w:type="dxa"/>
            </w:tcMar>
            <w:tmTcPr id="1766737683" protected="0"/>
          </w:tcPr>
          <w:p>
            <w:pPr>
              <w:spacing/>
              <w:jc w:val="center"/>
            </w:pPr>
            <w:r>
              <w:t>61,6</w:t>
            </w:r>
          </w:p>
        </w:tc>
      </w:tr>
      <w:tr>
        <w:trPr>
          <w:tblHeader w:val="0"/>
          <w:cantSplit w:val="0"/>
          <w:trHeight w:val="0" w:hRule="auto"/>
        </w:trPr>
        <w:tc>
          <w:tcPr>
            <w:tcW w:w="2211" w:type="dxa"/>
            <w:tcMar>
              <w:top w:w="57" w:type="dxa"/>
              <w:left w:w="57" w:type="dxa"/>
              <w:bottom w:w="57" w:type="dxa"/>
              <w:right w:w="57" w:type="dxa"/>
            </w:tcMar>
            <w:tmTcPr id="1766737683" protected="0"/>
          </w:tcPr>
          <w:p>
            <w:pPr/>
            <w:r>
              <w:t>Pinienkerne</w:t>
            </w:r>
          </w:p>
        </w:tc>
        <w:tc>
          <w:tcPr>
            <w:tcW w:w="1924" w:type="dxa"/>
            <w:tcMar>
              <w:top w:w="57" w:type="dxa"/>
              <w:left w:w="57" w:type="dxa"/>
              <w:bottom w:w="57" w:type="dxa"/>
              <w:right w:w="57" w:type="dxa"/>
            </w:tcMar>
            <w:tmTcPr id="1766737683" protected="0"/>
          </w:tcPr>
          <w:p>
            <w:pPr>
              <w:spacing/>
              <w:jc w:val="center"/>
            </w:pPr>
            <w:r>
              <w:t>60,0</w:t>
            </w:r>
          </w:p>
        </w:tc>
      </w:tr>
      <w:tr>
        <w:trPr>
          <w:tblHeader w:val="0"/>
          <w:cantSplit w:val="0"/>
          <w:trHeight w:val="0" w:hRule="auto"/>
        </w:trPr>
        <w:tc>
          <w:tcPr>
            <w:tcW w:w="2211" w:type="dxa"/>
            <w:tcMar>
              <w:top w:w="57" w:type="dxa"/>
              <w:left w:w="57" w:type="dxa"/>
              <w:bottom w:w="57" w:type="dxa"/>
              <w:right w:w="57" w:type="dxa"/>
            </w:tcMar>
            <w:tmTcPr id="1766737683" protected="0"/>
          </w:tcPr>
          <w:p>
            <w:pPr/>
            <w:r>
              <w:t>Mandel</w:t>
            </w:r>
          </w:p>
        </w:tc>
        <w:tc>
          <w:tcPr>
            <w:tcW w:w="1924" w:type="dxa"/>
            <w:tcMar>
              <w:top w:w="57" w:type="dxa"/>
              <w:left w:w="57" w:type="dxa"/>
              <w:bottom w:w="57" w:type="dxa"/>
              <w:right w:w="57" w:type="dxa"/>
            </w:tcMar>
            <w:tmTcPr id="1766737683" protected="0"/>
          </w:tcPr>
          <w:p>
            <w:pPr>
              <w:spacing/>
              <w:jc w:val="center"/>
            </w:pPr>
            <w:r>
              <w:t>54,1</w:t>
            </w:r>
          </w:p>
        </w:tc>
      </w:tr>
      <w:tr>
        <w:trPr>
          <w:tblHeader w:val="0"/>
          <w:cantSplit w:val="0"/>
          <w:trHeight w:val="0" w:hRule="auto"/>
        </w:trPr>
        <w:tc>
          <w:tcPr>
            <w:tcW w:w="2211" w:type="dxa"/>
            <w:tcMar>
              <w:top w:w="57" w:type="dxa"/>
              <w:left w:w="57" w:type="dxa"/>
              <w:bottom w:w="57" w:type="dxa"/>
              <w:right w:w="57" w:type="dxa"/>
            </w:tcMar>
            <w:tmTcPr id="1766737683" protected="0"/>
          </w:tcPr>
          <w:p>
            <w:pPr/>
            <w:r>
              <w:t>Pistazie</w:t>
            </w:r>
          </w:p>
        </w:tc>
        <w:tc>
          <w:tcPr>
            <w:tcW w:w="1924" w:type="dxa"/>
            <w:tcMar>
              <w:top w:w="57" w:type="dxa"/>
              <w:left w:w="57" w:type="dxa"/>
              <w:bottom w:w="57" w:type="dxa"/>
              <w:right w:w="57" w:type="dxa"/>
            </w:tcMar>
            <w:tmTcPr id="1766737683" protected="0"/>
          </w:tcPr>
          <w:p>
            <w:pPr>
              <w:spacing/>
              <w:jc w:val="center"/>
            </w:pPr>
            <w:r>
              <w:t>51,6</w:t>
            </w:r>
          </w:p>
        </w:tc>
      </w:tr>
      <w:tr>
        <w:trPr>
          <w:tblHeader w:val="0"/>
          <w:cantSplit w:val="0"/>
          <w:trHeight w:val="0" w:hRule="auto"/>
        </w:trPr>
        <w:tc>
          <w:tcPr>
            <w:tcW w:w="2211" w:type="dxa"/>
            <w:tcMar>
              <w:top w:w="57" w:type="dxa"/>
              <w:left w:w="57" w:type="dxa"/>
              <w:bottom w:w="57" w:type="dxa"/>
              <w:right w:w="57" w:type="dxa"/>
            </w:tcMar>
            <w:tmTcPr id="1766737683" protected="0"/>
          </w:tcPr>
          <w:p>
            <w:pPr/>
            <w:r>
              <w:t>Sesam</w:t>
            </w:r>
          </w:p>
        </w:tc>
        <w:tc>
          <w:tcPr>
            <w:tcW w:w="1924" w:type="dxa"/>
            <w:tcMar>
              <w:top w:w="57" w:type="dxa"/>
              <w:left w:w="57" w:type="dxa"/>
              <w:bottom w:w="57" w:type="dxa"/>
              <w:right w:w="57" w:type="dxa"/>
            </w:tcMar>
            <w:tmTcPr id="1766737683" protected="0"/>
          </w:tcPr>
          <w:p>
            <w:pPr>
              <w:spacing/>
              <w:jc w:val="center"/>
            </w:pPr>
            <w:r>
              <w:t>50,4</w:t>
            </w:r>
          </w:p>
        </w:tc>
      </w:tr>
      <w:tr>
        <w:trPr>
          <w:tblHeader w:val="0"/>
          <w:cantSplit w:val="0"/>
          <w:trHeight w:val="0" w:hRule="auto"/>
        </w:trPr>
        <w:tc>
          <w:tcPr>
            <w:tcW w:w="2211" w:type="dxa"/>
            <w:tcMar>
              <w:top w:w="57" w:type="dxa"/>
              <w:left w:w="57" w:type="dxa"/>
              <w:bottom w:w="57" w:type="dxa"/>
              <w:right w:w="57" w:type="dxa"/>
            </w:tcMar>
            <w:tmTcPr id="1766737683" protected="0"/>
          </w:tcPr>
          <w:p>
            <w:pPr/>
            <w:r>
              <w:t>Erdnuss (geröstet)</w:t>
            </w:r>
          </w:p>
        </w:tc>
        <w:tc>
          <w:tcPr>
            <w:tcW w:w="1924" w:type="dxa"/>
            <w:tcMar>
              <w:top w:w="57" w:type="dxa"/>
              <w:left w:w="57" w:type="dxa"/>
              <w:bottom w:w="57" w:type="dxa"/>
              <w:right w:w="57" w:type="dxa"/>
            </w:tcMar>
            <w:tmTcPr id="1766737683" protected="0"/>
          </w:tcPr>
          <w:p>
            <w:pPr>
              <w:spacing/>
              <w:jc w:val="center"/>
            </w:pPr>
            <w:r>
              <w:t>49,4</w:t>
            </w:r>
          </w:p>
        </w:tc>
      </w:tr>
      <w:tr>
        <w:trPr>
          <w:tblHeader w:val="0"/>
          <w:cantSplit w:val="0"/>
          <w:trHeight w:val="0" w:hRule="auto"/>
        </w:trPr>
        <w:tc>
          <w:tcPr>
            <w:tcW w:w="2211" w:type="dxa"/>
            <w:tcMar>
              <w:top w:w="57" w:type="dxa"/>
              <w:left w:w="57" w:type="dxa"/>
              <w:bottom w:w="57" w:type="dxa"/>
              <w:right w:w="57" w:type="dxa"/>
            </w:tcMar>
            <w:tmTcPr id="1766737683" protected="0"/>
          </w:tcPr>
          <w:p>
            <w:pPr/>
            <w:r>
              <w:t>Sonnenblumenkerne</w:t>
            </w:r>
          </w:p>
        </w:tc>
        <w:tc>
          <w:tcPr>
            <w:tcW w:w="1924" w:type="dxa"/>
            <w:tcMar>
              <w:top w:w="57" w:type="dxa"/>
              <w:left w:w="57" w:type="dxa"/>
              <w:bottom w:w="57" w:type="dxa"/>
              <w:right w:w="57" w:type="dxa"/>
            </w:tcMar>
            <w:tmTcPr id="1766737683" protected="0"/>
          </w:tcPr>
          <w:p>
            <w:pPr>
              <w:spacing/>
              <w:jc w:val="center"/>
            </w:pPr>
            <w:r>
              <w:t>49,0</w:t>
            </w:r>
          </w:p>
        </w:tc>
      </w:tr>
      <w:tr>
        <w:trPr>
          <w:tblHeader w:val="0"/>
          <w:cantSplit w:val="0"/>
          <w:trHeight w:val="0" w:hRule="auto"/>
        </w:trPr>
        <w:tc>
          <w:tcPr>
            <w:tcW w:w="2211" w:type="dxa"/>
            <w:tcMar>
              <w:top w:w="57" w:type="dxa"/>
              <w:left w:w="57" w:type="dxa"/>
              <w:bottom w:w="57" w:type="dxa"/>
              <w:right w:w="57" w:type="dxa"/>
            </w:tcMar>
            <w:tmTcPr id="1766737683" protected="0"/>
          </w:tcPr>
          <w:p>
            <w:pPr/>
            <w:r>
              <w:t>Kürbiskerne</w:t>
            </w:r>
          </w:p>
        </w:tc>
        <w:tc>
          <w:tcPr>
            <w:tcW w:w="1924" w:type="dxa"/>
            <w:tcMar>
              <w:top w:w="57" w:type="dxa"/>
              <w:left w:w="57" w:type="dxa"/>
              <w:bottom w:w="57" w:type="dxa"/>
              <w:right w:w="57" w:type="dxa"/>
            </w:tcMar>
            <w:tmTcPr id="1766737683" protected="0"/>
          </w:tcPr>
          <w:p>
            <w:pPr>
              <w:spacing/>
              <w:jc w:val="center"/>
            </w:pPr>
            <w:r>
              <w:t>45,6</w:t>
            </w:r>
          </w:p>
        </w:tc>
      </w:tr>
      <w:tr>
        <w:trPr>
          <w:tblHeader w:val="0"/>
          <w:cantSplit w:val="0"/>
          <w:trHeight w:val="0" w:hRule="auto"/>
        </w:trPr>
        <w:tc>
          <w:tcPr>
            <w:tcW w:w="2211" w:type="dxa"/>
            <w:tcMar>
              <w:top w:w="57" w:type="dxa"/>
              <w:left w:w="57" w:type="dxa"/>
              <w:bottom w:w="57" w:type="dxa"/>
              <w:right w:w="57" w:type="dxa"/>
            </w:tcMar>
            <w:tmTcPr id="1766737683" protected="0"/>
          </w:tcPr>
          <w:p>
            <w:pPr/>
            <w:r>
              <w:t>Cashewnuss</w:t>
            </w:r>
          </w:p>
        </w:tc>
        <w:tc>
          <w:tcPr>
            <w:tcW w:w="1924" w:type="dxa"/>
            <w:tcMar>
              <w:top w:w="57" w:type="dxa"/>
              <w:left w:w="57" w:type="dxa"/>
              <w:bottom w:w="57" w:type="dxa"/>
              <w:right w:w="57" w:type="dxa"/>
            </w:tcMar>
            <w:tmTcPr id="1766737683" protected="0"/>
          </w:tcPr>
          <w:p>
            <w:pPr>
              <w:spacing/>
              <w:jc w:val="center"/>
            </w:pPr>
            <w:r>
              <w:t>42,2</w:t>
            </w:r>
          </w:p>
        </w:tc>
      </w:tr>
      <w:tr>
        <w:trPr>
          <w:tblHeader w:val="0"/>
          <w:cantSplit w:val="0"/>
          <w:trHeight w:val="0" w:hRule="auto"/>
        </w:trPr>
        <w:tc>
          <w:tcPr>
            <w:tcW w:w="2211" w:type="dxa"/>
            <w:tcMar>
              <w:top w:w="57" w:type="dxa"/>
              <w:left w:w="57" w:type="dxa"/>
              <w:bottom w:w="57" w:type="dxa"/>
              <w:right w:w="57" w:type="dxa"/>
            </w:tcMar>
            <w:tmTcPr id="1766737683" protected="0"/>
          </w:tcPr>
          <w:p>
            <w:pPr/>
            <w:r>
              <w:t>Mohn</w:t>
            </w:r>
          </w:p>
        </w:tc>
        <w:tc>
          <w:tcPr>
            <w:tcW w:w="1924" w:type="dxa"/>
            <w:tcMar>
              <w:top w:w="57" w:type="dxa"/>
              <w:left w:w="57" w:type="dxa"/>
              <w:bottom w:w="57" w:type="dxa"/>
              <w:right w:w="57" w:type="dxa"/>
            </w:tcMar>
            <w:tmTcPr id="1766737683" protected="0"/>
          </w:tcPr>
          <w:p>
            <w:pPr>
              <w:spacing/>
              <w:jc w:val="center"/>
            </w:pPr>
            <w:r>
              <w:t>42,2</w:t>
            </w:r>
          </w:p>
        </w:tc>
      </w:tr>
      <w:tr>
        <w:trPr>
          <w:tblHeader w:val="0"/>
          <w:cantSplit w:val="0"/>
          <w:trHeight w:val="0" w:hRule="auto"/>
        </w:trPr>
        <w:tc>
          <w:tcPr>
            <w:tcW w:w="2211" w:type="dxa"/>
            <w:tcMar>
              <w:top w:w="57" w:type="dxa"/>
              <w:left w:w="57" w:type="dxa"/>
              <w:bottom w:w="57" w:type="dxa"/>
              <w:right w:w="57" w:type="dxa"/>
            </w:tcMar>
            <w:tmTcPr id="1766737683" protected="0"/>
          </w:tcPr>
          <w:p>
            <w:pPr/>
            <w:r>
              <w:t>Kokosnuss</w:t>
            </w:r>
          </w:p>
        </w:tc>
        <w:tc>
          <w:tcPr>
            <w:tcW w:w="1924" w:type="dxa"/>
            <w:tcMar>
              <w:top w:w="57" w:type="dxa"/>
              <w:left w:w="57" w:type="dxa"/>
              <w:bottom w:w="57" w:type="dxa"/>
              <w:right w:w="57" w:type="dxa"/>
            </w:tcMar>
            <w:tmTcPr id="1766737683" protected="0"/>
          </w:tcPr>
          <w:p>
            <w:pPr>
              <w:spacing/>
              <w:jc w:val="center"/>
            </w:pPr>
            <w:r>
              <w:t>36,5</w:t>
            </w:r>
          </w:p>
        </w:tc>
      </w:tr>
      <w:tr>
        <w:trPr>
          <w:tblHeader w:val="0"/>
          <w:cantSplit w:val="0"/>
          <w:trHeight w:val="0" w:hRule="auto"/>
        </w:trPr>
        <w:tc>
          <w:tcPr>
            <w:tcW w:w="2211" w:type="dxa"/>
            <w:tcMar>
              <w:top w:w="57" w:type="dxa"/>
              <w:left w:w="57" w:type="dxa"/>
              <w:bottom w:w="57" w:type="dxa"/>
              <w:right w:w="57" w:type="dxa"/>
            </w:tcMar>
            <w:tmTcPr id="1766737683" protected="0"/>
          </w:tcPr>
          <w:p>
            <w:pPr/>
            <w:r>
              <w:t>Leinsamen</w:t>
            </w:r>
          </w:p>
        </w:tc>
        <w:tc>
          <w:tcPr>
            <w:tcW w:w="1924" w:type="dxa"/>
            <w:tcMar>
              <w:top w:w="57" w:type="dxa"/>
              <w:left w:w="57" w:type="dxa"/>
              <w:bottom w:w="57" w:type="dxa"/>
              <w:right w:w="57" w:type="dxa"/>
            </w:tcMar>
            <w:tmTcPr id="1766737683" protected="0"/>
          </w:tcPr>
          <w:p>
            <w:pPr>
              <w:spacing/>
              <w:jc w:val="center"/>
            </w:pPr>
            <w:r>
              <w:t>30,9</w:t>
            </w:r>
          </w:p>
        </w:tc>
      </w:tr>
    </w:tbl>
    <w:p>
      <w:pPr>
        <w:spacing w:after="120" w:line="240" w:lineRule="atLeast"/>
        <w:jc w:val="left"/>
        <w:rPr>
          <w:sz w:val="18"/>
          <w:szCs w:val="18"/>
        </w:rPr>
      </w:pPr>
      <w:r>
        <w:rPr>
          <w:sz w:val="18"/>
          <w:szCs w:val="18"/>
        </w:rPr>
        <w:t xml:space="preserve">Quelle: </w:t>
      </w:r>
      <w:hyperlink r:id="rId28" w:history="1">
        <w:r>
          <w:rPr>
            <w:rStyle w:val="char20"/>
            <w:sz w:val="18"/>
            <w:szCs w:val="18"/>
          </w:rPr>
          <w:t>https://www.eucell.de/ernaehrung/lebensmittellisten/zusammensetzung-der-wichtigsten-lebensmittel-</w:t>
          <w:fldChar w:fldCharType="begin"/>
          <w:instrText xml:space="preserve">XE "Kohlenhydrate" \G </w:instrText>
          <w:fldChar w:fldCharType="end"/>
          <w:t>kohlenhydrate-proteine-fette-ballaststoffe-kalorien/fette-und-oele/fettreiche-lebensmittel</w:t>
        </w:r>
      </w:hyperlink>
      <w:r>
        <w:rPr>
          <w:sz w:val="18"/>
          <w:szCs w:val="18"/>
        </w:rPr>
        <w:t>, 20.07.2025</w:t>
      </w:r>
      <w:r>
        <w:rPr>
          <w:sz w:val="18"/>
          <w:szCs w:val="18"/>
        </w:rPr>
      </w:r>
    </w:p>
    <w:p>
      <w:r>
        <w:br w:type="column"/>
      </w:r>
    </w:p>
    <w:tbl>
      <w:tblPr>
        <w:tblStyle w:val="TableGrid"/>
        <w:name w:val="Tabelle10"/>
        <w:tabOrder w:val="0"/>
        <w:jc w:val="left"/>
        <w:tblInd w:w="0" w:type="dxa"/>
        <w:tblW w:w="4327" w:type="dxa"/>
        <w:pPr>
          <w:spacing w:after="120" w:line="240" w:lineRule="atLeast"/>
          <w:jc w:val="left"/>
        </w:pPr>
        <w:tblLook w:val="04A0" w:firstRow="1" w:lastRow="0" w:firstColumn="1" w:lastColumn="0" w:noHBand="0" w:noVBand="1"/>
      </w:tblPr>
      <w:tblGrid>
        <w:gridCol w:w="2584"/>
        <w:gridCol w:w="1743"/>
      </w:tblGrid>
      <w:tr>
        <w:trPr>
          <w:tblHeader w:val="0"/>
          <w:cantSplit w:val="0"/>
          <w:trHeight w:val="0" w:hRule="auto"/>
        </w:trPr>
        <w:tc>
          <w:tcPr>
            <w:tcW w:w="2584"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after="0" w:line="240" w:lineRule="auto"/>
              <w:jc w:val="left"/>
              <w:rPr>
                <w:b/>
                <w:bCs/>
              </w:rPr>
            </w:pPr>
            <w:r>
              <w:rPr>
                <w:b/>
                <w:bCs/>
              </w:rPr>
              <w:fldChar w:fldCharType="begin"/>
              <w:instrText xml:space="preserve">XE "Eiweiß" \G </w:instrText>
              <w:fldChar w:fldCharType="end"/>
              <w:t>Eiweiß</w:t>
            </w:r>
          </w:p>
        </w:tc>
        <w:tc>
          <w:tcPr>
            <w:tcW w:w="1743" w:type="dxa"/>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tcBorders>
            <w:tmTcPr id="1766737683" protected="0"/>
          </w:tcPr>
          <w:p>
            <w:pPr>
              <w:spacing w:after="0" w:line="240" w:lineRule="auto"/>
              <w:jc w:val="center"/>
              <w:rPr>
                <w:b/>
                <w:bCs/>
              </w:rPr>
            </w:pPr>
            <w:r>
              <w:rPr>
                <w:b/>
                <w:bCs/>
              </w:rPr>
              <w:t>Eiweißgehalt in g / 100 g</w:t>
            </w:r>
          </w:p>
        </w:tc>
      </w:tr>
      <w:tr>
        <w:trPr>
          <w:tblHeader w:val="0"/>
          <w:cantSplit w:val="0"/>
          <w:trHeight w:val="0" w:hRule="auto"/>
        </w:trPr>
        <w:tc>
          <w:tcPr>
            <w:tcW w:w="2584"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after="0" w:line="240" w:lineRule="auto"/>
              <w:jc w:val="left"/>
            </w:pPr>
            <w:r>
              <w:t>Eiweißpulver</w:t>
            </w:r>
          </w:p>
        </w:tc>
        <w:tc>
          <w:tcPr>
            <w:tcW w:w="1743" w:type="dxa"/>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tcBorders>
            <w:tmTcPr id="1766737683" protected="0"/>
          </w:tcPr>
          <w:p>
            <w:pPr>
              <w:spacing w:after="0" w:line="240" w:lineRule="auto"/>
              <w:jc w:val="center"/>
            </w:pPr>
            <w:r>
              <w:t>71,8</w:t>
            </w:r>
          </w:p>
        </w:tc>
      </w:tr>
      <w:tr>
        <w:trPr>
          <w:tblHeader w:val="0"/>
          <w:cantSplit w:val="0"/>
          <w:trHeight w:val="0" w:hRule="auto"/>
        </w:trPr>
        <w:tc>
          <w:tcPr>
            <w:tcW w:w="2584"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after="0" w:line="240" w:lineRule="auto"/>
              <w:jc w:val="left"/>
            </w:pPr>
            <w:r>
              <w:t>Trockenfleisch</w:t>
            </w:r>
          </w:p>
        </w:tc>
        <w:tc>
          <w:tcPr>
            <w:tcW w:w="1743" w:type="dxa"/>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tcBorders>
            <w:tmTcPr id="1766737683" protected="0"/>
          </w:tcPr>
          <w:p>
            <w:pPr>
              <w:spacing w:after="0" w:line="240" w:lineRule="auto"/>
              <w:jc w:val="center"/>
            </w:pPr>
            <w:r>
              <w:t>51,0</w:t>
            </w:r>
          </w:p>
        </w:tc>
      </w:tr>
      <w:tr>
        <w:trPr>
          <w:tblHeader w:val="0"/>
          <w:cantSplit w:val="0"/>
          <w:trHeight w:val="0" w:hRule="auto"/>
        </w:trPr>
        <w:tc>
          <w:tcPr>
            <w:tcW w:w="2584"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after="0" w:line="240" w:lineRule="auto"/>
              <w:jc w:val="left"/>
            </w:pPr>
            <w:r>
              <w:t>Mandelmehl</w:t>
            </w:r>
          </w:p>
        </w:tc>
        <w:tc>
          <w:tcPr>
            <w:tcW w:w="1743" w:type="dxa"/>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tcBorders>
            <w:tmTcPr id="1766737683" protected="0"/>
          </w:tcPr>
          <w:p>
            <w:pPr>
              <w:spacing w:after="0" w:line="240" w:lineRule="auto"/>
              <w:jc w:val="center"/>
            </w:pPr>
            <w:r>
              <w:t>46,0</w:t>
            </w:r>
          </w:p>
        </w:tc>
      </w:tr>
      <w:tr>
        <w:trPr>
          <w:tblHeader w:val="0"/>
          <w:cantSplit w:val="0"/>
          <w:trHeight w:val="0" w:hRule="auto"/>
        </w:trPr>
        <w:tc>
          <w:tcPr>
            <w:tcW w:w="2584"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after="0" w:line="240" w:lineRule="auto"/>
              <w:jc w:val="left"/>
            </w:pPr>
            <w:r>
              <w:t>Erdnussbutter</w:t>
            </w:r>
          </w:p>
        </w:tc>
        <w:tc>
          <w:tcPr>
            <w:tcW w:w="1743" w:type="dxa"/>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tcBorders>
            <w:tmTcPr id="1766737683" protected="0"/>
          </w:tcPr>
          <w:p>
            <w:pPr>
              <w:spacing w:after="0" w:line="240" w:lineRule="auto"/>
              <w:jc w:val="center"/>
            </w:pPr>
            <w:r>
              <w:t>29,5</w:t>
            </w:r>
          </w:p>
        </w:tc>
      </w:tr>
      <w:tr>
        <w:trPr>
          <w:tblHeader w:val="0"/>
          <w:cantSplit w:val="0"/>
          <w:trHeight w:val="0" w:hRule="auto"/>
        </w:trPr>
        <w:tc>
          <w:tcPr>
            <w:tcW w:w="2584"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after="0" w:line="240" w:lineRule="auto"/>
              <w:jc w:val="left"/>
            </w:pPr>
            <w:r>
              <w:t>Rinderfilet, gebraten</w:t>
            </w:r>
          </w:p>
        </w:tc>
        <w:tc>
          <w:tcPr>
            <w:tcW w:w="1743" w:type="dxa"/>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tcBorders>
            <w:tmTcPr id="1766737683" protected="0"/>
          </w:tcPr>
          <w:p>
            <w:pPr>
              <w:spacing w:after="0" w:line="240" w:lineRule="auto"/>
              <w:jc w:val="center"/>
            </w:pPr>
            <w:r>
              <w:t>29,1</w:t>
            </w:r>
          </w:p>
        </w:tc>
      </w:tr>
      <w:tr>
        <w:trPr>
          <w:tblHeader w:val="0"/>
          <w:cantSplit w:val="0"/>
          <w:trHeight w:val="0" w:hRule="auto"/>
        </w:trPr>
        <w:tc>
          <w:tcPr>
            <w:tcW w:w="2584"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after="0" w:line="240" w:lineRule="auto"/>
              <w:jc w:val="left"/>
            </w:pPr>
            <w:r>
              <w:t>Geflügelfleisch gebraten</w:t>
            </w:r>
          </w:p>
        </w:tc>
        <w:tc>
          <w:tcPr>
            <w:tcW w:w="1743" w:type="dxa"/>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tcBorders>
            <w:tmTcPr id="1766737683" protected="0"/>
          </w:tcPr>
          <w:p>
            <w:pPr>
              <w:spacing w:after="0" w:line="240" w:lineRule="auto"/>
              <w:jc w:val="center"/>
            </w:pPr>
            <w:r>
              <w:t>28,9</w:t>
            </w:r>
          </w:p>
        </w:tc>
      </w:tr>
      <w:tr>
        <w:trPr>
          <w:tblHeader w:val="0"/>
          <w:cantSplit w:val="0"/>
          <w:trHeight w:val="0" w:hRule="auto"/>
        </w:trPr>
        <w:tc>
          <w:tcPr>
            <w:tcW w:w="2584"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after="0" w:line="240" w:lineRule="auto"/>
              <w:jc w:val="left"/>
            </w:pPr>
            <w:r>
              <w:t>Lachs, geräuchert</w:t>
            </w:r>
          </w:p>
        </w:tc>
        <w:tc>
          <w:tcPr>
            <w:tcW w:w="1743" w:type="dxa"/>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tcBorders>
            <w:tmTcPr id="1766737683" protected="0"/>
          </w:tcPr>
          <w:p>
            <w:pPr>
              <w:spacing w:after="0" w:line="240" w:lineRule="auto"/>
              <w:jc w:val="center"/>
            </w:pPr>
            <w:r>
              <w:t>23,0</w:t>
            </w:r>
          </w:p>
        </w:tc>
      </w:tr>
      <w:tr>
        <w:trPr>
          <w:tblHeader w:val="0"/>
          <w:cantSplit w:val="0"/>
          <w:trHeight w:val="0" w:hRule="auto"/>
        </w:trPr>
        <w:tc>
          <w:tcPr>
            <w:tcW w:w="2584"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after="0" w:line="240" w:lineRule="auto"/>
              <w:jc w:val="left"/>
            </w:pPr>
            <w:r>
              <w:t>Hühnerei, gekocht</w:t>
            </w:r>
          </w:p>
        </w:tc>
        <w:tc>
          <w:tcPr>
            <w:tcW w:w="1743" w:type="dxa"/>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tcBorders>
            <w:tmTcPr id="1766737683" protected="0"/>
          </w:tcPr>
          <w:p>
            <w:pPr>
              <w:spacing w:after="0" w:line="240" w:lineRule="auto"/>
              <w:jc w:val="center"/>
            </w:pPr>
            <w:r>
              <w:t>13,0</w:t>
            </w:r>
          </w:p>
        </w:tc>
      </w:tr>
      <w:tr>
        <w:trPr>
          <w:tblHeader w:val="0"/>
          <w:cantSplit w:val="0"/>
          <w:trHeight w:val="0" w:hRule="auto"/>
        </w:trPr>
        <w:tc>
          <w:tcPr>
            <w:tcW w:w="2584"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after="0" w:line="240" w:lineRule="auto"/>
              <w:jc w:val="left"/>
            </w:pPr>
            <w:r>
              <w:t>Linsen, gekocht</w:t>
            </w:r>
          </w:p>
        </w:tc>
        <w:tc>
          <w:tcPr>
            <w:tcW w:w="1743" w:type="dxa"/>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tcBorders>
            <w:tmTcPr id="1766737683" protected="0"/>
          </w:tcPr>
          <w:p>
            <w:pPr>
              <w:spacing w:after="0" w:line="240" w:lineRule="auto"/>
              <w:jc w:val="center"/>
            </w:pPr>
            <w:r>
              <w:t>11,3</w:t>
            </w:r>
          </w:p>
        </w:tc>
      </w:tr>
      <w:tr>
        <w:trPr>
          <w:tblHeader w:val="0"/>
          <w:cantSplit w:val="0"/>
          <w:trHeight w:val="0" w:hRule="auto"/>
        </w:trPr>
        <w:tc>
          <w:tcPr>
            <w:tcW w:w="2584"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after="0" w:line="240" w:lineRule="auto"/>
              <w:jc w:val="left"/>
            </w:pPr>
            <w:r>
              <w:t>Magerquark</w:t>
            </w:r>
          </w:p>
        </w:tc>
        <w:tc>
          <w:tcPr>
            <w:tcW w:w="1743" w:type="dxa"/>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tcBorders>
            <w:tmTcPr id="1766737683" protected="0"/>
          </w:tcPr>
          <w:p>
            <w:pPr>
              <w:spacing w:after="0" w:line="240" w:lineRule="auto"/>
              <w:jc w:val="center"/>
            </w:pPr>
            <w:r>
              <w:t>10,6</w:t>
            </w:r>
          </w:p>
        </w:tc>
      </w:tr>
      <w:tr>
        <w:trPr>
          <w:tblHeader w:val="0"/>
          <w:cantSplit w:val="0"/>
          <w:trHeight w:val="0" w:hRule="auto"/>
        </w:trPr>
        <w:tc>
          <w:tcPr>
            <w:tcW w:w="2584"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after="0" w:line="240" w:lineRule="auto"/>
              <w:jc w:val="left"/>
            </w:pPr>
            <w:r>
              <w:t>Tofu</w:t>
            </w:r>
          </w:p>
        </w:tc>
        <w:tc>
          <w:tcPr>
            <w:tcW w:w="1743" w:type="dxa"/>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tcBorders>
            <w:tmTcPr id="1766737683" protected="0"/>
          </w:tcPr>
          <w:p>
            <w:pPr>
              <w:spacing w:after="0" w:line="240" w:lineRule="auto"/>
              <w:jc w:val="center"/>
            </w:pPr>
            <w:r>
              <w:t>8,1</w:t>
            </w:r>
          </w:p>
        </w:tc>
      </w:tr>
      <w:tr>
        <w:trPr>
          <w:tblHeader w:val="0"/>
          <w:cantSplit w:val="0"/>
          <w:trHeight w:val="0" w:hRule="auto"/>
        </w:trPr>
        <w:tc>
          <w:tcPr>
            <w:tcW w:w="2584"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after="0" w:line="240" w:lineRule="auto"/>
              <w:jc w:val="left"/>
            </w:pPr>
            <w:r>
              <w:t>Champignons gedünstet</w:t>
            </w:r>
          </w:p>
        </w:tc>
        <w:tc>
          <w:tcPr>
            <w:tcW w:w="1743" w:type="dxa"/>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tcBorders>
            <w:tmTcPr id="1766737683" protected="0"/>
          </w:tcPr>
          <w:p>
            <w:pPr>
              <w:spacing w:after="0" w:line="240" w:lineRule="auto"/>
              <w:jc w:val="center"/>
            </w:pPr>
            <w:r>
              <w:t>4,5</w:t>
            </w:r>
          </w:p>
        </w:tc>
      </w:tr>
    </w:tbl>
    <w:p>
      <w:pPr>
        <w:spacing w:after="120" w:line="240" w:lineRule="atLeast"/>
        <w:jc w:val="left"/>
        <w:rPr>
          <w:sz w:val="18"/>
          <w:szCs w:val="18"/>
        </w:rPr>
      </w:pPr>
      <w:r>
        <w:rPr>
          <w:sz w:val="18"/>
          <w:szCs w:val="18"/>
        </w:rPr>
        <w:t xml:space="preserve">Quelle: </w:t>
      </w:r>
      <w:hyperlink r:id="rId29" w:history="1">
        <w:r>
          <w:rPr>
            <w:rStyle w:val="char20"/>
            <w:sz w:val="18"/>
            <w:szCs w:val="18"/>
          </w:rPr>
          <w:t>https://www.nu3.de/blogs/nutrition/eiweisshaltige-lebensmittel</w:t>
        </w:r>
      </w:hyperlink>
      <w:r>
        <w:rPr>
          <w:sz w:val="18"/>
          <w:szCs w:val="18"/>
        </w:rPr>
        <w:t>, 20.07.2025</w:t>
      </w:r>
      <w:r>
        <w:rPr>
          <w:sz w:val="18"/>
          <w:szCs w:val="18"/>
        </w:rPr>
      </w:r>
    </w:p>
    <w:p>
      <w:pPr>
        <w:spacing w:after="120" w:line="240" w:lineRule="atLeast"/>
        <w:jc w:val="left"/>
      </w:pPr>
      <w:r/>
    </w:p>
    <w:p>
      <w:pPr>
        <w:spacing w:after="120" w:line="240" w:lineRule="atLeast"/>
        <w:jc w:val="left"/>
        <w:rPr>
          <w:sz w:val="18"/>
          <w:szCs w:val="18"/>
        </w:rPr>
      </w:pPr>
      <w:r>
        <w:rPr>
          <w:sz w:val="18"/>
          <w:szCs w:val="18"/>
        </w:rPr>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r>
        <w:rPr>
          <w:b/>
          <w:bCs/>
        </w:rPr>
        <w:fldChar w:fldCharType="begin"/>
        <w:instrText xml:space="preserve">XE "Kohlenhydrate" \G </w:instrText>
        <w:fldChar w:fldCharType="end"/>
        <w:t>Kohlenhydrate, Protein</w:t>
      </w:r>
      <w:r>
        <w:rPr>
          <w:b/>
          <w:bCs/>
        </w:rPr>
        <w:fldChar w:fldCharType="begin"/>
        <w:instrText xml:space="preserve">XE "Protein"</w:instrText>
        <w:fldChar w:fldCharType="end"/>
      </w:r>
      <w:r>
        <w:rPr>
          <w:b/>
          <w:bCs/>
        </w:rPr>
        <w:t>e und Fette</w:t>
      </w:r>
      <w:r>
        <w:t xml:space="preserve"> werden im Darm aufgenommen und in ihre einzelnen Bausteine zerlegt:</w:t>
      </w:r>
    </w:p>
    <w:p>
      <w:pPr>
        <w:pStyle w:val="para28"/>
        <w:numPr>
          <w:ilvl w:val="0"/>
          <w:numId w:val="3"/>
        </w:numPr>
        <w:ind w:left="454" w:hanging="197"/>
        <w:tabs defTabSz="708">
          <w:tab w:val="left" w:pos="2381" w:leader="none"/>
          <w:tab w:val="left" w:pos="3175" w:leader="none"/>
        </w:tabs>
      </w:pPr>
      <w:r>
        <w:fldChar w:fldCharType="begin"/>
        <w:instrText xml:space="preserve">XE "Kohlenhydrate" \G </w:instrText>
        <w:fldChar w:fldCharType="end"/>
        <w:t>Kohlenhydrate</w:t>
        <w:tab/>
      </w:r>
      <w:r>
        <w:rPr>
          <w:rFonts w:ascii="Wingbats" w:hAnsi="Wingbats" w:eastAsia="Wingbats" w:cs="Wingbats"/>
          <w:sz w:val="32"/>
          <w:szCs w:val="32"/>
        </w:rPr>
        <w:t></w:t>
      </w:r>
      <w:r>
        <w:tab/>
        <w:t>Zucker</w:t>
      </w:r>
    </w:p>
    <w:p>
      <w:pPr>
        <w:pStyle w:val="para28"/>
        <w:numPr>
          <w:ilvl w:val="0"/>
          <w:numId w:val="3"/>
        </w:numPr>
        <w:ind w:left="454" w:hanging="197"/>
        <w:tabs defTabSz="708">
          <w:tab w:val="left" w:pos="2381" w:leader="none"/>
          <w:tab w:val="left" w:pos="3175" w:leader="none"/>
        </w:tabs>
      </w:pPr>
      <w:r>
        <w:t>Proteine (</w:t>
        <w:fldChar w:fldCharType="begin"/>
        <w:instrText xml:space="preserve">XE "Eiweiß" \G </w:instrText>
        <w:fldChar w:fldCharType="end"/>
        <w:t>Eiweiß)</w:t>
        <w:tab/>
      </w:r>
      <w:r>
        <w:rPr>
          <w:rFonts w:ascii="Wingbats" w:hAnsi="Wingbats" w:eastAsia="Wingbats" w:cs="Wingbats"/>
          <w:sz w:val="32"/>
          <w:szCs w:val="32"/>
        </w:rPr>
        <w:t></w:t>
      </w:r>
      <w:r>
        <w:tab/>
        <w:t>Aminosäuren</w:t>
      </w:r>
    </w:p>
    <w:p>
      <w:pPr>
        <w:pStyle w:val="para28"/>
        <w:numPr>
          <w:ilvl w:val="0"/>
          <w:numId w:val="3"/>
        </w:numPr>
        <w:ind w:left="454" w:hanging="197"/>
        <w:tabs defTabSz="708">
          <w:tab w:val="left" w:pos="2381" w:leader="none"/>
          <w:tab w:val="left" w:pos="3175" w:leader="none"/>
        </w:tabs>
      </w:pPr>
      <w:r>
        <w:t>Fette</w:t>
        <w:tab/>
      </w:r>
      <w:r>
        <w:rPr>
          <w:rFonts w:ascii="Wingbats" w:hAnsi="Wingbats" w:eastAsia="Wingbats" w:cs="Wingbats"/>
          <w:sz w:val="32"/>
          <w:szCs w:val="32"/>
        </w:rPr>
        <w:t></w:t>
      </w:r>
      <w:r>
        <w:tab/>
        <w:fldChar w:fldCharType="begin"/>
        <w:instrText xml:space="preserve">XE "Fettsäuren" \G </w:instrText>
        <w:fldChar w:fldCharType="end"/>
        <w:t>Fettsäuren und Glyzerin</w:t>
      </w:r>
    </w:p>
    <w:p>
      <w:r>
        <w:t>Der Körper verwendet diese Grundbausteine, um Stoffe herzustellen, die er zusammen mit weiteren Kohlenhydraten, Proteinen und Fetten für Wachstum, den Erhalt der Körpersubstanz und Bewegung braucht.</w:t>
      </w:r>
    </w:p>
    <w:p>
      <w:r>
        <w:rPr>
          <w:b/>
          <w:bCs/>
        </w:rPr>
        <w:fldChar w:fldCharType="begin"/>
        <w:instrText xml:space="preserve">XE "Mikronährstoffe" \G </w:instrText>
        <w:fldChar w:fldCharType="end"/>
        <w:t>Mikronährstoffe</w:t>
      </w:r>
      <w:r>
        <w:t xml:space="preserve"> sind essenzielle Stoffe, die der Mensch mit der Nahrung aufnehmen muss, um gesund zu bleiben. Der Körper kann sie selbst nicht herstellen. Dazu gehören </w:t>
        <w:fldChar w:fldCharType="begin"/>
        <w:instrText xml:space="preserve">XE "Vitamine" \G </w:instrText>
        <w:fldChar w:fldCharType="end"/>
        <w:t>Vitamine, Mineralien und Spurenelemente.</w:t>
      </w:r>
    </w:p>
    <w:p>
      <w:pPr>
        <w:pStyle w:val="para2"/>
        <w:numPr>
          <w:ilvl w:val="1"/>
          <w:numId w:val="1"/>
        </w:numPr>
        <w:ind w:left="576" w:hanging="576"/>
      </w:pPr>
      <w:bookmarkStart w:id="2" w:name="_TOC000003"/>
      <w:r>
        <w:fldChar w:fldCharType="begin"/>
        <w:instrText xml:space="preserve">XE "Kohlenhydrate" \G </w:instrText>
        <w:fldChar w:fldCharType="end"/>
        <w:t>Kohlenhydrate</w:t>
      </w:r>
      <w:bookmarkEnd w:id="2"/>
      <w:r/>
    </w:p>
    <w:p>
      <w:r>
        <w:rPr>
          <w:b/>
          <w:bCs/>
        </w:rPr>
        <w:fldChar w:fldCharType="begin"/>
        <w:instrText xml:space="preserve">XE "Kohlenhydrate" \G </w:instrText>
        <w:fldChar w:fldCharType="end"/>
        <w:t>Kohlenhydrate</w:t>
      </w:r>
      <w:r>
        <w:t xml:space="preserve"> liefern dem Körper Energie. Sie sind wichtig für viele Stoffwechselvorgänge und Organe. Vor allem die Muskeln und das Gehirn brauchen viele </w:t>
        <w:fldChar w:fldCharType="begin"/>
        <w:instrText xml:space="preserve">XE "Kohlenhydrate" \G </w:instrText>
        <w:fldChar w:fldCharType="end"/>
        <w:t xml:space="preserve">Kohlenhydrate. Sofern die Energie nicht sofort benötigt wird, können </w:t>
        <w:fldChar w:fldCharType="begin"/>
        <w:instrText xml:space="preserve">XE "Kohlenhydrate" \G </w:instrText>
        <w:fldChar w:fldCharType="end"/>
        <w:t xml:space="preserve">Kohlenhydrate in Speicherzucker oder in </w:t>
        <w:fldChar w:fldCharType="begin"/>
        <w:instrText xml:space="preserve">XE "Fett" \G </w:instrText>
        <w:fldChar w:fldCharType="end"/>
        <w:t>Fett umgewandelt und so gespeichert werden.</w:t>
      </w:r>
    </w:p>
    <w:p>
      <w:r/>
    </w:p>
    <w:p>
      <w:pPr>
        <w:ind w:left="1984" w:hanging="1984"/>
        <w:tabs defTabSz="708">
          <w:tab w:val="left" w:pos="1984" w:leader="none"/>
        </w:tabs>
      </w:pPr>
      <w:r>
        <w:rPr>
          <w:noProof/>
        </w:rPr>
        <w:drawing>
          <wp:inline distT="0" distB="0" distL="0" distR="0">
            <wp:extent cx="5748655" cy="3013075"/>
            <wp:effectExtent l="0" t="0" r="0" b="0"/>
            <wp:docPr id="3"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1"/>
                    <pic:cNvPicPr>
                      <a:picLocks noChangeAspect="1"/>
                      <a:codePr string="" type="101" text="0"/>
                      <a:extLst>
                        <a:ext uri="sm">
                          <sm:smNativeData xmlns:sm="sm" val="SMDATA_17_E0dOaRMAAAAlAAAAEQAAAC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F0jAACJEgAAXSMAAIkS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QAAByAAAAAAAAAAAAAAAQAAAAAAAAAAAAAAAQAAAAAAAAAAAAAAXSMAAIkSAAAAAAAAAAAAAAAAAAAoAAAACAAAAAEAAAABAAAAMAAAABQAAAAAAAAAAAD//wAAAQAAAP//AAABAA=="/>
                        </a:ext>
                      </a:extLst>
                    </pic:cNvPicPr>
                  </pic:nvPicPr>
                  <pic:blipFill>
                    <a:blip r:embed="rId30"/>
                    <a:stretch>
                      <a:fillRect/>
                    </a:stretch>
                  </pic:blipFill>
                  <pic:spPr>
                    <a:xfrm>
                      <a:off x="0" y="0"/>
                      <a:ext cx="5748655" cy="3013075"/>
                    </a:xfrm>
                    <a:prstGeom prst="rect">
                      <a:avLst/>
                    </a:prstGeom>
                    <a:noFill/>
                    <a:ln w="12700">
                      <a:noFill/>
                    </a:ln>
                  </pic:spPr>
                </pic:pic>
              </a:graphicData>
            </a:graphic>
          </wp:inline>
        </w:drawing>
      </w:r>
      <w:r/>
    </w:p>
    <w:p>
      <w:r>
        <w:t xml:space="preserve">Quelle: </w:t>
      </w:r>
      <w:hyperlink r:id="rId31" w:history="1">
        <w:r>
          <w:rPr>
            <w:rStyle w:val="char20"/>
          </w:rPr>
          <w:t>https://www.lebensmittelverband.de/de/lebensmittel/inhaltsstoffe/</w:t>
          <w:fldChar w:fldCharType="begin"/>
          <w:instrText xml:space="preserve">XE "Kohlenhydrate" \G </w:instrText>
          <w:fldChar w:fldCharType="end"/>
          <w:t>kohlenhydrate-und-zucker</w:t>
        </w:r>
      </w:hyperlink>
      <w:r>
        <w:t>; 18.06.2025</w:t>
      </w:r>
    </w:p>
    <w:p>
      <w:pPr>
        <w:pStyle w:val="para3"/>
        <w:numPr>
          <w:ilvl w:val="2"/>
          <w:numId w:val="1"/>
        </w:numPr>
        <w:ind w:left="720" w:hanging="720"/>
      </w:pPr>
      <w:r>
        <w:br w:type="page"/>
      </w:r>
      <w:bookmarkStart w:id="3" w:name="_TOC000121"/>
      <w:r>
        <w:t>Einteilung von Kohlenhydraten</w:t>
      </w:r>
      <w:bookmarkEnd w:id="3"/>
      <w:r/>
    </w:p>
    <w:p>
      <w:pPr>
        <w:ind w:left="1984" w:hanging="1984"/>
        <w:tabs defTabSz="708">
          <w:tab w:val="left" w:pos="1984" w:leader="none"/>
        </w:tabs>
      </w:pPr>
      <w:r>
        <w:rPr>
          <w:b/>
          <w:bCs/>
        </w:rPr>
        <w:fldChar w:fldCharType="begin"/>
        <w:instrText xml:space="preserve">XE "Einfachzucker" \G </w:instrText>
        <w:fldChar w:fldCharType="end"/>
        <w:t>Einfachzucker</w:t>
      </w:r>
      <w:r>
        <w:tab/>
        <w:fldChar w:fldCharType="begin"/>
        <w:instrText xml:space="preserve">XE "Einfachzucker" \G </w:instrText>
        <w:fldChar w:fldCharType="end"/>
        <w:t xml:space="preserve">Einfachzucker, auch Monosaccharide genannt, sind die kleinsten Einheiten von Zucker und können nicht weiter aufgespalten werden. Sie sind die Bausteine aller </w:t>
        <w:fldChar w:fldCharType="begin"/>
        <w:instrText xml:space="preserve">XE "Kohlenhydrate" \G </w:instrText>
        <w:fldChar w:fldCharType="end"/>
        <w:t xml:space="preserve">Kohlenhydrate und spielen eine wichtige Rolle in der Energieversorgung des Körpers. Die bekanntesten sind </w:t>
        <w:fldChar w:fldCharType="begin"/>
        <w:instrText xml:space="preserve">XE "Glukose" \G </w:instrText>
        <w:fldChar w:fldCharType="end"/>
        <w:t xml:space="preserve">Glukose, </w:t>
        <w:fldChar w:fldCharType="begin"/>
        <w:instrText xml:space="preserve">XE "Fructose" \G </w:instrText>
        <w:fldChar w:fldCharType="end"/>
        <w:t>Fructose und Galaktose.</w:t>
      </w:r>
    </w:p>
    <w:p>
      <w:pPr>
        <w:ind w:left="1984" w:hanging="1701"/>
        <w:tabs defTabSz="708">
          <w:tab w:val="left" w:pos="1984" w:leader="none"/>
        </w:tabs>
      </w:pPr>
      <w:r>
        <w:rPr>
          <w:noProof/>
        </w:rPr>
        <w:drawing>
          <wp:anchor distT="89535" distB="71755" distL="144145" distR="89535" simplePos="0" relativeHeight="251658283" behindDoc="0" locked="0" layoutInCell="0" hidden="0" allowOverlap="1">
            <wp:simplePos x="0" y="0"/>
            <wp:positionH relativeFrom="column">
              <wp:posOffset>5119370</wp:posOffset>
            </wp:positionH>
            <wp:positionV relativeFrom="paragraph">
              <wp:posOffset>-8890</wp:posOffset>
            </wp:positionV>
            <wp:extent cx="628650" cy="628650"/>
            <wp:effectExtent l="0" t="0" r="0" b="0"/>
            <wp:wrapSquare wrapText="bothSides"/>
            <wp:docPr id="43" name="Grafik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rafik41"/>
                    <pic:cNvPicPr>
                      <a:picLocks noChangeAspect="1"/>
                      <a:codePr string="" type="162857600"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JAQAAAKIAAAAAAAAAAAAAAQAAAAIAAAB+HwAAAQAAAAIAAADy////3gMAAN4DAAAMAAMAPicAACENAAAoAAAACAAAAAEAAAABAAAAMAAAABQAAAAAAAAAAAD//wAAAQAAAP//AAABAA=="/>
                        </a:ext>
                      </a:extLst>
                    </pic:cNvPicPr>
                  </pic:nvPicPr>
                  <pic:blipFill>
                    <a:blip r:embed="rId32"/>
                    <a:stretch>
                      <a:fillRect/>
                    </a:stretch>
                  </pic:blipFill>
                  <pic:spPr>
                    <a:xfrm>
                      <a:off x="0" y="0"/>
                      <a:ext cx="628650" cy="628650"/>
                    </a:xfrm>
                    <a:prstGeom prst="rect">
                      <a:avLst/>
                    </a:prstGeom>
                    <a:noFill/>
                    <a:ln w="12700">
                      <a:noFill/>
                    </a:ln>
                  </pic:spPr>
                </pic:pic>
              </a:graphicData>
            </a:graphic>
          </wp:anchor>
        </w:drawing>
      </w:r>
      <w:r>
        <w:rPr>
          <w:noProof/>
        </w:rPr>
        <w:drawing>
          <wp:anchor distT="89535" distB="36195" distL="144145" distR="89535" simplePos="0" relativeHeight="251658284" behindDoc="0" locked="0" layoutInCell="0" hidden="0" allowOverlap="1">
            <wp:simplePos x="0" y="0"/>
            <wp:positionH relativeFrom="column">
              <wp:posOffset>5119370</wp:posOffset>
            </wp:positionH>
            <wp:positionV relativeFrom="paragraph">
              <wp:posOffset>1219835</wp:posOffset>
            </wp:positionV>
            <wp:extent cx="628650" cy="628650"/>
            <wp:effectExtent l="0" t="0" r="0" b="0"/>
            <wp:wrapSquare wrapText="bothSides"/>
            <wp:docPr id="44" name="Grafik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42"/>
                    <pic:cNvPicPr>
                      <a:picLocks noChangeAspect="1"/>
                      <a:codePr string="" type="166459498" text="1"/>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JAQAAAKIAAAAAAAAAAAAAAQAAAAIAAAB+HwAAAQAAAAIAAACBBwAA3gMAAN4DAAAMAAMAPicAALAUAAAoAAAACAAAAAEAAAABAAAAMAAAABQAAAAAAAAAAAD//wAAAQAAAP//AAABAA=="/>
                        </a:ext>
                      </a:extLst>
                    </pic:cNvPicPr>
                  </pic:nvPicPr>
                  <pic:blipFill>
                    <a:blip r:embed="rId33"/>
                    <a:stretch>
                      <a:fillRect/>
                    </a:stretch>
                  </pic:blipFill>
                  <pic:spPr>
                    <a:xfrm>
                      <a:off x="0" y="0"/>
                      <a:ext cx="628650" cy="628650"/>
                    </a:xfrm>
                    <a:prstGeom prst="rect">
                      <a:avLst/>
                    </a:prstGeom>
                    <a:noFill/>
                    <a:ln w="12700">
                      <a:noFill/>
                    </a:ln>
                  </pic:spPr>
                </pic:pic>
              </a:graphicData>
            </a:graphic>
          </wp:anchor>
        </w:drawing>
      </w:r>
      <w:r>
        <w:rPr>
          <w:b/>
          <w:bCs/>
          <w:color w:val="666666"/>
        </w:rPr>
        <w:fldChar w:fldCharType="begin"/>
        <w:instrText xml:space="preserve">XE "Glukose" \G </w:instrText>
        <w:fldChar w:fldCharType="end"/>
        <w:t>Glukose</w:t>
      </w:r>
      <w:r>
        <w:tab/>
        <w:t xml:space="preserve">(Dextrose, Glucose, Traubenzucker) ist der wichtigste </w:t>
        <w:fldChar w:fldCharType="begin"/>
        <w:instrText xml:space="preserve">XE "Einfachzucker" \G </w:instrText>
        <w:fldChar w:fldCharType="end"/>
        <w:t xml:space="preserve">Einfachzucker im Kohlenhydratstoffwechsel und von zentraler Bedeutung für den Energiehaushalt des Körpers. </w:t>
        <w:fldChar w:fldCharType="begin"/>
        <w:instrText xml:space="preserve">XE "Glukose" \G </w:instrText>
        <w:fldChar w:fldCharType="end"/>
        <w:t>Glukose ist die Hauptenergiequelle für das Gehirn und die Muskeln. Glucose gelangt im menschlichen Körper über den Darm ins Blut und weiter in die Zellen. Dort kann es direkt in Energie umgewandelt werden.</w:t>
      </w:r>
    </w:p>
    <w:p>
      <w:pPr>
        <w:ind w:left="1984" w:hanging="1701"/>
        <w:tabs defTabSz="708">
          <w:tab w:val="left" w:pos="1984" w:leader="none"/>
        </w:tabs>
      </w:pPr>
      <w:r>
        <w:rPr>
          <w:b/>
          <w:bCs/>
          <w:color w:val="666666"/>
        </w:rPr>
        <w:fldChar w:fldCharType="begin"/>
        <w:instrText xml:space="preserve">XE "Fructose" \G </w:instrText>
        <w:fldChar w:fldCharType="end"/>
        <w:t>Fructose</w:t>
      </w:r>
      <w:r>
        <w:tab/>
        <w:t>Fruktose kommt in Obst, Honig und einigen Gemüsesorten vor.</w:t>
      </w:r>
    </w:p>
    <w:p>
      <w:pPr>
        <w:ind w:left="1984"/>
        <w:tabs defTabSz="708">
          <w:tab w:val="left" w:pos="1984" w:leader="none"/>
        </w:tabs>
      </w:pPr>
      <w:r>
        <w:t>Fruktose wird aus dem Darm ins Blut aufgenommen und zur Leber transportiert.</w:t>
      </w:r>
    </w:p>
    <w:p>
      <w:pPr>
        <w:numPr>
          <w:ilvl w:val="0"/>
          <w:numId w:val="78"/>
        </w:numPr>
        <w:ind w:left="2344" w:hanging="360"/>
        <w:tabs defTabSz="708">
          <w:tab w:val="left" w:pos="1984" w:leader="none"/>
        </w:tabs>
      </w:pPr>
      <w:r>
        <w:t xml:space="preserve">Die Leber wandelt Fruktose in Glycerinaldehyd-3-phosphat um, das entweder zur Energiegewinnung genutzt oder bei Überschuss direkt in </w:t>
        <w:fldChar w:fldCharType="begin"/>
        <w:instrText xml:space="preserve">XE "Fett" \G </w:instrText>
        <w:fldChar w:fldCharType="end"/>
        <w:t>Fett (Triglyzeride) umgewandelt wird.</w:t>
      </w:r>
    </w:p>
    <w:p>
      <w:pPr>
        <w:numPr>
          <w:ilvl w:val="0"/>
          <w:numId w:val="78"/>
        </w:numPr>
        <w:ind w:left="2344" w:hanging="360"/>
        <w:tabs defTabSz="708">
          <w:tab w:val="left" w:pos="1984" w:leader="none"/>
        </w:tabs>
      </w:pPr>
      <w:r>
        <w:t xml:space="preserve">Beim Abbau entstehen Purine, die den Harnsäurespiegel ansteigen lassen können, was das Risiko für </w:t>
        <w:fldChar w:fldCharType="begin"/>
        <w:instrText xml:space="preserve">XE "Gicht" \G </w:instrText>
        <w:fldChar w:fldCharType="end"/>
        <w:t>Gicht und Nierensteine erhöht.</w:t>
      </w:r>
    </w:p>
    <w:p>
      <w:pPr>
        <w:numPr>
          <w:ilvl w:val="0"/>
          <w:numId w:val="78"/>
        </w:numPr>
        <w:ind w:left="2344" w:hanging="360"/>
        <w:tabs defTabSz="708">
          <w:tab w:val="left" w:pos="1984" w:leader="none"/>
        </w:tabs>
      </w:pPr>
      <w:r>
        <w:t xml:space="preserve">Überschüssige Fruktose wird als </w:t>
        <w:fldChar w:fldCharType="begin"/>
        <w:instrText xml:space="preserve">XE "Fett" \G </w:instrText>
        <w:fldChar w:fldCharType="end"/>
        <w:t>Fett in der Leber eingelagert.</w:t>
      </w:r>
    </w:p>
    <w:p>
      <w:pPr>
        <w:numPr>
          <w:ilvl w:val="0"/>
          <w:numId w:val="78"/>
        </w:numPr>
        <w:ind w:left="2344" w:hanging="360"/>
        <w:tabs defTabSz="708">
          <w:tab w:val="left" w:pos="1984" w:leader="none"/>
        </w:tabs>
      </w:pPr>
      <w:r>
        <w:t xml:space="preserve">Fruktose unterdrückt das Hungerhormon Ghrelin schlechter als </w:t>
        <w:fldChar w:fldCharType="begin"/>
        <w:instrText xml:space="preserve">XE "Glukose" \G </w:instrText>
        <w:fldChar w:fldCharType="end"/>
        <w:t xml:space="preserve">Glukose, was zu übermäßiger Kalorienaufnahme führen kann. </w:t>
      </w:r>
    </w:p>
    <w:p>
      <w:pPr>
        <w:ind w:left="1984" w:hanging="1701"/>
        <w:tabs defTabSz="708">
          <w:tab w:val="left" w:pos="1984" w:leader="none"/>
        </w:tabs>
      </w:pPr>
      <w:r>
        <w:rPr>
          <w:noProof/>
        </w:rPr>
        <w:drawing>
          <wp:anchor distT="89535" distB="36195" distL="144145" distR="89535" simplePos="0" relativeHeight="251658285" behindDoc="0" locked="0" layoutInCell="0" hidden="0" allowOverlap="1">
            <wp:simplePos x="0" y="0"/>
            <wp:positionH relativeFrom="column">
              <wp:posOffset>5119370</wp:posOffset>
            </wp:positionH>
            <wp:positionV relativeFrom="paragraph">
              <wp:posOffset>31115</wp:posOffset>
            </wp:positionV>
            <wp:extent cx="628650" cy="628650"/>
            <wp:effectExtent l="0" t="0" r="0" b="0"/>
            <wp:wrapSquare wrapText="bothSides"/>
            <wp:docPr id="45" name="Grafik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Grafik43"/>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QAQAAAKIAAAAAAAAAAAAAAAAAAAIAAAB+HwAAAQAAAAIAAAAxAAAA3gMAAN4DAAAMAAMAPicAANslAAAoAAAACAAAAAEAAAABAAAAMAAAABQAAAAAAAAAAAD//wAAAQAAAP//AAABAA=="/>
                        </a:ext>
                      </a:extLst>
                    </pic:cNvPicPr>
                  </pic:nvPicPr>
                  <pic:blipFill>
                    <a:blip r:embed="rId34"/>
                    <a:stretch>
                      <a:fillRect/>
                    </a:stretch>
                  </pic:blipFill>
                  <pic:spPr>
                    <a:xfrm>
                      <a:off x="0" y="0"/>
                      <a:ext cx="628650" cy="628650"/>
                    </a:xfrm>
                    <a:prstGeom prst="rect">
                      <a:avLst/>
                    </a:prstGeom>
                    <a:noFill/>
                    <a:ln w="12700">
                      <a:noFill/>
                    </a:ln>
                  </pic:spPr>
                </pic:pic>
              </a:graphicData>
            </a:graphic>
          </wp:anchor>
        </w:drawing>
      </w:r>
      <w:r>
        <w:rPr>
          <w:b/>
          <w:bCs/>
          <w:color w:val="666666"/>
        </w:rPr>
        <w:t>Galaktose</w:t>
      </w:r>
      <w:r>
        <w:t xml:space="preserve"> </w:t>
        <w:tab/>
        <w:t xml:space="preserve">ist ein natürlich vorkommender </w:t>
        <w:fldChar w:fldCharType="begin"/>
        <w:instrText xml:space="preserve">XE "Einfachzucker" \G </w:instrText>
        <w:fldChar w:fldCharType="end"/>
        <w:t xml:space="preserve">Einfachzucker oder Monosaccharid. Es gehört zur Gruppe der </w:t>
        <w:fldChar w:fldCharType="begin"/>
        <w:instrText xml:space="preserve">XE "Kohlenhydrate" \G </w:instrText>
        <w:fldChar w:fldCharType="end"/>
        <w:t xml:space="preserve">Kohlenhydrate und ist strukturell eng mit </w:t>
        <w:fldChar w:fldCharType="begin"/>
        <w:instrText xml:space="preserve">XE "Glukose" \G </w:instrText>
        <w:fldChar w:fldCharType="end"/>
        <w:t>Glukose verwandt. Er gilt als funktioneller und rein natürlicher Zucker mit guter Verträglichkeit und wird im Körper nur langsam verstoffwechselt.</w:t>
      </w:r>
    </w:p>
    <w:p>
      <w:pPr>
        <w:ind w:left="1984" w:hanging="1701"/>
        <w:tabs defTabSz="708">
          <w:tab w:val="left" w:pos="1984" w:leader="none"/>
        </w:tabs>
      </w:pPr>
      <w:r>
        <w:tab/>
        <w:t>Galaktose kommt hauptsächlich in Milch und Milchprodukten als Bestandteil des Milchzuckers (</w:t>
        <w:fldChar w:fldCharType="begin"/>
        <w:instrText xml:space="preserve">XE "Laktose" \G </w:instrText>
        <w:fldChar w:fldCharType="end"/>
        <w:t xml:space="preserve">Laktose) vor, aber auch in Hülsenfrüchten, Früchten und Gemüse wie Tomaten oder Bananen. Sie ist zudem ein wichtiger Baustein in der menschlichen Muttermilch und Bestandteil von Zellmembranen. </w:t>
      </w:r>
    </w:p>
    <w:p>
      <w:pPr>
        <w:ind w:left="1984" w:hanging="1984"/>
        <w:tabs defTabSz="708">
          <w:tab w:val="left" w:pos="1984" w:leader="none"/>
        </w:tabs>
      </w:pPr>
      <w:r>
        <w:rPr>
          <w:b/>
          <w:bCs/>
        </w:rPr>
        <w:fldChar w:fldCharType="begin"/>
        <w:instrText xml:space="preserve">XE "Zweifachzucker" \G </w:instrText>
        <w:fldChar w:fldCharType="end"/>
        <w:t>Zweifachzucker</w:t>
        <w:tab/>
      </w:r>
      <w:r>
        <w:t>ist eine Verbindung von zwei Einfachzuckern.</w:t>
      </w:r>
    </w:p>
    <w:p>
      <w:pPr>
        <w:ind w:left="1984" w:hanging="1701"/>
        <w:tabs defTabSz="708">
          <w:tab w:val="left" w:pos="1984" w:leader="none"/>
        </w:tabs>
      </w:pPr>
      <w:r>
        <w:rPr>
          <w:noProof/>
        </w:rPr>
        <w:drawing>
          <wp:anchor distT="89535" distB="71755" distL="144145" distR="89535" simplePos="0" relativeHeight="251658286" behindDoc="0" locked="0" layoutInCell="0" hidden="0" allowOverlap="1">
            <wp:simplePos x="0" y="0"/>
            <wp:positionH relativeFrom="column">
              <wp:posOffset>4514850</wp:posOffset>
            </wp:positionH>
            <wp:positionV relativeFrom="paragraph">
              <wp:posOffset>83820</wp:posOffset>
            </wp:positionV>
            <wp:extent cx="628650" cy="628650"/>
            <wp:effectExtent l="0" t="0" r="0" b="0"/>
            <wp:wrapSquare wrapText="bothSides"/>
            <wp:docPr id="46" name="Grafik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Grafik44"/>
                    <pic:cNvPicPr>
                      <a:picLocks noChangeAspect="1"/>
                      <a:codePr string="" type="162857600"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TAQAAAKIAAAAAAAAAAAAAAQAAAAIAAADGGwAAAQAAAAIAAACEAAAA3gMAAN4DAAAMAAMAhiMAAPEzAAAoAAAACAAAAAEAAAABAAAAMAAAABQAAAAAAAAAAAD//wAAAQAAAP//AAABAA=="/>
                        </a:ext>
                      </a:extLst>
                    </pic:cNvPicPr>
                  </pic:nvPicPr>
                  <pic:blipFill>
                    <a:blip r:embed="rId32"/>
                    <a:stretch>
                      <a:fillRect/>
                    </a:stretch>
                  </pic:blipFill>
                  <pic:spPr>
                    <a:xfrm>
                      <a:off x="0" y="0"/>
                      <a:ext cx="628650" cy="628650"/>
                    </a:xfrm>
                    <a:prstGeom prst="rect">
                      <a:avLst/>
                    </a:prstGeom>
                    <a:noFill/>
                    <a:ln w="12700">
                      <a:noFill/>
                    </a:ln>
                  </pic:spPr>
                </pic:pic>
              </a:graphicData>
            </a:graphic>
          </wp:anchor>
        </w:drawing>
      </w:r>
      <w:r>
        <w:rPr>
          <w:noProof/>
        </w:rPr>
        <w:drawing>
          <wp:anchor distT="89535" distB="36195" distL="144145" distR="89535" simplePos="0" relativeHeight="251658287" behindDoc="0" locked="0" layoutInCell="0" hidden="0" allowOverlap="1">
            <wp:simplePos x="0" y="0"/>
            <wp:positionH relativeFrom="column">
              <wp:posOffset>5143500</wp:posOffset>
            </wp:positionH>
            <wp:positionV relativeFrom="paragraph">
              <wp:posOffset>146050</wp:posOffset>
            </wp:positionV>
            <wp:extent cx="628650" cy="628650"/>
            <wp:effectExtent l="0" t="0" r="0" b="0"/>
            <wp:wrapSquare wrapText="bothSides"/>
            <wp:docPr id="47" name="Grafik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fik45"/>
                    <pic:cNvPicPr>
                      <a:picLocks noChangeAspect="1"/>
                      <a:codePr string="" type="166459498" text="1"/>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TAQAAAKIAAAAAAAAAAAAAAQAAAAIAAACkHwAAAQAAAAIAAADmAAAA3gMAAN4DAAAMAAMAZCcAAFM0AAAoAAAACAAAAAEAAAABAAAAMAAAABQAAAAAAAAAAAD//wAAAQAAAP//AAABAA=="/>
                        </a:ext>
                      </a:extLst>
                    </pic:cNvPicPr>
                  </pic:nvPicPr>
                  <pic:blipFill>
                    <a:blip r:embed="rId33"/>
                    <a:stretch>
                      <a:fillRect/>
                    </a:stretch>
                  </pic:blipFill>
                  <pic:spPr>
                    <a:xfrm>
                      <a:off x="0" y="0"/>
                      <a:ext cx="628650" cy="628650"/>
                    </a:xfrm>
                    <a:prstGeom prst="rect">
                      <a:avLst/>
                    </a:prstGeom>
                    <a:noFill/>
                    <a:ln w="12700">
                      <a:noFill/>
                    </a:ln>
                  </pic:spPr>
                </pic:pic>
              </a:graphicData>
            </a:graphic>
          </wp:anchor>
        </w:drawing>
      </w:r>
      <w:r>
        <w:rPr>
          <w:b/>
          <w:bCs/>
          <w:color w:val="666666"/>
        </w:rPr>
        <w:fldChar w:fldCharType="begin"/>
        <w:instrText xml:space="preserve">XE "Saccharose" \G </w:instrText>
        <w:fldChar w:fldCharType="end"/>
        <w:t>Saccharose</w:t>
      </w:r>
      <w:r>
        <w:rPr>
          <w:b/>
          <w:bCs/>
        </w:rPr>
        <w:tab/>
      </w:r>
      <w:r>
        <w:t xml:space="preserve">auch Sucrose genannt, ist ein Disaccharid, also ein </w:t>
        <w:fldChar w:fldCharType="begin"/>
        <w:instrText xml:space="preserve">XE "Zweifachzucker" \G </w:instrText>
        <w:fldChar w:fldCharType="end"/>
        <w:t xml:space="preserve">Zweifachzucker, der aus einem Glucose- und einem Fructosemolekül besteht. In der Umgangssprache wird sie auch als </w:t>
        <w:fldChar w:fldCharType="begin"/>
        <w:instrText xml:space="preserve">XE "Haushaltszucker" \G </w:instrText>
        <w:fldChar w:fldCharType="end"/>
        <w:t xml:space="preserve">Haushaltszucker, Kristallzucker oder einfach nur Zucker bezeichnet. </w:t>
        <w:fldChar w:fldCharType="begin"/>
        <w:instrText xml:space="preserve">XE "Saccharose" \G </w:instrText>
        <w:fldChar w:fldCharType="end"/>
        <w:t>Saccharose wird hauptsächlich aus Zuckerrüben und Zuckerrohr gewonnen.</w:t>
      </w:r>
    </w:p>
    <w:p>
      <w:pPr>
        <w:ind w:left="1984" w:hanging="1701"/>
        <w:tabs defTabSz="708">
          <w:tab w:val="left" w:pos="1984" w:leader="none"/>
        </w:tabs>
      </w:pPr>
      <w:r>
        <w:rPr>
          <w:noProof/>
        </w:rPr>
        <w:drawing>
          <wp:anchor distT="89535" distB="36195" distL="144145" distR="89535" simplePos="0" relativeHeight="251658288" behindDoc="0" locked="0" layoutInCell="0" hidden="0" allowOverlap="1">
            <wp:simplePos x="0" y="0"/>
            <wp:positionH relativeFrom="column">
              <wp:posOffset>5111750</wp:posOffset>
            </wp:positionH>
            <wp:positionV relativeFrom="paragraph">
              <wp:posOffset>53340</wp:posOffset>
            </wp:positionV>
            <wp:extent cx="628650" cy="628650"/>
            <wp:effectExtent l="0" t="0" r="0" b="0"/>
            <wp:wrapSquare wrapText="bothSides"/>
            <wp:docPr id="48" name="Grafik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Grafik46"/>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UAQAAAKIAAAAAAAAAAAAAAQAAAAIAAAByHwAAAQAAAAIAAABUAAAA3gMAAN4DAAANAAMAxCIAAN0FAAAoAAAACAAAAAEAAAABAAAAMAAAABQAAAAAAAAAAAD//wAAAQAAAP//AAABAA=="/>
                        </a:ext>
                      </a:extLst>
                    </pic:cNvPicPr>
                  </pic:nvPicPr>
                  <pic:blipFill>
                    <a:blip r:embed="rId34"/>
                    <a:stretch>
                      <a:fillRect/>
                    </a:stretch>
                  </pic:blipFill>
                  <pic:spPr>
                    <a:xfrm>
                      <a:off x="0" y="0"/>
                      <a:ext cx="628650" cy="628650"/>
                    </a:xfrm>
                    <a:prstGeom prst="rect">
                      <a:avLst/>
                    </a:prstGeom>
                    <a:noFill/>
                    <a:ln w="12700">
                      <a:noFill/>
                    </a:ln>
                  </pic:spPr>
                </pic:pic>
              </a:graphicData>
            </a:graphic>
          </wp:anchor>
        </w:drawing>
      </w:r>
      <w:r>
        <w:rPr>
          <w:noProof/>
        </w:rPr>
        <w:drawing>
          <wp:anchor distT="89535" distB="71755" distL="144145" distR="89535" simplePos="0" relativeHeight="251658289" behindDoc="0" locked="0" layoutInCell="0" hidden="0" allowOverlap="1">
            <wp:simplePos x="0" y="0"/>
            <wp:positionH relativeFrom="column">
              <wp:posOffset>4483100</wp:posOffset>
            </wp:positionH>
            <wp:positionV relativeFrom="paragraph">
              <wp:posOffset>4445</wp:posOffset>
            </wp:positionV>
            <wp:extent cx="628650" cy="628650"/>
            <wp:effectExtent l="0" t="0" r="0" b="0"/>
            <wp:wrapSquare wrapText="bothSides"/>
            <wp:docPr id="49" name="Grafik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Grafik47"/>
                    <pic:cNvPicPr>
                      <a:picLocks noChangeAspect="1"/>
                      <a:codePr string="" type="166459498"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UAQAAAKIAAAAAAAAAAAAAAQAAAAIAAACUGwAAAQAAAAIAAAAHAAAA3gMAAN4DAAANAAMA5h4AAJAFAAAoAAAACAAAAAEAAAABAAAAMAAAABQAAAAAAAAAAAD//wAAAQAAAP//AAABAA=="/>
                        </a:ext>
                      </a:extLst>
                    </pic:cNvPicPr>
                  </pic:nvPicPr>
                  <pic:blipFill>
                    <a:blip r:embed="rId32"/>
                    <a:stretch>
                      <a:fillRect/>
                    </a:stretch>
                  </pic:blipFill>
                  <pic:spPr>
                    <a:xfrm>
                      <a:off x="0" y="0"/>
                      <a:ext cx="628650" cy="628650"/>
                    </a:xfrm>
                    <a:prstGeom prst="rect">
                      <a:avLst/>
                    </a:prstGeom>
                    <a:noFill/>
                    <a:ln w="12700">
                      <a:noFill/>
                    </a:ln>
                  </pic:spPr>
                </pic:pic>
              </a:graphicData>
            </a:graphic>
          </wp:anchor>
        </w:drawing>
      </w:r>
      <w:r>
        <w:rPr>
          <w:b/>
          <w:bCs/>
          <w:color w:val="666666"/>
        </w:rPr>
        <w:fldChar w:fldCharType="begin"/>
        <w:instrText xml:space="preserve">XE "Laktose" \G </w:instrText>
        <w:fldChar w:fldCharType="end"/>
        <w:t>Laktose</w:t>
      </w:r>
      <w:r>
        <w:rPr>
          <w:b/>
          <w:bCs/>
        </w:rPr>
        <w:tab/>
      </w:r>
      <w:r>
        <w:t>auch Milchzucker genannt, ist ein Disaccharid, der aus Glucose und Galaktose besteht. Es ist ein wichtiger Bestandteil von Milch und Milchprodukten und dient als Hauptkohlenhydrat in Muttermilch.</w:t>
      </w:r>
    </w:p>
    <w:p>
      <w:pPr>
        <w:ind w:left="1984" w:hanging="1701"/>
        <w:tabs defTabSz="708">
          <w:tab w:val="left" w:pos="1984" w:leader="none"/>
        </w:tabs>
      </w:pPr>
      <w:r>
        <w:rPr>
          <w:noProof/>
        </w:rPr>
        <w:drawing>
          <wp:anchor distT="89535" distB="71755" distL="144145" distR="89535" simplePos="0" relativeHeight="251658290" behindDoc="0" locked="0" layoutInCell="0" hidden="0" allowOverlap="1">
            <wp:simplePos x="0" y="0"/>
            <wp:positionH relativeFrom="column">
              <wp:posOffset>5129530</wp:posOffset>
            </wp:positionH>
            <wp:positionV relativeFrom="paragraph">
              <wp:posOffset>77470</wp:posOffset>
            </wp:positionV>
            <wp:extent cx="628650" cy="628650"/>
            <wp:effectExtent l="0" t="0" r="0" b="0"/>
            <wp:wrapSquare wrapText="bothSides"/>
            <wp:docPr id="50" name="Grafik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Grafik48"/>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VAQAAAKIAAAAAAAAAAAAAAAAAAAIAAACOHwAAAQAAAAIAAAB6AAAA3gMAAN4DAAANAAMA4CIAACAMAAAoAAAACAAAAAEAAAABAAAAMAAAABQAAAAAAAAAAAD//wAAAQAAAP//AAABAA=="/>
                        </a:ext>
                      </a:extLst>
                    </pic:cNvPicPr>
                  </pic:nvPicPr>
                  <pic:blipFill>
                    <a:blip r:embed="rId32"/>
                    <a:stretch>
                      <a:fillRect/>
                    </a:stretch>
                  </pic:blipFill>
                  <pic:spPr>
                    <a:xfrm>
                      <a:off x="0" y="0"/>
                      <a:ext cx="628650" cy="628650"/>
                    </a:xfrm>
                    <a:prstGeom prst="rect">
                      <a:avLst/>
                    </a:prstGeom>
                    <a:noFill/>
                    <a:ln w="12700">
                      <a:noFill/>
                    </a:ln>
                  </pic:spPr>
                </pic:pic>
              </a:graphicData>
            </a:graphic>
          </wp:anchor>
        </w:drawing>
      </w:r>
      <w:r>
        <w:rPr>
          <w:noProof/>
        </w:rPr>
        <w:drawing>
          <wp:anchor distT="89535" distB="71755" distL="144145" distR="89535" simplePos="0" relativeHeight="251658291" behindDoc="0" locked="0" layoutInCell="0" hidden="0" allowOverlap="1">
            <wp:simplePos x="0" y="0"/>
            <wp:positionH relativeFrom="column">
              <wp:posOffset>4500880</wp:posOffset>
            </wp:positionH>
            <wp:positionV relativeFrom="paragraph">
              <wp:posOffset>33020</wp:posOffset>
            </wp:positionV>
            <wp:extent cx="628650" cy="628650"/>
            <wp:effectExtent l="0" t="0" r="0" b="0"/>
            <wp:wrapSquare wrapText="bothSides"/>
            <wp:docPr id="51" name="Grafik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Grafik49"/>
                    <pic:cNvPicPr>
                      <a:picLocks noChangeAspect="1"/>
                      <a:codePr string="" type="166459498"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VAQAAAKIAAAAAAAAAAAAAAAAAAAIAAACwGwAAAQAAAAIAAAA0AAAA3gMAAN4DAAANAAMAAh8AANoLAAAoAAAACAAAAAEAAAABAAAAMAAAABQAAAAAAAAAAAD//wAAAQAAAP//AAABAA=="/>
                        </a:ext>
                      </a:extLst>
                    </pic:cNvPicPr>
                  </pic:nvPicPr>
                  <pic:blipFill>
                    <a:blip r:embed="rId32"/>
                    <a:stretch>
                      <a:fillRect/>
                    </a:stretch>
                  </pic:blipFill>
                  <pic:spPr>
                    <a:xfrm>
                      <a:off x="0" y="0"/>
                      <a:ext cx="628650" cy="628650"/>
                    </a:xfrm>
                    <a:prstGeom prst="rect">
                      <a:avLst/>
                    </a:prstGeom>
                    <a:noFill/>
                    <a:ln w="12700">
                      <a:noFill/>
                    </a:ln>
                  </pic:spPr>
                </pic:pic>
              </a:graphicData>
            </a:graphic>
          </wp:anchor>
        </w:drawing>
      </w:r>
      <w:r>
        <w:rPr>
          <w:b/>
          <w:bCs/>
          <w:color w:val="666666"/>
        </w:rPr>
        <w:fldChar w:fldCharType="begin"/>
        <w:instrText xml:space="preserve">XE "Maltose" \G </w:instrText>
        <w:fldChar w:fldCharType="end"/>
        <w:t>Maltose</w:t>
      </w:r>
      <w:r>
        <w:rPr>
          <w:b/>
          <w:bCs/>
        </w:rPr>
        <w:tab/>
      </w:r>
      <w:r>
        <w:fldChar w:fldCharType="begin"/>
        <w:instrText xml:space="preserve">XE "Maltose" \G </w:instrText>
        <w:fldChar w:fldCharType="end"/>
        <w:t xml:space="preserve">Maltose, auch Malzzucker genannt, ist ein Disaccharid, das aus zwei Glucose-Molekülen besteht. Es entsteht beim enzymatischen Abbau von </w:t>
        <w:fldChar w:fldCharType="begin"/>
        <w:instrText xml:space="preserve">XE "Stärke" \G </w:instrText>
        <w:fldChar w:fldCharType="end"/>
        <w:t xml:space="preserve">Stärke und </w:t>
        <w:fldChar w:fldCharType="begin"/>
        <w:instrText xml:space="preserve">XE "Glykogen" \G </w:instrText>
        <w:fldChar w:fldCharType="end"/>
        <w:t xml:space="preserve">Glykogen und hat einen süßlichen Geschmack. </w:t>
      </w:r>
    </w:p>
    <w:p>
      <w:pPr>
        <w:ind w:left="1984" w:hanging="1984"/>
        <w:tabs defTabSz="708">
          <w:tab w:val="left" w:pos="1984" w:leader="none"/>
        </w:tabs>
      </w:pPr>
      <w:r>
        <w:rPr>
          <w:noProof/>
        </w:rPr>
        <w:drawing>
          <wp:anchor distT="89535" distB="71755" distL="144145" distR="89535" simplePos="0" relativeHeight="251658292" behindDoc="0" locked="0" layoutInCell="0" hidden="0" allowOverlap="1">
            <wp:simplePos x="0" y="0"/>
            <wp:positionH relativeFrom="column">
              <wp:posOffset>5634990</wp:posOffset>
            </wp:positionH>
            <wp:positionV relativeFrom="paragraph">
              <wp:posOffset>267970</wp:posOffset>
            </wp:positionV>
            <wp:extent cx="190500" cy="190500"/>
            <wp:effectExtent l="0" t="0" r="0" b="0"/>
            <wp:wrapSquare wrapText="bothSides"/>
            <wp:docPr id="52" name="Grafik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Grafik50"/>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WAQAAAKIAAAAAAAAAAAAAAAAAAAIAAACqIgAAAQAAAAIAAACmAQAALAEAACwBAAANAAMA/CUAAGkTAAAoAAAACAAAAAEAAAABAAAAMAAAABQAAAAAAAAAAAD//wAAAQAAAP//AAABAA=="/>
                        </a:ext>
                      </a:extLst>
                    </pic:cNvPicPr>
                  </pic:nvPicPr>
                  <pic:blipFill>
                    <a:blip r:embed="rId32"/>
                    <a:stretch>
                      <a:fillRect/>
                    </a:stretch>
                  </pic:blipFill>
                  <pic:spPr>
                    <a:xfrm>
                      <a:off x="0" y="0"/>
                      <a:ext cx="190500" cy="190500"/>
                    </a:xfrm>
                    <a:prstGeom prst="rect">
                      <a:avLst/>
                    </a:prstGeom>
                    <a:noFill/>
                    <a:ln w="12700">
                      <a:noFill/>
                    </a:ln>
                  </pic:spPr>
                </pic:pic>
              </a:graphicData>
            </a:graphic>
          </wp:anchor>
        </w:drawing>
      </w:r>
      <w:r>
        <w:rPr>
          <w:noProof/>
        </w:rPr>
        <w:drawing>
          <wp:anchor distT="89535" distB="71755" distL="144145" distR="89535" simplePos="0" relativeHeight="251658293" behindDoc="0" locked="0" layoutInCell="0" hidden="0" allowOverlap="1">
            <wp:simplePos x="0" y="0"/>
            <wp:positionH relativeFrom="column">
              <wp:posOffset>5444490</wp:posOffset>
            </wp:positionH>
            <wp:positionV relativeFrom="paragraph">
              <wp:posOffset>250190</wp:posOffset>
            </wp:positionV>
            <wp:extent cx="190500" cy="190500"/>
            <wp:effectExtent l="0" t="0" r="0" b="0"/>
            <wp:wrapSquare wrapText="bothSides"/>
            <wp:docPr id="53" name="Grafik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Grafik51"/>
                    <pic:cNvPicPr>
                      <a:picLocks noChangeAspect="1"/>
                      <a:codePr string="" type="166459498"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WAQAAAKIAAAAAAAAAAAAAAAAAAAIAAAB+IQAAAQAAAAIAAACKAQAALAEAACwBAAANAAMA0CQAAE0TAAAoAAAACAAAAAEAAAABAAAAMAAAABQAAAAAAAAAAAD//wAAAQAAAP//AAABAA=="/>
                        </a:ext>
                      </a:extLst>
                    </pic:cNvPicPr>
                  </pic:nvPicPr>
                  <pic:blipFill>
                    <a:blip r:embed="rId32"/>
                    <a:stretch>
                      <a:fillRect/>
                    </a:stretch>
                  </pic:blipFill>
                  <pic:spPr>
                    <a:xfrm>
                      <a:off x="0" y="0"/>
                      <a:ext cx="190500" cy="190500"/>
                    </a:xfrm>
                    <a:prstGeom prst="rect">
                      <a:avLst/>
                    </a:prstGeom>
                    <a:noFill/>
                    <a:ln w="12700">
                      <a:noFill/>
                    </a:ln>
                  </pic:spPr>
                </pic:pic>
              </a:graphicData>
            </a:graphic>
          </wp:anchor>
        </w:drawing>
      </w:r>
      <w:r>
        <w:rPr>
          <w:noProof/>
        </w:rPr>
        <w:drawing>
          <wp:anchor distT="89535" distB="71755" distL="144145" distR="89535" simplePos="0" relativeHeight="251658294" behindDoc="0" locked="0" layoutInCell="0" hidden="0" allowOverlap="1">
            <wp:simplePos x="0" y="0"/>
            <wp:positionH relativeFrom="column">
              <wp:posOffset>5253990</wp:posOffset>
            </wp:positionH>
            <wp:positionV relativeFrom="paragraph">
              <wp:posOffset>224790</wp:posOffset>
            </wp:positionV>
            <wp:extent cx="190500" cy="190500"/>
            <wp:effectExtent l="0" t="0" r="0" b="0"/>
            <wp:wrapSquare wrapText="bothSides"/>
            <wp:docPr id="54" name="Grafik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Grafik52"/>
                    <pic:cNvPicPr>
                      <a:picLocks noChangeAspect="1"/>
                      <a:codePr string="" type="166459498"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WAQAAAKIAAAAAAAAAAAAAAAAAAAIAAABSIAAAAQAAAAIAAABiAQAALAEAACwBAAANAAMApCMAACUTAAAoAAAACAAAAAEAAAABAAAAMAAAABQAAAAAAAAAAAD//wAAAQAAAP//AAABAA=="/>
                        </a:ext>
                      </a:extLst>
                    </pic:cNvPicPr>
                  </pic:nvPicPr>
                  <pic:blipFill>
                    <a:blip r:embed="rId32"/>
                    <a:stretch>
                      <a:fillRect/>
                    </a:stretch>
                  </pic:blipFill>
                  <pic:spPr>
                    <a:xfrm>
                      <a:off x="0" y="0"/>
                      <a:ext cx="190500" cy="190500"/>
                    </a:xfrm>
                    <a:prstGeom prst="rect">
                      <a:avLst/>
                    </a:prstGeom>
                    <a:noFill/>
                    <a:ln w="12700">
                      <a:noFill/>
                    </a:ln>
                  </pic:spPr>
                </pic:pic>
              </a:graphicData>
            </a:graphic>
          </wp:anchor>
        </w:drawing>
      </w:r>
      <w:r>
        <w:rPr>
          <w:noProof/>
        </w:rPr>
        <w:drawing>
          <wp:anchor distT="89535" distB="71755" distL="144145" distR="89535" simplePos="0" relativeHeight="251658295" behindDoc="0" locked="0" layoutInCell="0" hidden="0" allowOverlap="1">
            <wp:simplePos x="0" y="0"/>
            <wp:positionH relativeFrom="column">
              <wp:posOffset>5063490</wp:posOffset>
            </wp:positionH>
            <wp:positionV relativeFrom="paragraph">
              <wp:posOffset>201295</wp:posOffset>
            </wp:positionV>
            <wp:extent cx="190500" cy="190500"/>
            <wp:effectExtent l="0" t="0" r="0" b="0"/>
            <wp:wrapSquare wrapText="bothSides"/>
            <wp:docPr id="55" name="Grafik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Grafik53"/>
                    <pic:cNvPicPr>
                      <a:picLocks noChangeAspect="1"/>
                      <a:codePr string="" type="166459498"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WAQAAAKIAAAAAAAAAAAAAAAAAAAIAAAAmHwAAAQAAAAIAAAA9AQAALAEAACwBAAANAAMAeCIAAAATAAAoAAAACAAAAAEAAAABAAAAMAAAABQAAAAAAAAAAAD//wAAAQAAAP//AAABAA=="/>
                        </a:ext>
                      </a:extLst>
                    </pic:cNvPicPr>
                  </pic:nvPicPr>
                  <pic:blipFill>
                    <a:blip r:embed="rId32"/>
                    <a:stretch>
                      <a:fillRect/>
                    </a:stretch>
                  </pic:blipFill>
                  <pic:spPr>
                    <a:xfrm>
                      <a:off x="0" y="0"/>
                      <a:ext cx="190500" cy="190500"/>
                    </a:xfrm>
                    <a:prstGeom prst="rect">
                      <a:avLst/>
                    </a:prstGeom>
                    <a:noFill/>
                    <a:ln w="12700">
                      <a:noFill/>
                    </a:ln>
                  </pic:spPr>
                </pic:pic>
              </a:graphicData>
            </a:graphic>
          </wp:anchor>
        </w:drawing>
      </w:r>
      <w:r>
        <w:rPr>
          <w:noProof/>
        </w:rPr>
        <w:drawing>
          <wp:anchor distT="89535" distB="71755" distL="144145" distR="89535" simplePos="0" relativeHeight="251658296" behindDoc="0" locked="0" layoutInCell="0" hidden="0" allowOverlap="1">
            <wp:simplePos x="0" y="0"/>
            <wp:positionH relativeFrom="column">
              <wp:posOffset>4872990</wp:posOffset>
            </wp:positionH>
            <wp:positionV relativeFrom="paragraph">
              <wp:posOffset>176530</wp:posOffset>
            </wp:positionV>
            <wp:extent cx="190500" cy="190500"/>
            <wp:effectExtent l="0" t="0" r="0" b="0"/>
            <wp:wrapSquare wrapText="bothSides"/>
            <wp:docPr id="56" name="Grafik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fik54"/>
                    <pic:cNvPicPr>
                      <a:picLocks noChangeAspect="1"/>
                      <a:codePr string="" type="166459498"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WAQAAAKIAAAAAAAAAAAAAAAAAAAIAAAD6HQAAAQAAAAIAAAAWAQAALAEAACwBAAANAAMATCEAANkSAAAoAAAACAAAAAEAAAABAAAAMAAAABQAAAAAAAAAAAD//wAAAQAAAP//AAABAA=="/>
                        </a:ext>
                      </a:extLst>
                    </pic:cNvPicPr>
                  </pic:nvPicPr>
                  <pic:blipFill>
                    <a:blip r:embed="rId32"/>
                    <a:stretch>
                      <a:fillRect/>
                    </a:stretch>
                  </pic:blipFill>
                  <pic:spPr>
                    <a:xfrm>
                      <a:off x="0" y="0"/>
                      <a:ext cx="190500" cy="190500"/>
                    </a:xfrm>
                    <a:prstGeom prst="rect">
                      <a:avLst/>
                    </a:prstGeom>
                    <a:noFill/>
                    <a:ln w="12700">
                      <a:noFill/>
                    </a:ln>
                  </pic:spPr>
                </pic:pic>
              </a:graphicData>
            </a:graphic>
          </wp:anchor>
        </w:drawing>
      </w:r>
      <w:r>
        <w:rPr>
          <w:noProof/>
        </w:rPr>
        <w:drawing>
          <wp:anchor distT="89535" distB="71755" distL="144145" distR="89535" simplePos="0" relativeHeight="251658297" behindDoc="0" locked="0" layoutInCell="0" hidden="0" allowOverlap="1">
            <wp:simplePos x="0" y="0"/>
            <wp:positionH relativeFrom="column">
              <wp:posOffset>4682490</wp:posOffset>
            </wp:positionH>
            <wp:positionV relativeFrom="paragraph">
              <wp:posOffset>150495</wp:posOffset>
            </wp:positionV>
            <wp:extent cx="190500" cy="190500"/>
            <wp:effectExtent l="0" t="0" r="0" b="0"/>
            <wp:wrapSquare wrapText="bothSides"/>
            <wp:docPr id="57" name="Grafik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Grafik55"/>
                    <pic:cNvPicPr>
                      <a:picLocks noChangeAspect="1"/>
                      <a:codePr string="" type="166459498"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WAQAAAKIAAAAAAAAAAAAAAAAAAAIAAADOHAAAAQAAAAIAAADtAAAALAEAACwBAAANAAMAICAAALASAAAoAAAACAAAAAEAAAABAAAAMAAAABQAAAAAAAAAAAD//wAAAQAAAP//AAABAA=="/>
                        </a:ext>
                      </a:extLst>
                    </pic:cNvPicPr>
                  </pic:nvPicPr>
                  <pic:blipFill>
                    <a:blip r:embed="rId32"/>
                    <a:stretch>
                      <a:fillRect/>
                    </a:stretch>
                  </pic:blipFill>
                  <pic:spPr>
                    <a:xfrm>
                      <a:off x="0" y="0"/>
                      <a:ext cx="190500" cy="190500"/>
                    </a:xfrm>
                    <a:prstGeom prst="rect">
                      <a:avLst/>
                    </a:prstGeom>
                    <a:noFill/>
                    <a:ln w="12700">
                      <a:noFill/>
                    </a:ln>
                  </pic:spPr>
                </pic:pic>
              </a:graphicData>
            </a:graphic>
          </wp:anchor>
        </w:drawing>
      </w:r>
      <w:r>
        <w:rPr>
          <w:noProof/>
        </w:rPr>
        <w:drawing>
          <wp:anchor distT="89535" distB="71755" distL="144145" distR="89535" simplePos="0" relativeHeight="251658298" behindDoc="0" locked="0" layoutInCell="0" hidden="0" allowOverlap="1">
            <wp:simplePos x="0" y="0"/>
            <wp:positionH relativeFrom="column">
              <wp:posOffset>4491990</wp:posOffset>
            </wp:positionH>
            <wp:positionV relativeFrom="paragraph">
              <wp:posOffset>130175</wp:posOffset>
            </wp:positionV>
            <wp:extent cx="190500" cy="190500"/>
            <wp:effectExtent l="0" t="0" r="0" b="0"/>
            <wp:wrapSquare wrapText="bothSides"/>
            <wp:docPr id="58" name="Grafik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fik56"/>
                    <pic:cNvPicPr>
                      <a:picLocks noChangeAspect="1"/>
                      <a:codePr string="" type="166459498"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WAQAAAKIAAAAAAAAAAAAAAAAAAAIAAACiGwAAAQAAAAIAAADNAAAALAEAACwBAAANAAMA9B4AAJASAAAoAAAACAAAAAEAAAABAAAAMAAAABQAAAAAAAAAAAD//wAAAQAAAP//AAABAA=="/>
                        </a:ext>
                      </a:extLst>
                    </pic:cNvPicPr>
                  </pic:nvPicPr>
                  <pic:blipFill>
                    <a:blip r:embed="rId32"/>
                    <a:stretch>
                      <a:fillRect/>
                    </a:stretch>
                  </pic:blipFill>
                  <pic:spPr>
                    <a:xfrm>
                      <a:off x="0" y="0"/>
                      <a:ext cx="190500" cy="190500"/>
                    </a:xfrm>
                    <a:prstGeom prst="rect">
                      <a:avLst/>
                    </a:prstGeom>
                    <a:noFill/>
                    <a:ln w="12700">
                      <a:noFill/>
                    </a:ln>
                  </pic:spPr>
                </pic:pic>
              </a:graphicData>
            </a:graphic>
          </wp:anchor>
        </w:drawing>
      </w:r>
      <w:r>
        <w:rPr>
          <w:noProof/>
        </w:rPr>
        <w:drawing>
          <wp:anchor distT="89535" distB="71755" distL="144145" distR="89535" simplePos="0" relativeHeight="251658299" behindDoc="0" locked="0" layoutInCell="0" hidden="0" allowOverlap="1">
            <wp:simplePos x="0" y="0"/>
            <wp:positionH relativeFrom="column">
              <wp:posOffset>4301490</wp:posOffset>
            </wp:positionH>
            <wp:positionV relativeFrom="paragraph">
              <wp:posOffset>109855</wp:posOffset>
            </wp:positionV>
            <wp:extent cx="190500" cy="190500"/>
            <wp:effectExtent l="0" t="0" r="0" b="0"/>
            <wp:wrapSquare wrapText="bothSides"/>
            <wp:docPr id="59" name="Grafik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57"/>
                    <pic:cNvPicPr>
                      <a:picLocks noChangeAspect="1"/>
                      <a:codePr string="" type="166459498"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WAQAAAKIAAAAAAAAAAAAAAAAAAAIAAAB2GgAAAQAAAAIAAACtAAAALAEAACwBAAANAAMAyB0AAHASAAAoAAAACAAAAAEAAAABAAAAMAAAABQAAAAAAAAAAAD//wAAAQAAAP//AAABAA=="/>
                        </a:ext>
                      </a:extLst>
                    </pic:cNvPicPr>
                  </pic:nvPicPr>
                  <pic:blipFill>
                    <a:blip r:embed="rId32"/>
                    <a:stretch>
                      <a:fillRect/>
                    </a:stretch>
                  </pic:blipFill>
                  <pic:spPr>
                    <a:xfrm>
                      <a:off x="0" y="0"/>
                      <a:ext cx="190500" cy="190500"/>
                    </a:xfrm>
                    <a:prstGeom prst="rect">
                      <a:avLst/>
                    </a:prstGeom>
                    <a:noFill/>
                    <a:ln w="12700">
                      <a:noFill/>
                    </a:ln>
                  </pic:spPr>
                </pic:pic>
              </a:graphicData>
            </a:graphic>
          </wp:anchor>
        </w:drawing>
      </w:r>
      <w:r>
        <w:rPr>
          <w:noProof/>
        </w:rPr>
        <w:drawing>
          <wp:anchor distT="89535" distB="71755" distL="144145" distR="89535" simplePos="0" relativeHeight="251658300" behindDoc="0" locked="0" layoutInCell="0" hidden="0" allowOverlap="1">
            <wp:simplePos x="0" y="0"/>
            <wp:positionH relativeFrom="column">
              <wp:posOffset>4110990</wp:posOffset>
            </wp:positionH>
            <wp:positionV relativeFrom="paragraph">
              <wp:posOffset>87630</wp:posOffset>
            </wp:positionV>
            <wp:extent cx="190500" cy="190500"/>
            <wp:effectExtent l="0" t="0" r="0" b="0"/>
            <wp:wrapSquare wrapText="bothSides"/>
            <wp:docPr id="60" name="Grafik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Grafik58"/>
                    <pic:cNvPicPr>
                      <a:picLocks noChangeAspect="1"/>
                      <a:codePr string="" type="166459498"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WAQAAAKIAAAAAAAAAAAAAAAAAAAIAAABKGQAAAQAAAAIAAACKAAAALAEAACwBAAANAAMAnBwAAE0SAAAoAAAACAAAAAEAAAABAAAAMAAAABQAAAAAAAAAAAD//wAAAQAAAP//AAABAA=="/>
                        </a:ext>
                      </a:extLst>
                    </pic:cNvPicPr>
                  </pic:nvPicPr>
                  <pic:blipFill>
                    <a:blip r:embed="rId32"/>
                    <a:stretch>
                      <a:fillRect/>
                    </a:stretch>
                  </pic:blipFill>
                  <pic:spPr>
                    <a:xfrm>
                      <a:off x="0" y="0"/>
                      <a:ext cx="190500" cy="190500"/>
                    </a:xfrm>
                    <a:prstGeom prst="rect">
                      <a:avLst/>
                    </a:prstGeom>
                    <a:noFill/>
                    <a:ln w="12700">
                      <a:noFill/>
                    </a:ln>
                  </pic:spPr>
                </pic:pic>
              </a:graphicData>
            </a:graphic>
          </wp:anchor>
        </w:drawing>
      </w:r>
      <w:r>
        <w:rPr>
          <w:noProof/>
        </w:rPr>
        <w:drawing>
          <wp:anchor distT="89535" distB="71755" distL="144145" distR="89535" simplePos="0" relativeHeight="251658301" behindDoc="0" locked="0" layoutInCell="0" hidden="0" allowOverlap="1">
            <wp:simplePos x="0" y="0"/>
            <wp:positionH relativeFrom="column">
              <wp:posOffset>3920490</wp:posOffset>
            </wp:positionH>
            <wp:positionV relativeFrom="paragraph">
              <wp:posOffset>67310</wp:posOffset>
            </wp:positionV>
            <wp:extent cx="190500" cy="190500"/>
            <wp:effectExtent l="0" t="0" r="0" b="0"/>
            <wp:wrapSquare wrapText="bothSides"/>
            <wp:docPr id="61" name="Grafik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fik59"/>
                    <pic:cNvPicPr>
                      <a:picLocks noChangeAspect="1"/>
                      <a:codePr string="" type="166459498"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WAQAAAKIAAAAAAAAAAAAAAAAAAAIAAAAeGAAAAQAAAAIAAABqAAAALAEAACwBAAANAAMAcBsAAC0SAAAoAAAACAAAAAEAAAABAAAAMAAAABQAAAAAAAAAAAD//wAAAQAAAP//AAABAA=="/>
                        </a:ext>
                      </a:extLst>
                    </pic:cNvPicPr>
                  </pic:nvPicPr>
                  <pic:blipFill>
                    <a:blip r:embed="rId32"/>
                    <a:stretch>
                      <a:fillRect/>
                    </a:stretch>
                  </pic:blipFill>
                  <pic:spPr>
                    <a:xfrm>
                      <a:off x="0" y="0"/>
                      <a:ext cx="190500" cy="190500"/>
                    </a:xfrm>
                    <a:prstGeom prst="rect">
                      <a:avLst/>
                    </a:prstGeom>
                    <a:noFill/>
                    <a:ln w="12700">
                      <a:noFill/>
                    </a:ln>
                  </pic:spPr>
                </pic:pic>
              </a:graphicData>
            </a:graphic>
          </wp:anchor>
        </w:drawing>
      </w:r>
      <w:r>
        <w:rPr>
          <w:noProof/>
        </w:rPr>
        <w:drawing>
          <wp:anchor distT="89535" distB="71755" distL="144145" distR="89535" simplePos="0" relativeHeight="251658302" behindDoc="0" locked="0" layoutInCell="0" hidden="0" allowOverlap="1">
            <wp:simplePos x="0" y="0"/>
            <wp:positionH relativeFrom="column">
              <wp:posOffset>3729990</wp:posOffset>
            </wp:positionH>
            <wp:positionV relativeFrom="paragraph">
              <wp:posOffset>51435</wp:posOffset>
            </wp:positionV>
            <wp:extent cx="190500" cy="190500"/>
            <wp:effectExtent l="0" t="0" r="0" b="0"/>
            <wp:wrapSquare wrapText="bothSides"/>
            <wp:docPr id="62" name="Grafik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Grafik60"/>
                    <pic:cNvPicPr>
                      <a:picLocks noChangeAspect="1"/>
                      <a:codePr string="" type="166459498"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WAQAAAKIAAAAAAAAAAAAAAAAAAAIAAADyFgAAAQAAAAIAAABRAAAALAEAACwBAAANAAMARBoAABQSAAAoAAAACAAAAAEAAAABAAAAMAAAABQAAAAAAAAAAAD//wAAAQAAAP//AAABAA=="/>
                        </a:ext>
                      </a:extLst>
                    </pic:cNvPicPr>
                  </pic:nvPicPr>
                  <pic:blipFill>
                    <a:blip r:embed="rId32"/>
                    <a:stretch>
                      <a:fillRect/>
                    </a:stretch>
                  </pic:blipFill>
                  <pic:spPr>
                    <a:xfrm>
                      <a:off x="0" y="0"/>
                      <a:ext cx="190500" cy="190500"/>
                    </a:xfrm>
                    <a:prstGeom prst="rect">
                      <a:avLst/>
                    </a:prstGeom>
                    <a:noFill/>
                    <a:ln w="12700">
                      <a:noFill/>
                    </a:ln>
                  </pic:spPr>
                </pic:pic>
              </a:graphicData>
            </a:graphic>
          </wp:anchor>
        </w:drawing>
      </w:r>
      <w:r>
        <w:rPr>
          <w:b/>
          <w:bCs/>
        </w:rPr>
        <w:fldChar w:fldCharType="begin"/>
        <w:instrText xml:space="preserve">XE "Vielfachzucker" \G </w:instrText>
        <w:fldChar w:fldCharType="end"/>
        <w:t>Vielfachzucker</w:t>
      </w:r>
      <w:r>
        <w:tab/>
        <w:t xml:space="preserve">auch Polysaccharide genannt, sind </w:t>
        <w:fldChar w:fldCharType="begin"/>
        <w:instrText xml:space="preserve">XE "Kohlenhydrate" \G </w:instrText>
        <w:fldChar w:fldCharType="end"/>
        <w:t xml:space="preserve">Kohlenhydrate, die aus vielen miteinander verbundenen Zuckermolekülen (Monosaccharide) bestehen, mindestens elf. Sie schmecken nicht süß und kommen in </w:t>
        <w:fldChar w:fldCharType="begin"/>
        <w:instrText xml:space="preserve">XE "Stärke" \G </w:instrText>
        <w:fldChar w:fldCharType="end"/>
        <w:t xml:space="preserve">Stärke, Ballaststoffen und </w:t>
        <w:fldChar w:fldCharType="begin"/>
        <w:instrText xml:space="preserve">XE "Glykogen" \G </w:instrText>
        <w:fldChar w:fldCharType="end"/>
        <w:t xml:space="preserve">Glykogen vor. </w:t>
        <w:fldChar w:fldCharType="begin"/>
        <w:instrText xml:space="preserve">XE "Vielfachzucker" \G </w:instrText>
        <w:fldChar w:fldCharType="end"/>
        <w:t xml:space="preserve">Vielfachzucker sind komplexe </w:t>
        <w:fldChar w:fldCharType="begin"/>
        <w:instrText xml:space="preserve">XE "Kohlenhydrate" \G </w:instrText>
        <w:fldChar w:fldCharType="end"/>
        <w:t>Kohlenhydrate, die eine wichtige Rolle in der Ernährung spielen und dem Körper wichtige Funktionen, wie Energiebereitstellung und Verdauungsunterstützung, bieten.</w:t>
      </w:r>
    </w:p>
    <w:p>
      <w:pPr>
        <w:ind w:left="1984" w:hanging="1701"/>
        <w:tabs defTabSz="708">
          <w:tab w:val="left" w:pos="1984" w:leader="none"/>
        </w:tabs>
      </w:pPr>
      <w:r>
        <w:rPr>
          <w:b/>
          <w:bCs/>
          <w:color w:val="666666"/>
        </w:rPr>
        <w:fldChar w:fldCharType="begin"/>
        <w:instrText xml:space="preserve">XE "Stärke" \G </w:instrText>
        <w:fldChar w:fldCharType="end"/>
        <w:t>Stärke</w:t>
      </w:r>
      <w:r>
        <w:rPr>
          <w:b/>
          <w:bCs/>
        </w:rPr>
        <w:tab/>
      </w:r>
      <w:r>
        <w:fldChar w:fldCharType="begin"/>
        <w:instrText xml:space="preserve">XE "Stärke" \G </w:instrText>
        <w:fldChar w:fldCharType="end"/>
        <w:t xml:space="preserve">Stärke wird hauptsächlich im Dünndarm zu </w:t>
        <w:fldChar w:fldCharType="begin"/>
        <w:instrText xml:space="preserve">XE "Glukose" \G </w:instrText>
        <w:fldChar w:fldCharType="end"/>
        <w:t>Glukose verdaut und als Energie genutzt.</w:t>
      </w:r>
    </w:p>
    <w:p>
      <w:pPr>
        <w:ind w:left="1984" w:hanging="1701"/>
        <w:tabs defTabSz="708">
          <w:tab w:val="left" w:pos="1984" w:leader="none"/>
        </w:tabs>
      </w:pPr>
      <w:r>
        <w:tab/>
        <w:t xml:space="preserve">Ein Teil davon, die sogenannte resistente </w:t>
        <w:fldChar w:fldCharType="begin"/>
        <w:instrText xml:space="preserve">XE "Stärke" \G </w:instrText>
        <w:fldChar w:fldCharType="end"/>
        <w:t>Stärke, gelangt unverdaulich in den Dickdarm, wo Darmbakterien sie fermentieren.</w:t>
      </w:r>
    </w:p>
    <w:p>
      <w:pPr>
        <w:ind w:left="1984" w:hanging="1701"/>
        <w:tabs defTabSz="708">
          <w:tab w:val="left" w:pos="1984" w:leader="none"/>
        </w:tabs>
      </w:pPr>
      <w:r>
        <w:rPr>
          <w:b/>
          <w:bCs/>
          <w:color w:val="666666"/>
        </w:rPr>
        <w:fldChar w:fldCharType="begin"/>
        <w:instrText xml:space="preserve">XE "Glykogen" \G </w:instrText>
        <w:fldChar w:fldCharType="end"/>
        <w:t>Glykogen</w:t>
      </w:r>
      <w:r>
        <w:rPr>
          <w:b/>
          <w:bCs/>
        </w:rPr>
        <w:tab/>
      </w:r>
      <w:r>
        <w:fldChar w:fldCharType="begin"/>
        <w:instrText xml:space="preserve">XE "Glykogen" \G </w:instrText>
        <w:fldChar w:fldCharType="end"/>
        <w:t>Glykogen dient der kurz- bis mittelfristigen Speicherung des Energieträgers Glucose.</w:t>
      </w:r>
    </w:p>
    <w:p>
      <w:pPr>
        <w:ind w:left="1984" w:hanging="1701"/>
        <w:tabs defTabSz="708">
          <w:tab w:val="left" w:pos="1984" w:leader="none"/>
        </w:tabs>
      </w:pPr>
      <w:r>
        <w:tab/>
        <w:fldChar w:fldCharType="begin"/>
        <w:instrText xml:space="preserve">XE "Glykogen" \G </w:instrText>
        <w:fldChar w:fldCharType="end"/>
        <w:t xml:space="preserve">Glykogen kommt hauptsächlich in Leber und Muskeln vor, dient dort als Energiespeicher und ist in fast allen anderen Zellen des Körpers ebenfalls gespeichert. Die Skelettmuskulatur speichert die größte Menge an </w:t>
        <w:fldChar w:fldCharType="begin"/>
        <w:instrText xml:space="preserve">XE "Glykogen" \G </w:instrText>
        <w:fldChar w:fldCharType="end"/>
        <w:t xml:space="preserve">Glykogen (bis zu 600 g bei Trainierten), gefolgt von der Leber, die etwa 150 g speichern kann. Bei Bedarf wird </w:t>
        <w:fldChar w:fldCharType="begin"/>
        <w:instrText xml:space="preserve">XE "Glykogen" \G </w:instrText>
        <w:fldChar w:fldCharType="end"/>
        <w:t>Glykogen wieder bereitgestellt.</w:t>
      </w:r>
    </w:p>
    <w:p>
      <w:pPr>
        <w:ind w:left="1984" w:hanging="1701"/>
        <w:tabs defTabSz="708">
          <w:tab w:val="left" w:pos="1984" w:leader="none"/>
        </w:tabs>
      </w:pPr>
      <w:r>
        <w:rPr>
          <w:b/>
          <w:bCs/>
          <w:color w:val="666666"/>
        </w:rPr>
        <w:fldChar w:fldCharType="begin"/>
        <w:instrText xml:space="preserve">XE "Cellulose" \G </w:instrText>
        <w:fldChar w:fldCharType="end"/>
        <w:t>Cellulose</w:t>
      </w:r>
      <w:r>
        <w:rPr>
          <w:b/>
          <w:bCs/>
        </w:rPr>
        <w:tab/>
      </w:r>
      <w:r>
        <w:fldChar w:fldCharType="begin"/>
        <w:instrText xml:space="preserve">XE "Cellulose" \G </w:instrText>
        <w:fldChar w:fldCharType="end"/>
        <w:t xml:space="preserve">Cellulose ist der Hauptbestandteil pflanzlicher Zellwände. Sie besteht aus vielen Glucosemolekülen, die in einer langen Kette miteinander verbunden sind. </w:t>
        <w:fldChar w:fldCharType="begin"/>
        <w:instrText xml:space="preserve">XE "Cellulose" \G </w:instrText>
        <w:fldChar w:fldCharType="end"/>
        <w:t xml:space="preserve">Cellulose verleiht Pflanzen Stabilität und Elastizität. Sie ist wasserunlöslich und für den Menschen unverdaulich. </w:t>
        <w:fldChar w:fldCharType="begin"/>
        <w:instrText xml:space="preserve">XE "Cellulose" \G </w:instrText>
        <w:fldChar w:fldCharType="end"/>
        <w:t>Cellulose ist ein Ballaststoff für den Menschen und spielt eine wichtige Rolle für die Verdauung und das allgemeine Wohlbefinden.</w:t>
      </w:r>
    </w:p>
    <w:p>
      <w:pPr>
        <w:ind w:left="1984"/>
        <w:tabs defTabSz="708">
          <w:tab w:val="left" w:pos="1984" w:leader="none"/>
        </w:tabs>
      </w:pPr>
      <w:r>
        <w:t xml:space="preserve">Eine ballaststoffreiche Ernährung, also viel Gemüse, unterstützt nicht nur eine gesunde Verdauung, sondern kann auch Entzündungen im Körper reduzieren, was bei </w:t>
        <w:fldChar w:fldCharType="begin"/>
        <w:instrText xml:space="preserve">XE "Arthrose" \G </w:instrText>
        <w:fldChar w:fldCharType="end"/>
        <w:t>Arthrose besonders wichtig ist. Aber lassen Sie sich bitte nicht von dem Begriff “Ballast” in die Irre führen. Heute wissen wir, wie wichtig diese Stoffe für unseren Körper sind. Sie werden daher auch “liebevoller” Faserstoffe genannt.</w:t>
      </w:r>
    </w:p>
    <w:p>
      <w:bookmarkStart w:id="4" w:name="_TOC000016"/>
      <w:r/>
      <w:bookmarkStart w:id="5" w:name="_TOC000020"/>
      <w:r/>
      <w:bookmarkStart w:id="6" w:name="_TOC000047"/>
      <w:r/>
      <w:bookmarkEnd w:id="6"/>
      <w:r/>
      <w:bookmarkStart w:id="7" w:name="_TOC000048"/>
      <w:r/>
    </w:p>
    <w:p>
      <w:pPr>
        <w:pStyle w:val="para3"/>
        <w:numPr>
          <w:ilvl w:val="2"/>
          <w:numId w:val="1"/>
        </w:numPr>
        <w:ind w:left="720" w:hanging="720"/>
      </w:pPr>
      <w:r>
        <w:br w:type="page"/>
      </w:r>
      <w:bookmarkStart w:id="8" w:name="_TOC000104"/>
      <w:r>
        <w:t>Zucker</w:t>
      </w:r>
      <w:bookmarkEnd w:id="7"/>
      <w:r/>
      <w:bookmarkEnd w:id="5"/>
      <w:r/>
      <w:bookmarkEnd w:id="4"/>
      <w:r/>
      <w:bookmarkEnd w:id="8"/>
      <w:r/>
    </w:p>
    <w:p>
      <w:r>
        <w:t xml:space="preserve">Normaler </w:t>
        <w:fldChar w:fldCharType="begin"/>
        <w:instrText xml:space="preserve">XE "Haushaltszucker" \G </w:instrText>
        <w:fldChar w:fldCharType="end"/>
        <w:t xml:space="preserve">Haushaltszucker besteht aus einem Teil </w:t>
        <w:fldChar w:fldCharType="begin"/>
        <w:instrText xml:space="preserve">XE "Glukose" \G </w:instrText>
        <w:fldChar w:fldCharType="end"/>
        <w:t xml:space="preserve">Glukose und aus einem Teil Fruktose. Problematisch ist der Gehalt von Fruktose im Zucker. Fruktose oder Fruchtzucker wird im Körper über die Leber verstoffwechselt, während andere Kohlenhydratbausteine wie z.B. </w:t>
        <w:fldChar w:fldCharType="begin"/>
        <w:instrText xml:space="preserve">XE "Glukose" \G </w:instrText>
        <w:fldChar w:fldCharType="end"/>
        <w:t xml:space="preserve">Glukose, </w:t>
        <w:fldChar w:fldCharType="begin"/>
        <w:instrText xml:space="preserve">XE "Maltose" \G </w:instrText>
        <w:fldChar w:fldCharType="end"/>
        <w:t xml:space="preserve">Maltose und </w:t>
        <w:fldChar w:fldCharType="begin"/>
        <w:instrText xml:space="preserve">XE "Laktose" \G </w:instrText>
        <w:fldChar w:fldCharType="end"/>
        <w:t xml:space="preserve">Laktose über Insulin abgebaut werden. </w:t>
      </w:r>
    </w:p>
    <w:p>
      <w:r/>
    </w:p>
    <w:p>
      <w:pPr>
        <w:spacing/>
        <w:jc w:val="left"/>
        <w:tabs defTabSz="708">
          <w:tab w:val="left" w:pos="2608" w:leader="none"/>
        </w:tabs>
        <w:rPr>
          <w:sz w:val="28"/>
          <w:szCs w:val="28"/>
        </w:rPr>
      </w:pPr>
      <w:r>
        <w:rPr>
          <w:sz w:val="28"/>
          <w:szCs w:val="28"/>
        </w:rPr>
        <w:tab/>
        <w:fldChar w:fldCharType="begin"/>
        <w:instrText xml:space="preserve">XE "Haushaltszucker" \G </w:instrText>
        <w:fldChar w:fldCharType="end"/>
        <w:t>Haushaltszucker (</w:t>
        <w:fldChar w:fldCharType="begin"/>
        <w:instrText xml:space="preserve">XE "Saccharose" \G </w:instrText>
        <w:fldChar w:fldCharType="end"/>
        <w:t>Saccharose)</w:t>
      </w:r>
      <w:r>
        <w:rPr>
          <w:sz w:val="28"/>
          <w:szCs w:val="28"/>
        </w:rPr>
      </w:r>
    </w:p>
    <w:p>
      <w:pPr>
        <w:ind w:firstLine="708"/>
        <w:tabs defTabSz="708">
          <w:tab w:val="left" w:pos="2891" w:leader="none"/>
          <w:tab w:val="left" w:pos="5046" w:leader="none"/>
        </w:tabs>
      </w:pPr>
      <w:r>
        <w:tab/>
        <w:fldChar w:fldCharType="begin"/>
        <w:instrText xml:space="preserve">XE "Glukose" \G </w:instrText>
        <w:fldChar w:fldCharType="end"/>
        <w:t>Glukose</w:t>
        <w:tab/>
        <w:t>Fruktose</w:t>
      </w:r>
    </w:p>
    <w:p>
      <w:pPr>
        <w:ind w:firstLine="708"/>
        <w:spacing w:after="0" w:line="240" w:lineRule="auto"/>
        <w:tabs defTabSz="708">
          <w:tab w:val="left" w:pos="3231" w:leader="none"/>
          <w:tab w:val="left" w:pos="5556" w:leader="none"/>
        </w:tabs>
        <w:rPr>
          <w:rFonts w:ascii="Wingbats" w:hAnsi="Wingbats" w:eastAsia="Wingbats" w:cs="Wingbats"/>
          <w:sz w:val="36"/>
          <w:szCs w:val="36"/>
        </w:rPr>
      </w:pPr>
      <w:r>
        <w:tab/>
      </w:r>
      <w:r>
        <w:rPr>
          <w:rFonts w:ascii="Wingbats" w:hAnsi="Wingbats" w:eastAsia="Wingbats" w:cs="Wingbats"/>
          <w:sz w:val="36"/>
          <w:szCs w:val="36"/>
        </w:rPr>
        <w:t></w:t>
      </w:r>
      <w:r>
        <w:rPr>
          <w:rFonts w:ascii="Wingbats" w:hAnsi="Wingbats" w:eastAsia="Wingbats" w:cs="Wingbats"/>
        </w:rPr>
        <w:tab/>
      </w:r>
      <w:r>
        <w:rPr>
          <w:rFonts w:ascii="Wingbats" w:hAnsi="Wingbats" w:eastAsia="Wingbats" w:cs="Wingbats"/>
          <w:sz w:val="36"/>
          <w:szCs w:val="36"/>
        </w:rPr>
        <w:t></w:t>
      </w:r>
      <w:r>
        <w:rPr>
          <w:rFonts w:ascii="Wingbats" w:hAnsi="Wingbats" w:eastAsia="Wingbats" w:cs="Wingbats"/>
          <w:sz w:val="36"/>
          <w:szCs w:val="36"/>
        </w:rPr>
      </w:r>
    </w:p>
    <w:p>
      <w:r>
        <w:rPr>
          <w:noProof/>
        </w:rPr>
        <w:drawing>
          <wp:anchor distT="89535" distB="71755" distL="144145" distR="89535" simplePos="0" relativeHeight="251658279" behindDoc="0" locked="0" layoutInCell="0" hidden="0" allowOverlap="1">
            <wp:simplePos x="0" y="0"/>
            <wp:positionH relativeFrom="page">
              <wp:posOffset>3627755</wp:posOffset>
            </wp:positionH>
            <wp:positionV relativeFrom="page">
              <wp:posOffset>3101975</wp:posOffset>
            </wp:positionV>
            <wp:extent cx="628650" cy="628650"/>
            <wp:effectExtent l="0" t="0" r="0" b="0"/>
            <wp:wrapSquare wrapText="bothSides"/>
            <wp:docPr id="39" name="Grafik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rafik63"/>
                    <pic:cNvPicPr>
                      <a:picLocks noChangeAspect="1"/>
                      <a:codePr string="" type="162857600"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kAQAAAKIAAAAAAAAAAAAAAAAAAAAAAABRFgAAAAAAAAAAAAAVEwAA3gMAAN4DAAAOAAMAURYAABUTAAAoAAAACAAAAAEAAAABAAAAMAAAABQAAAAAAAAAAAD//wAAAQAAAP//AAABAA=="/>
                        </a:ext>
                      </a:extLst>
                    </pic:cNvPicPr>
                  </pic:nvPicPr>
                  <pic:blipFill>
                    <a:blip r:embed="rId32"/>
                    <a:stretch>
                      <a:fillRect/>
                    </a:stretch>
                  </pic:blipFill>
                  <pic:spPr>
                    <a:xfrm>
                      <a:off x="0" y="0"/>
                      <a:ext cx="628650" cy="628650"/>
                    </a:xfrm>
                    <a:prstGeom prst="rect">
                      <a:avLst/>
                    </a:prstGeom>
                    <a:noFill/>
                    <a:ln w="12700">
                      <a:noFill/>
                    </a:ln>
                  </pic:spPr>
                </pic:pic>
              </a:graphicData>
            </a:graphic>
          </wp:anchor>
        </w:drawing>
      </w:r>
      <w:r>
        <w:rPr>
          <w:noProof/>
        </w:rPr>
        <w:drawing>
          <wp:anchor distT="89535" distB="36195" distL="144145" distR="89535" simplePos="0" relativeHeight="251658280" behindDoc="0" locked="0" layoutInCell="0" hidden="0" allowOverlap="1">
            <wp:simplePos x="0" y="0"/>
            <wp:positionH relativeFrom="page">
              <wp:posOffset>4267835</wp:posOffset>
            </wp:positionH>
            <wp:positionV relativeFrom="page">
              <wp:posOffset>3187065</wp:posOffset>
            </wp:positionV>
            <wp:extent cx="628650" cy="628650"/>
            <wp:effectExtent l="0" t="0" r="0" b="0"/>
            <wp:wrapSquare wrapText="bothSides"/>
            <wp:docPr id="40" name="Grafik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Grafik64"/>
                    <pic:cNvPicPr>
                      <a:picLocks noChangeAspect="1"/>
                      <a:codePr string="" type="166459498" text="1"/>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kAQAAAKIAAAAAAAAAAAAAAAAAAAAAAABBGgAAAAAAAAAAAACbEwAA3gMAAN4DAAAOAAMAQRoAAJsTAAAoAAAACAAAAAEAAAABAAAAMAAAABQAAAAAAAAAAAD//wAAAQAAAP//AAABAA=="/>
                        </a:ext>
                      </a:extLst>
                    </pic:cNvPicPr>
                  </pic:nvPicPr>
                  <pic:blipFill>
                    <a:blip r:embed="rId33"/>
                    <a:stretch>
                      <a:fillRect/>
                    </a:stretch>
                  </pic:blipFill>
                  <pic:spPr>
                    <a:xfrm>
                      <a:off x="0" y="0"/>
                      <a:ext cx="628650" cy="628650"/>
                    </a:xfrm>
                    <a:prstGeom prst="rect">
                      <a:avLst/>
                    </a:prstGeom>
                    <a:noFill/>
                    <a:ln w="12700">
                      <a:noFill/>
                    </a:ln>
                  </pic:spPr>
                </pic:pic>
              </a:graphicData>
            </a:graphic>
          </wp:anchor>
        </w:drawing>
      </w:r>
      <w:r/>
    </w:p>
    <w:p>
      <w:r/>
    </w:p>
    <w:p>
      <w:pPr>
        <w:spacing w:after="220"/>
      </w:pPr>
      <w:r/>
    </w:p>
    <w:p>
      <w:pPr>
        <w:spacing w:after="0" w:line="240" w:lineRule="auto"/>
        <w:tabs defTabSz="708">
          <w:tab w:val="left" w:pos="3515" w:leader="none"/>
          <w:tab w:val="left" w:pos="5386" w:leader="none"/>
        </w:tabs>
        <w:rPr>
          <w:rFonts w:ascii="Wingbats" w:hAnsi="Wingbats" w:eastAsia="Wingbats" w:cs="Wingbats"/>
          <w:sz w:val="36"/>
          <w:szCs w:val="36"/>
        </w:rPr>
      </w:pPr>
      <w:r>
        <w:t xml:space="preserve"> </w:t>
        <w:tab/>
      </w:r>
      <w:r>
        <w:rPr>
          <w:rFonts w:ascii="Wingbats" w:hAnsi="Wingbats" w:eastAsia="Wingbats" w:cs="Wingbats"/>
          <w:sz w:val="36"/>
          <w:szCs w:val="36"/>
        </w:rPr>
        <w:t></w:t>
        <w:tab/>
        <w:t></w:t>
      </w:r>
      <w:r>
        <w:rPr>
          <w:rFonts w:ascii="Wingbats" w:hAnsi="Wingbats" w:eastAsia="Wingbats" w:cs="Wingbats"/>
          <w:sz w:val="36"/>
          <w:szCs w:val="36"/>
        </w:rPr>
      </w:r>
    </w:p>
    <w:p>
      <w:r>
        <w:rPr>
          <w:noProof/>
        </w:rPr>
        <mc:AlternateContent>
          <mc:Choice Requires="wps">
            <w:drawing>
              <wp:anchor distT="0" distB="0" distL="0" distR="0" simplePos="0" relativeHeight="251658303" behindDoc="0" locked="0" layoutInCell="0" hidden="0" allowOverlap="1">
                <wp:simplePos x="0" y="0"/>
                <wp:positionH relativeFrom="page">
                  <wp:posOffset>2601595</wp:posOffset>
                </wp:positionH>
                <wp:positionV relativeFrom="page">
                  <wp:posOffset>4131310</wp:posOffset>
                </wp:positionV>
                <wp:extent cx="1154430" cy="541655"/>
                <wp:effectExtent l="3175" t="3175" r="3175" b="3175"/>
                <wp:wrapSquare wrapText="bothSides"/>
                <wp:docPr id="63" name="Textbox1"/>
                <wp:cNvGraphicFramePr/>
                <a:graphic xmlns:a="http://schemas.openxmlformats.org/drawingml/2006/main">
                  <a:graphicData uri="http://schemas.microsoft.com/office/word/2010/wordprocessingShape">
                    <wps:wsp>
                      <wps:cNvSpPr txBox="1">
                        <a:codePr string="" type="165806079" text="1"/>
                        <a:extLst>
                          <a:ext uri="sm">
                            <sm:smNativeData xmlns:sm="sm" val="SMDATA_15_E0dOa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AAAAAAF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FUDAAB8LgAAyE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CgBAAAAogAAAAAAAAAAAAABAAAAAAAAAAEQAAABAAAAAAAAAGoZAAAaBwAAVQMAAA4AAwABEAAAahkAACgAAAAIAAAAAQAAAAIAAAAwAAAAFAAAAAAAAAAAAP//AAABAAAA//8AAAEA"/>
                          </a:ext>
                        </a:extLst>
                      </wps:cNvSpPr>
                      <wps:spPr>
                        <a:xfrm>
                          <a:off x="0" y="0"/>
                          <a:ext cx="1154430" cy="541655"/>
                        </a:xfrm>
                        <a:prstGeom prst="rect">
                          <a:avLst/>
                        </a:prstGeom>
                        <a:noFill/>
                        <a:ln w="3175">
                          <a:solidFill>
                            <a:srgbClr val="000000"/>
                          </a:solidFill>
                        </a:ln>
                      </wps:spPr>
                      <wps:txbx>
                        <w:txbxContent>
                          <w:p>
                            <w:r>
                              <w:t>Wird über Insulin abgebaut.</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argin-left:204.85pt;margin-top:325.30pt;mso-position-horizontal-relative:page;mso-position-vertical-relative:page;width:90.90pt;height:42.65pt;z-index:251658303;mso-wrap-distance-left:0.00pt;mso-wrap-distance-top:0.00pt;mso-wrap-distance-right:0.00pt;mso-wrap-distance-bottom:0.00pt;mso-wrap-style:square" strokeweight="0.25pt" filled="f" v:ext="SMDATA_15_E0dOa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AAAAAAF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FUDAAB8LgAAyE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CgBAAAAogAAAAAAAAAAAAABAAAAAAAAAAEQAAABAAAAAAAAAGoZAAAaBwAAVQMAAA4AAwABEAAAahkAACgAAAAIAAAAAQAAAAIAAAAwAAAAFAAAAAAAAAAAAP//AAABAAAA//8AAAEA" o:insetmode="custom">
                <w10:wrap type="square" anchorx="page" anchory="page"/>
                <v:textbox style="mso-fit-shape-to-text:t" inset="2.8pt,2.8pt,2.8pt,2.8pt">
                  <w:txbxContent>
                    <w:p>
                      <w:r>
                        <w:t>Wird über Insulin abgebaut.</w:t>
                      </w:r>
                    </w:p>
                  </w:txbxContent>
                </v:textbox>
              </v:shape>
            </w:pict>
          </mc:Fallback>
        </mc:AlternateContent>
      </w:r>
      <w:r>
        <w:rPr>
          <w:noProof/>
        </w:rPr>
        <mc:AlternateContent>
          <mc:Choice Requires="wps">
            <w:drawing>
              <wp:anchor distT="0" distB="0" distL="0" distR="0" simplePos="0" relativeHeight="251658304" behindDoc="0" locked="0" layoutInCell="0" hidden="0" allowOverlap="1">
                <wp:simplePos x="0" y="0"/>
                <wp:positionH relativeFrom="page">
                  <wp:posOffset>4832985</wp:posOffset>
                </wp:positionH>
                <wp:positionV relativeFrom="page">
                  <wp:posOffset>4131310</wp:posOffset>
                </wp:positionV>
                <wp:extent cx="1344295" cy="541655"/>
                <wp:effectExtent l="3175" t="3175" r="3175" b="3175"/>
                <wp:wrapSquare wrapText="bothSides"/>
                <wp:docPr id="64" name="Textbox2"/>
                <wp:cNvGraphicFramePr/>
                <a:graphic xmlns:a="http://schemas.openxmlformats.org/drawingml/2006/main">
                  <a:graphicData uri="http://schemas.microsoft.com/office/word/2010/wordprocessingShape">
                    <wps:wsp>
                      <wps:cNvSpPr txBox="1">
                        <a:codePr string="" type="162922495" text="1"/>
                        <a:extLst>
                          <a:ext uri="sm">
                            <sm:smNativeData xmlns:sm="sm" val="SMDATA_15_E0dOa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AAAAAAF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FUDAAB8LgAAyE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CgBAAAAogAAAAAAAAAAAAABAAAAAAAAALsdAAABAAAAAAAAAGoZAABFCAAAVQMAAA4AAwC7HQAAahkAACgAAAAIAAAAAQAAAAIAAAAwAAAAFAAAAAAAAAAAAP//AAABAAAA//8AAAEA"/>
                          </a:ext>
                        </a:extLst>
                      </wps:cNvSpPr>
                      <wps:spPr>
                        <a:xfrm>
                          <a:off x="0" y="0"/>
                          <a:ext cx="1344295" cy="541655"/>
                        </a:xfrm>
                        <a:prstGeom prst="rect">
                          <a:avLst/>
                        </a:prstGeom>
                        <a:noFill/>
                        <a:ln w="3175">
                          <a:solidFill>
                            <a:srgbClr val="000000"/>
                          </a:solidFill>
                        </a:ln>
                      </wps:spPr>
                      <wps:txbx>
                        <w:txbxContent>
                          <w:p>
                            <w:r>
                              <w:t>Wird über die Leber verstoffwechselt.</w:t>
                            </w:r>
                          </w:p>
                        </w:txbxContent>
                      </wps:txbx>
                      <wps:bodyPr spcFirstLastPara="1" vertOverflow="clip" horzOverflow="clip" upright="1">
                        <a:prstTxWarp prst="textNoShape">
                          <a:avLst/>
                        </a:prstTxWarp>
                        <a:spAutoFit/>
                      </wps:bodyPr>
                    </wps:wsp>
                  </a:graphicData>
                </a:graphic>
              </wp:anchor>
            </w:drawing>
          </mc:Choice>
          <mc:Fallback>
            <w:pict>
              <v:shape id="Textbox2" o:spid="_x0000_s1027" type="#_x0000_t202" style="position:absolute;margin-left:380.55pt;margin-top:325.30pt;mso-position-horizontal-relative:page;mso-position-vertical-relative:page;width:105.85pt;height:42.65pt;z-index:251658304;mso-wrap-distance-left:0.00pt;mso-wrap-distance-top:0.00pt;mso-wrap-distance-right:0.00pt;mso-wrap-distance-bottom:0.00pt;mso-wrap-style:square" strokeweight="0.25pt" filled="f" v:ext="SMDATA_15_E0dOa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AAAAAAF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FUDAAB8LgAAyE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CgBAAAAogAAAAAAAAAAAAABAAAAAAAAALsdAAABAAAAAAAAAGoZAABFCAAAVQMAAA4AAwC7HQAAahkAACgAAAAIAAAAAQAAAAIAAAAwAAAAFAAAAAAAAAAAAP//AAABAAAA//8AAAEA" o:insetmode="custom">
                <w10:wrap type="square" anchorx="page" anchory="page"/>
                <v:textbox style="mso-fit-shape-to-text:t" inset="2.8pt,2.8pt,2.8pt,2.8pt">
                  <w:txbxContent>
                    <w:p>
                      <w:r>
                        <w:t>Wird über die Leber verstoffwechselt.</w:t>
                      </w:r>
                    </w:p>
                  </w:txbxContent>
                </v:textbox>
              </v:shape>
            </w:pict>
          </mc:Fallback>
        </mc:AlternateContent>
      </w:r>
      <w:r/>
    </w:p>
    <w:p>
      <w:r/>
    </w:p>
    <w:p>
      <w:r/>
    </w:p>
    <w:p>
      <w:r>
        <w:t xml:space="preserve">Ein hoher Fruktosekonsum kann im Körper zu ähnlichen Problemen führen wie ein hoher Alkoholkonsum, denn auch Alkohol wird hauptsächlich in der Leber verstoffwechselt. Da die Leber im Körper für die Entgiftung zuständig ist, hat eine durch hohen Konsum an </w:t>
        <w:fldChar w:fldCharType="begin"/>
        <w:instrText xml:space="preserve">XE "Haushaltszucker" \G </w:instrText>
        <w:fldChar w:fldCharType="end"/>
        <w:t xml:space="preserve">Haushaltszucker oder Fruchtzucker stark beanspruchte Leber weniger Zeit zum Entgiften, es kommt zu Krankheiten. </w:t>
      </w:r>
    </w:p>
    <w:p>
      <w:r>
        <w:t xml:space="preserve">Zuckerprodukte machen nicht satt. Fruktose ist nicht in der Lage, das Hormon Leptin zu aktivieren. Leptin ist allerdings wichtig, um deinem Körper zu signalisieren, dass du satt bist. Das bedeutet, dass du nach dem Konsum von </w:t>
        <w:fldChar w:fldCharType="begin"/>
        <w:instrText xml:space="preserve">XE "Haushaltszucker" \G </w:instrText>
        <w:fldChar w:fldCharType="end"/>
        <w:t>Haushaltszucker oder Fruchtzucker schnell wieder Hunger hast und dann mehr isst.</w:t>
      </w:r>
    </w:p>
    <w:p>
      <w:pPr>
        <w:pStyle w:val="para3"/>
        <w:numPr>
          <w:ilvl w:val="2"/>
          <w:numId w:val="1"/>
        </w:numPr>
        <w:ind w:left="720" w:hanging="720"/>
      </w:pPr>
      <w:bookmarkStart w:id="9" w:name="_TOC000041"/>
      <w:r>
        <w:fldChar w:fldCharType="begin"/>
        <w:instrText xml:space="preserve">XE "Kohlenhydrate" \G </w:instrText>
        <w:fldChar w:fldCharType="end"/>
        <w:t>Kohlenhydrate bringen Energie</w:t>
      </w:r>
      <w:bookmarkEnd w:id="9"/>
      <w:r/>
    </w:p>
    <w:p>
      <w:pPr>
        <w:rPr>
          <w:rFonts w:eastAsia="Tahoma" w:cs="Tahoma"/>
          <w:color w:val="000000"/>
          <w:kern w:val="1"/>
        </w:rPr>
      </w:pPr>
      <w:r>
        <w:t xml:space="preserve">Lebensmittel mit viel Zucker oder auch Weißmehlprodukte enthalten viele </w:t>
        <w:fldChar w:fldCharType="begin"/>
        <w:instrText xml:space="preserve">XE "Kohlenhydrate" \G </w:instrText>
        <w:fldChar w:fldCharType="end"/>
        <w:t xml:space="preserve">Kohlenhydrate und wenig natürliche Begleitstoffe. </w:t>
      </w:r>
      <w:r>
        <w:rPr>
          <w:rFonts w:eastAsia="Tahoma" w:cs="Tahoma"/>
          <w:color w:val="000000"/>
          <w:kern w:val="1"/>
        </w:rPr>
        <w:t xml:space="preserve">All diese </w:t>
        <w:fldChar w:fldCharType="begin"/>
        <w:instrText xml:space="preserve">XE "Kohlenhydrate" \G </w:instrText>
        <w:fldChar w:fldCharType="end"/>
        <w:t xml:space="preserve">Kohlenhydrate liefern einen schnellen Energieschub in Form von </w:t>
        <w:fldChar w:fldCharType="begin"/>
        <w:instrText xml:space="preserve">XE "Glukose" \G </w:instrText>
        <w:fldChar w:fldCharType="end"/>
        <w:t xml:space="preserve">Glukose (Blutzucker), den die Muskeln überhaupt nicht verwerten können - es sei denn, man schuftet im Steinbruch oder trainiert für einen Triathlon. Bei allen anderen lagert der Körper die </w:t>
        <w:fldChar w:fldCharType="begin"/>
        <w:instrText xml:space="preserve">XE "Glukose" \G </w:instrText>
        <w:fldChar w:fldCharType="end"/>
        <w:t xml:space="preserve">Glukose letztlich als </w:t>
        <w:fldChar w:fldCharType="begin"/>
        <w:instrText xml:space="preserve">XE "Fett" \G </w:instrText>
        <w:fldChar w:fldCharType="end"/>
        <w:t>Fett in den Fettzellen ein.</w:t>
      </w:r>
      <w:r>
        <w:rPr>
          <w:rFonts w:eastAsia="Tahoma" w:cs="Tahoma"/>
          <w:color w:val="000000"/>
          <w:kern w:val="1"/>
        </w:rPr>
      </w:r>
    </w:p>
    <w:p>
      <w:pPr>
        <w:rPr>
          <w:rFonts w:eastAsia="Tahoma" w:cs="Tahoma"/>
          <w:color w:val="000000"/>
          <w:kern w:val="1"/>
        </w:rPr>
      </w:pPr>
      <w:r>
        <w:rPr>
          <w:rFonts w:eastAsia="Tahoma" w:cs="Tahoma"/>
          <w:color w:val="000000"/>
          <w:kern w:val="1"/>
        </w:rPr>
        <w:t xml:space="preserve">Bei der Verstoffwechslung von Weißmehlprodukten und Zucker steigt der Blutzuckerspiegel rasch an. Dies regt die Bauchspeicheldrüse an, mehr Insulin auszuschütten, um die Zuckerenergie in die Vorratsschränke Leber und Muskeln zu schaffen. Hat das Insulin die Glukosemoleküle verstaut, saust der Blutzuckerspiegel wieder in die Tiefe, sogar auf unter normal. Diese Achterbahnfahrt des Blutzuckerspiegels weckt Heißhunger, der Körper verlangt nach neuen Kohlenhydraten - obwohl die Alten nicht verbraucht, sondern nur eingelagert wurden. </w:t>
      </w:r>
      <w:r>
        <w:rPr>
          <w:rFonts w:eastAsia="Tahoma" w:cs="Tahoma"/>
          <w:color w:val="000000"/>
          <w:kern w:val="1"/>
        </w:rPr>
      </w:r>
    </w:p>
    <w:p>
      <w:pPr>
        <w:spacing/>
        <w:jc w:val="center"/>
        <w:rPr>
          <w:rFonts w:eastAsia="Tahoma" w:cs="Tahoma"/>
          <w:color w:val="000000"/>
          <w:kern w:val="1"/>
        </w:rPr>
      </w:pPr>
      <w:r/>
      <w:r>
        <w:rPr>
          <w:noProof/>
        </w:rPr>
        <w:drawing>
          <wp:inline distT="89535" distB="89535" distL="89535" distR="89535">
            <wp:extent cx="4876800" cy="3657600"/>
            <wp:effectExtent l="0" t="0" r="0" b="0"/>
            <wp:docPr id="4" name="Grafik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40"/>
                    <pic:cNvPicPr>
                      <a:picLocks noChangeAspect="1"/>
                      <a:codePr string="" type="0" text="0"/>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IAlAAAgHAAAgCUAACAc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wAQAAB6IAAAAAAAAAAAAAAQAAAAAAAAAPAwAAAQAAAAAAAACJBQAAAB4AAIAWAAANAAIADwMAAIkFAAAoAAAACAAAAAEAAAABAAAAMAAAABQAAAAAAAAAAAD//wAAAQAAAP//AAABAA=="/>
                        </a:ext>
                      </a:extLst>
                    </pic:cNvPicPr>
                  </pic:nvPicPr>
                  <pic:blipFill>
                    <a:blip r:embed="rId35"/>
                    <a:stretch>
                      <a:fillRect/>
                    </a:stretch>
                  </pic:blipFill>
                  <pic:spPr>
                    <a:xfrm>
                      <a:off x="0" y="0"/>
                      <a:ext cx="4876800" cy="3657600"/>
                    </a:xfrm>
                    <a:prstGeom prst="rect">
                      <a:avLst/>
                    </a:prstGeom>
                    <a:noFill/>
                    <a:ln w="12700">
                      <a:noFill/>
                    </a:ln>
                  </pic:spPr>
                </pic:pic>
              </a:graphicData>
            </a:graphic>
          </wp:inline>
        </w:drawing>
      </w:r>
      <w:r/>
      <w:r>
        <w:rPr>
          <w:rFonts w:eastAsia="Tahoma" w:cs="Tahoma"/>
          <w:color w:val="000000"/>
          <w:kern w:val="1"/>
        </w:rPr>
      </w:r>
    </w:p>
    <w:p>
      <w:pPr>
        <w:ind w:left="283" w:right="222"/>
      </w:pPr>
      <w:r>
        <w:t>Schwankungen des Blutzuckers (rot) und des den Blutzucker kontrollierenden Hormons Insulin (blau) beim gesunden Menschen über den Tagesverlauf mit drei Mahlzeiten. Ebenfalls aufgezeigt ist der Einfluss einer zuckerhaltigen (gestrichelt) gegenüber einer stärkehaltigen (durchgezogene Linie) Mahlzeit.</w:t>
      </w:r>
    </w:p>
    <w:p>
      <w:r>
        <w:t xml:space="preserve">Quelle: </w:t>
      </w:r>
      <w:hyperlink r:id="rId36" w:history="1">
        <w:r>
          <w:rPr>
            <w:rStyle w:val="char20"/>
          </w:rPr>
          <w:t>https://commons.wikimedia.org/w/index.php?curid=13371861</w:t>
        </w:r>
      </w:hyperlink>
      <w:r>
        <w:t>, Autoren: Jakob Suckale, Michele Solimena</w:t>
      </w:r>
    </w:p>
    <w:p>
      <w:pPr>
        <w:spacing/>
        <w:jc w:val="center"/>
      </w:pPr>
      <w:r>
        <w:rPr>
          <w:noProof/>
        </w:rPr>
        <w:drawing>
          <wp:inline distT="0" distB="0" distL="0" distR="0">
            <wp:extent cx="4734560" cy="3794760"/>
            <wp:effectExtent l="0" t="0" r="0" b="0"/>
            <wp:docPr id="5"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1"/>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zAQAAB6IAAAAAAAAAAAAAAQAAAAAAAAAAAAAAAQAAAAAAAAAAAAAAIB0AAFgXAAAAAAAAAAAAAAAAAAAoAAAACAAAAAEAAAABAAAAMAAAABQAAAAAAAAAAAD//wAAAQAAAP//AAABAA=="/>
                        </a:ext>
                      </a:extLst>
                    </pic:cNvPicPr>
                  </pic:nvPicPr>
                  <pic:blipFill>
                    <a:blip r:embed="rId37"/>
                    <a:stretch>
                      <a:fillRect/>
                    </a:stretch>
                  </pic:blipFill>
                  <pic:spPr>
                    <a:xfrm>
                      <a:off x="0" y="0"/>
                      <a:ext cx="4734560" cy="3794760"/>
                    </a:xfrm>
                    <a:prstGeom prst="rect">
                      <a:avLst/>
                    </a:prstGeom>
                    <a:noFill/>
                    <a:ln w="12700">
                      <a:noFill/>
                    </a:ln>
                  </pic:spPr>
                </pic:pic>
              </a:graphicData>
            </a:graphic>
          </wp:inline>
        </w:drawing>
      </w:r>
      <w:r/>
    </w:p>
    <w:p>
      <w:pPr>
        <w:spacing/>
        <w:jc w:val="center"/>
      </w:pPr>
      <w:r>
        <w:t>Quelle: Herbert Steffny, Dr. Wolfgang Feil: Die Lauf-Diät, Seite 24</w:t>
      </w:r>
    </w:p>
    <w:p>
      <w:pPr>
        <w:pStyle w:val="para3"/>
        <w:numPr>
          <w:ilvl w:val="2"/>
          <w:numId w:val="1"/>
        </w:numPr>
        <w:ind w:left="720" w:hanging="720"/>
      </w:pPr>
      <w:r>
        <w:br w:type="page"/>
      </w:r>
      <w:bookmarkStart w:id="10" w:name="_TOC000049"/>
      <w:r>
        <w:t xml:space="preserve">Resistente </w:t>
        <w:fldChar w:fldCharType="begin"/>
        <w:instrText xml:space="preserve">XE "Stärke" \G </w:instrText>
        <w:fldChar w:fldCharType="end"/>
        <w:t>Stärke</w:t>
      </w:r>
      <w:bookmarkEnd w:id="10"/>
      <w:r/>
    </w:p>
    <w:p>
      <w:r>
        <w:t xml:space="preserve">Resistente </w:t>
        <w:fldChar w:fldCharType="begin"/>
        <w:instrText xml:space="preserve">XE "Stärke" \G </w:instrText>
        <w:fldChar w:fldCharType="end"/>
        <w:t>Stärke ist ein Ballaststoff, der entsteht, wenn gekochte, stärkehaltige Lebensmittel wie Kartoffeln, Nudeln oder Reis abkühlen.</w:t>
      </w:r>
    </w:p>
    <w:p>
      <w:r>
        <w:t xml:space="preserve">Resistente </w:t>
        <w:fldChar w:fldCharType="begin"/>
        <w:instrText xml:space="preserve">XE "Stärke" \G </w:instrText>
        <w:fldChar w:fldCharType="end"/>
        <w:t xml:space="preserve">Stärke ist im Dünndarm unverdaulich. Im Dickdarm dient sie nützlichen Bakterien als Nahrung und fördert so eine gesunde Darmflora, indem kurzkettige </w:t>
        <w:fldChar w:fldCharType="begin"/>
        <w:instrText xml:space="preserve">XE "Fettsäuren" \G </w:instrText>
        <w:fldChar w:fldCharType="end"/>
        <w:t>Fettsäuren wie Butyrat produziert werden, die positive Auswirkungen auf die Darmschleimhaut und den Blutzuckerspiegel haben.</w:t>
      </w:r>
    </w:p>
    <w:p>
      <w:pPr>
        <w:spacing w:before="200"/>
        <w:rPr>
          <w:b/>
          <w:bCs/>
        </w:rPr>
      </w:pPr>
      <w:r>
        <w:rPr>
          <w:b/>
          <w:bCs/>
        </w:rPr>
        <w:t xml:space="preserve">Lebensmittel, die resistente </w:t>
        <w:fldChar w:fldCharType="begin"/>
        <w:instrText xml:space="preserve">XE "Stärke" \G </w:instrText>
        <w:fldChar w:fldCharType="end"/>
        <w:t xml:space="preserve">Stärke enthalten: </w:t>
      </w:r>
      <w:r>
        <w:rPr>
          <w:b/>
          <w:bCs/>
        </w:rPr>
      </w:r>
    </w:p>
    <w:tbl>
      <w:tblPr>
        <w:tblStyle w:val="TableGrid"/>
        <w:name w:val="Tabelle60"/>
        <w:tabOrder w:val="0"/>
        <w:jc w:val="left"/>
        <w:tblInd w:w="1134" w:type="dxa"/>
        <w:tblW w:w="6998" w:type="dxa"/>
        <w:pPr>
          <w:ind w:left="1134"/>
          <w:spacing/>
          <w:jc w:val="left"/>
        </w:pPr>
        <w:tblLook w:val="04A0" w:firstRow="1" w:lastRow="0" w:firstColumn="1" w:lastColumn="0" w:noHBand="0" w:noVBand="1"/>
      </w:tblPr>
      <w:tblGrid>
        <w:gridCol w:w="2641"/>
        <w:gridCol w:w="4357"/>
      </w:tblGrid>
      <w:tr>
        <w:trPr>
          <w:tblHeader w:val="0"/>
          <w:cantSplit w:val="0"/>
          <w:trHeight w:val="0" w:hRule="auto"/>
        </w:trPr>
        <w:tc>
          <w:tcPr>
            <w:tcW w:w="2641" w:type="dxa"/>
            <w:tcMar>
              <w:top w:w="57" w:type="dxa"/>
              <w:left w:w="57" w:type="dxa"/>
              <w:bottom w:w="57" w:type="dxa"/>
              <w:right w:w="57" w:type="dxa"/>
            </w:tcMar>
            <w:tmTcPr id="1766737683" protected="0"/>
          </w:tcPr>
          <w:p>
            <w:pPr/>
            <w:r>
              <w:t>Stärkehaltiges Gemüse</w:t>
            </w:r>
          </w:p>
        </w:tc>
        <w:tc>
          <w:tcPr>
            <w:tcW w:w="4357" w:type="dxa"/>
            <w:tcMar>
              <w:top w:w="57" w:type="dxa"/>
              <w:left w:w="57" w:type="dxa"/>
              <w:bottom w:w="57" w:type="dxa"/>
              <w:right w:w="57" w:type="dxa"/>
            </w:tcMar>
            <w:tmTcPr id="1766737683" protected="0"/>
          </w:tcPr>
          <w:p>
            <w:pPr/>
            <w:r>
              <w:t>Kartoffeln, Karotten.</w:t>
            </w:r>
          </w:p>
        </w:tc>
      </w:tr>
      <w:tr>
        <w:trPr>
          <w:tblHeader w:val="0"/>
          <w:cantSplit w:val="0"/>
          <w:trHeight w:val="0" w:hRule="auto"/>
        </w:trPr>
        <w:tc>
          <w:tcPr>
            <w:tcW w:w="2641" w:type="dxa"/>
            <w:tcMar>
              <w:top w:w="57" w:type="dxa"/>
              <w:left w:w="57" w:type="dxa"/>
              <w:bottom w:w="57" w:type="dxa"/>
              <w:right w:w="57" w:type="dxa"/>
            </w:tcMar>
            <w:tmTcPr id="1766737683" protected="0"/>
          </w:tcPr>
          <w:p>
            <w:pPr/>
            <w:r>
              <w:t>Getreide</w:t>
            </w:r>
          </w:p>
        </w:tc>
        <w:tc>
          <w:tcPr>
            <w:tcW w:w="4357" w:type="dxa"/>
            <w:tcMar>
              <w:top w:w="57" w:type="dxa"/>
              <w:left w:w="57" w:type="dxa"/>
              <w:bottom w:w="57" w:type="dxa"/>
              <w:right w:w="57" w:type="dxa"/>
            </w:tcMar>
            <w:tmTcPr id="1766737683" protected="0"/>
          </w:tcPr>
          <w:p>
            <w:pPr/>
            <w:r>
              <w:t>Vollkornbrot, Haferflocken, Hirse, Nudeln.</w:t>
            </w:r>
          </w:p>
        </w:tc>
      </w:tr>
      <w:tr>
        <w:trPr>
          <w:tblHeader w:val="0"/>
          <w:cantSplit w:val="0"/>
          <w:trHeight w:val="0" w:hRule="auto"/>
        </w:trPr>
        <w:tc>
          <w:tcPr>
            <w:tcW w:w="2641" w:type="dxa"/>
            <w:tcMar>
              <w:top w:w="57" w:type="dxa"/>
              <w:left w:w="57" w:type="dxa"/>
              <w:bottom w:w="57" w:type="dxa"/>
              <w:right w:w="57" w:type="dxa"/>
            </w:tcMar>
            <w:tmTcPr id="1766737683" protected="0"/>
          </w:tcPr>
          <w:p>
            <w:pPr/>
            <w:r>
              <w:t>Hülsenfrüchte</w:t>
            </w:r>
          </w:p>
        </w:tc>
        <w:tc>
          <w:tcPr>
            <w:tcW w:w="4357" w:type="dxa"/>
            <w:tcMar>
              <w:top w:w="57" w:type="dxa"/>
              <w:left w:w="57" w:type="dxa"/>
              <w:bottom w:w="57" w:type="dxa"/>
              <w:right w:w="57" w:type="dxa"/>
            </w:tcMar>
            <w:tmTcPr id="1766737683" protected="0"/>
          </w:tcPr>
          <w:p>
            <w:pPr/>
            <w:r>
              <w:t>Linsen, Kichererbsen.</w:t>
            </w:r>
          </w:p>
        </w:tc>
      </w:tr>
      <w:tr>
        <w:trPr>
          <w:tblHeader w:val="0"/>
          <w:cantSplit w:val="0"/>
          <w:trHeight w:val="0" w:hRule="auto"/>
        </w:trPr>
        <w:tc>
          <w:tcPr>
            <w:tcW w:w="2641" w:type="dxa"/>
            <w:tcMar>
              <w:top w:w="57" w:type="dxa"/>
              <w:left w:w="57" w:type="dxa"/>
              <w:bottom w:w="57" w:type="dxa"/>
              <w:right w:w="57" w:type="dxa"/>
            </w:tcMar>
            <w:tmTcPr id="1766737683" protected="0"/>
          </w:tcPr>
          <w:p>
            <w:pPr/>
            <w:r>
              <w:t>Obst</w:t>
            </w:r>
          </w:p>
        </w:tc>
        <w:tc>
          <w:tcPr>
            <w:tcW w:w="4357" w:type="dxa"/>
            <w:tcMar>
              <w:top w:w="57" w:type="dxa"/>
              <w:left w:w="57" w:type="dxa"/>
              <w:bottom w:w="57" w:type="dxa"/>
              <w:right w:w="57" w:type="dxa"/>
            </w:tcMar>
            <w:tmTcPr id="1766737683" protected="0"/>
          </w:tcPr>
          <w:p>
            <w:pPr/>
            <w:r>
              <w:t>unreife Bananen.</w:t>
            </w:r>
          </w:p>
        </w:tc>
      </w:tr>
    </w:tbl>
    <w:p>
      <w:r/>
    </w:p>
    <w:p>
      <w:pPr>
        <w:rPr>
          <w:b/>
          <w:bCs/>
        </w:rPr>
      </w:pPr>
      <w:r>
        <w:rPr>
          <w:b/>
          <w:bCs/>
        </w:rPr>
        <w:t xml:space="preserve">Beispiele für den Anteil resistenter </w:t>
        <w:fldChar w:fldCharType="begin"/>
        <w:instrText xml:space="preserve">XE "Stärke" \G </w:instrText>
        <w:fldChar w:fldCharType="end"/>
        <w:t>Stärke</w:t>
      </w:r>
      <w:r>
        <w:rPr>
          <w:b/>
          <w:bCs/>
        </w:rPr>
      </w:r>
    </w:p>
    <w:p>
      <w:pPr>
        <w:pStyle w:val="para28"/>
        <w:numPr>
          <w:ilvl w:val="1"/>
          <w:numId w:val="2"/>
        </w:numPr>
        <w:ind w:left="1077" w:hanging="197"/>
      </w:pPr>
      <w:r>
        <w:t>Gekochte und gekühlte Kartoffeln: ca. 4 %</w:t>
      </w:r>
    </w:p>
    <w:p>
      <w:pPr>
        <w:pStyle w:val="para28"/>
        <w:numPr>
          <w:ilvl w:val="1"/>
          <w:numId w:val="2"/>
        </w:numPr>
        <w:ind w:left="1077" w:hanging="197"/>
      </w:pPr>
      <w:r>
        <w:t>Gekochter und gekühlter polierter Reis: ca. 3,1 %</w:t>
      </w:r>
    </w:p>
    <w:p>
      <w:pPr>
        <w:pStyle w:val="para28"/>
        <w:numPr>
          <w:ilvl w:val="1"/>
          <w:numId w:val="2"/>
        </w:numPr>
        <w:ind w:left="1077" w:hanging="197"/>
      </w:pPr>
      <w:r>
        <w:t>Gekochte Vollkornnudeln (gekühlte): ca. \2%</w:t>
      </w:r>
    </w:p>
    <w:p>
      <w:pPr>
        <w:pStyle w:val="para28"/>
        <w:numPr>
          <w:ilvl w:val="1"/>
          <w:numId w:val="2"/>
        </w:numPr>
        <w:ind w:left="1077" w:hanging="197"/>
      </w:pPr>
      <w:r>
        <w:t>Vollkornbrot: ca. 1,8 %</w:t>
      </w:r>
    </w:p>
    <w:p>
      <w:pPr>
        <w:pStyle w:val="para28"/>
        <w:numPr>
          <w:ilvl w:val="1"/>
          <w:numId w:val="2"/>
        </w:numPr>
        <w:ind w:left="1077" w:hanging="197"/>
      </w:pPr>
      <w:r>
        <w:t>Hülsenfrüchte (gegart): ca. 1 %</w:t>
      </w:r>
    </w:p>
    <w:p>
      <w:pPr>
        <w:pStyle w:val="para28"/>
        <w:numPr>
          <w:ilvl w:val="1"/>
          <w:numId w:val="2"/>
        </w:numPr>
        <w:ind w:left="1077" w:hanging="197"/>
      </w:pPr>
      <w:r>
        <w:t>Unreife Bananen: ca. 4,7 %</w:t>
      </w:r>
    </w:p>
    <w:p>
      <w:pPr>
        <w:pStyle w:val="para28"/>
        <w:numPr>
          <w:ilvl w:val="1"/>
          <w:numId w:val="2"/>
        </w:numPr>
        <w:ind w:left="1077" w:hanging="197"/>
      </w:pPr>
      <w:r>
        <w:t>Vollkornhaferflocken: ca. 4,6 % (pro halber Tasse)</w:t>
      </w:r>
    </w:p>
    <w:p>
      <w:pPr>
        <w:pStyle w:val="para28"/>
        <w:numPr>
          <w:ilvl w:val="1"/>
          <w:numId w:val="2"/>
        </w:numPr>
        <w:ind w:left="1077" w:hanging="197"/>
      </w:pPr>
      <w:r>
        <w:t>Karotten: ca. 1,6 %</w:t>
      </w:r>
    </w:p>
    <w:p>
      <w:r>
        <w:t xml:space="preserve">So entsteht resistente </w:t>
        <w:fldChar w:fldCharType="begin"/>
        <w:instrText xml:space="preserve">XE "Stärke" \G </w:instrText>
        <w:fldChar w:fldCharType="end"/>
        <w:t>Stärke:</w:t>
      </w:r>
    </w:p>
    <w:p>
      <w:pPr>
        <w:numPr>
          <w:ilvl w:val="0"/>
          <w:numId w:val="32"/>
        </w:numPr>
        <w:ind w:left="360" w:hanging="360"/>
      </w:pPr>
      <w:r>
        <w:rPr>
          <w:b/>
          <w:bCs/>
        </w:rPr>
        <w:t>Kochen:</w:t>
      </w:r>
      <w:r>
        <w:t xml:space="preserve"> Kochen Sie stärkehaltige Lebensmittel wie Kartoffeln, Nudeln oder Reis. </w:t>
      </w:r>
    </w:p>
    <w:p>
      <w:pPr>
        <w:numPr>
          <w:ilvl w:val="0"/>
          <w:numId w:val="32"/>
        </w:numPr>
        <w:ind w:left="360" w:hanging="360"/>
      </w:pPr>
      <w:r>
        <w:rPr>
          <w:b/>
          <w:bCs/>
        </w:rPr>
        <w:t>Abkühlen lassen:</w:t>
      </w:r>
      <w:r>
        <w:t xml:space="preserve"> Stellen Sie das gekochte Essen nach Abkühlung am besten für 12 bis 24 Stunden in den Kühlschrank. Studien deuten darauf hin, dass bei einigen Lebensmitteln nach etwa 12 Stunden bis zu 10 % der </w:t>
        <w:fldChar w:fldCharType="begin"/>
        <w:instrText xml:space="preserve">XE "Stärke" \G </w:instrText>
        <w:fldChar w:fldCharType="end"/>
        <w:t xml:space="preserve">Stärke in resistente </w:t>
        <w:fldChar w:fldCharType="begin"/>
        <w:instrText xml:space="preserve">XE "Stärke" \G </w:instrText>
        <w:fldChar w:fldCharType="end"/>
        <w:t xml:space="preserve">Stärke umgewandelt sein können. Der Abkühlprozess verändert die </w:t>
        <w:fldChar w:fldCharType="begin"/>
        <w:instrText xml:space="preserve">XE "Stärke" \G </w:instrText>
        <w:fldChar w:fldCharType="end"/>
        <w:t>Stärke und macht sie resistent gegen Verdauungsenzyme.</w:t>
      </w:r>
    </w:p>
    <w:p>
      <w:pPr>
        <w:numPr>
          <w:ilvl w:val="0"/>
          <w:numId w:val="32"/>
        </w:numPr>
        <w:ind w:left="360" w:hanging="360"/>
      </w:pPr>
      <w:r>
        <w:rPr>
          <w:b/>
          <w:bCs/>
        </w:rPr>
        <w:t>Wiedererwärmen:</w:t>
      </w:r>
      <w:r>
        <w:t xml:space="preserve"> Die resistente </w:t>
        <w:fldChar w:fldCharType="begin"/>
        <w:instrText xml:space="preserve">XE "Stärke" \G </w:instrText>
        <w:fldChar w:fldCharType="end"/>
        <w:t xml:space="preserve">Stärke behält ihre Struktur auch nach dem Wiedererwärmen, wodurch Sie auch warme Speisen mit erhöhtem Gehalt an resistenter </w:t>
        <w:fldChar w:fldCharType="begin"/>
        <w:instrText xml:space="preserve">XE "Stärke" \G </w:instrText>
        <w:fldChar w:fldCharType="end"/>
        <w:t xml:space="preserve">Stärke genießen können. </w:t>
      </w:r>
    </w:p>
    <w:p>
      <w:pPr>
        <w:spacing w:before="200"/>
        <w:rPr>
          <w:b/>
          <w:bCs/>
        </w:rPr>
      </w:pPr>
      <w:r>
        <w:rPr>
          <w:b/>
          <w:bCs/>
        </w:rPr>
        <w:t xml:space="preserve">Vorteile von resistenter </w:t>
        <w:fldChar w:fldCharType="begin"/>
        <w:instrText xml:space="preserve">XE "Stärke" \G </w:instrText>
        <w:fldChar w:fldCharType="end"/>
        <w:t>Stärke:</w:t>
      </w:r>
      <w:r>
        <w:rPr>
          <w:b/>
          <w:bCs/>
        </w:rPr>
      </w:r>
    </w:p>
    <w:p>
      <w:pPr>
        <w:pStyle w:val="para17"/>
        <w:numPr>
          <w:ilvl w:val="1"/>
          <w:numId w:val="2"/>
        </w:numPr>
        <w:ind w:left="397" w:hanging="197"/>
      </w:pPr>
      <w:r>
        <w:t>Förderung der Darmgesundheit:</w:t>
      </w:r>
    </w:p>
    <w:p>
      <w:pPr>
        <w:ind w:left="397"/>
      </w:pPr>
      <w:r>
        <w:t xml:space="preserve">Sie wirkt als Präbiotikum, ernährt die guten Darmbakterien und fördert so eine gesunde Darmflora. </w:t>
      </w:r>
    </w:p>
    <w:p>
      <w:pPr>
        <w:pStyle w:val="para17"/>
        <w:numPr>
          <w:ilvl w:val="1"/>
          <w:numId w:val="2"/>
        </w:numPr>
        <w:ind w:left="397" w:hanging="197"/>
      </w:pPr>
      <w:r>
        <w:t>Produktion von Butyrat:</w:t>
      </w:r>
    </w:p>
    <w:p>
      <w:pPr>
        <w:ind w:left="397"/>
      </w:pPr>
      <w:r>
        <w:t xml:space="preserve">Die Bakterien im Dickdarm produzieren Butyrat, eine kurzkettige Fettsäure, die die Darmschleimhaut stärkt und vor Entzündungen schützt. </w:t>
      </w:r>
    </w:p>
    <w:p>
      <w:pPr>
        <w:pStyle w:val="para17"/>
        <w:numPr>
          <w:ilvl w:val="1"/>
          <w:numId w:val="2"/>
        </w:numPr>
        <w:ind w:left="397" w:hanging="197"/>
      </w:pPr>
      <w:r>
        <w:t>Blutzucker- und Blutfettwerte:</w:t>
      </w:r>
    </w:p>
    <w:p>
      <w:pPr>
        <w:ind w:left="397"/>
      </w:pPr>
      <w:r>
        <w:t xml:space="preserve">Resistente </w:t>
        <w:fldChar w:fldCharType="begin"/>
        <w:instrText xml:space="preserve">XE "Stärke" \G </w:instrText>
        <w:fldChar w:fldCharType="end"/>
        <w:t xml:space="preserve">Stärke kann einen positiven Einfluss auf den Blutzuckerspiegel und die Blutfettwerte haben. </w:t>
      </w:r>
    </w:p>
    <w:p>
      <w:pPr>
        <w:pStyle w:val="para17"/>
        <w:numPr>
          <w:ilvl w:val="1"/>
          <w:numId w:val="2"/>
        </w:numPr>
        <w:ind w:left="397" w:hanging="197"/>
      </w:pPr>
      <w:r>
        <w:t>Unterstützung beim Abnehmen:</w:t>
      </w:r>
    </w:p>
    <w:p>
      <w:pPr>
        <w:ind w:left="397"/>
      </w:pPr>
      <w:r>
        <w:t xml:space="preserve">Da sie den Dünndarm unverdaut passiert, werden weniger Kalorien freigesetzt. </w:t>
      </w:r>
    </w:p>
    <w:p>
      <w:pPr>
        <w:pStyle w:val="para17"/>
        <w:numPr>
          <w:ilvl w:val="1"/>
          <w:numId w:val="2"/>
        </w:numPr>
        <w:ind w:left="397" w:hanging="197"/>
      </w:pPr>
      <w:r>
        <w:t>Fettleber:</w:t>
      </w:r>
    </w:p>
    <w:p>
      <w:pPr>
        <w:ind w:left="397"/>
      </w:pPr>
      <w:r>
        <w:t xml:space="preserve">Studien deuten darauf hin, dass resistente </w:t>
        <w:fldChar w:fldCharType="begin"/>
        <w:instrText xml:space="preserve">XE "Stärke" \G </w:instrText>
        <w:fldChar w:fldCharType="end"/>
        <w:t xml:space="preserve">Stärke die Heilung einer Fettleber begünstigen kann. </w:t>
      </w:r>
    </w:p>
    <w:p>
      <w:pPr>
        <w:pStyle w:val="para3"/>
        <w:numPr>
          <w:ilvl w:val="2"/>
          <w:numId w:val="1"/>
        </w:numPr>
        <w:ind w:left="720" w:hanging="720"/>
      </w:pPr>
      <w:bookmarkStart w:id="11" w:name="_TOC000050"/>
      <w:r>
        <w:t>Obst</w:t>
      </w:r>
      <w:bookmarkEnd w:id="11"/>
      <w:r/>
    </w:p>
    <w:p>
      <w:r>
        <w:t xml:space="preserve">Obst enthält zwar viele Nährstoffe, doch leider auch große Konzentrationen an </w:t>
        <w:fldChar w:fldCharType="begin"/>
        <w:instrText xml:space="preserve">XE "Glukose" \G </w:instrText>
        <w:fldChar w:fldCharType="end"/>
        <w:t>Glukose und Fruktose. Isst man Obst als Snack, so steigt der Blutzuckerspiegel durch den Glukosegehalt an und sinkt genauso schnell wieder ab; kurz danach verspürt man wieder Hunger. Der Appetit wird angeregt, und der Körper verlangt nach weiteren Kohlenhydraten. Sind diese gerade nicht verfügbar, sinkt deine Konzentration sehr schnell und du fühlst dich schlapp.</w:t>
      </w:r>
    </w:p>
    <w:p>
      <w:pPr>
        <w:pStyle w:val="para4"/>
        <w:numPr>
          <w:ilvl w:val="3"/>
          <w:numId w:val="1"/>
        </w:numPr>
        <w:ind w:left="1077" w:hanging="1077"/>
      </w:pPr>
      <w:bookmarkStart w:id="12" w:name="_TOC000051"/>
      <w:r>
        <w:t>Beeren</w:t>
      </w:r>
      <w:bookmarkEnd w:id="12"/>
      <w:r/>
    </w:p>
    <w:p>
      <w:r>
        <w:t>Beeren wie Himbeeren, Erdbeeren, Brombeeren und Heidelbeeren enthalten sehr viele entzündungssenkende Pflanzenstoffe, die das Immunsystem stärken. Im Gegensatz zu Obst enthalten Beeren deutlich weniger Zucker und sollten deshalb häufig verzehrt werden.</w:t>
      </w:r>
    </w:p>
    <w:p>
      <w:pPr>
        <w:pStyle w:val="para4"/>
        <w:numPr>
          <w:ilvl w:val="3"/>
          <w:numId w:val="1"/>
        </w:numPr>
        <w:ind w:left="1077" w:hanging="1077"/>
      </w:pPr>
      <w:bookmarkStart w:id="13" w:name="_TOC000342"/>
      <w:r>
        <w:t>Obst essen, aber richtig</w:t>
      </w:r>
      <w:bookmarkEnd w:id="13"/>
      <w:r/>
    </w:p>
    <w:p>
      <w:pPr>
        <w:ind w:left="283" w:right="222"/>
        <w:rPr>
          <w:sz w:val="18"/>
          <w:szCs w:val="18"/>
        </w:rPr>
      </w:pPr>
      <w:r/>
      <w:bookmarkStart w:id="14" w:name="_TOC000229"/>
      <w:r/>
      <w:bookmarkStart w:id="15" w:name="_TOC000021"/>
      <w:r/>
      <w:bookmarkStart w:id="16" w:name="_TOC000091"/>
      <w:r/>
      <w:r>
        <w:rPr>
          <w:sz w:val="18"/>
          <w:szCs w:val="18"/>
        </w:rPr>
        <w:t>Quelle: Dr. Feil Knorpel- und Knochenkur-Begleitmail vom 12.10.2025</w:t>
      </w:r>
      <w:r>
        <w:rPr>
          <w:sz w:val="18"/>
          <w:szCs w:val="18"/>
        </w:rPr>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Wie Sie wissen, haben die meisten Obstsorten einen gravierenden Nachteil: Sie enthalten recht viel Zucker, der bei übermäßigem Verzehr einfach nicht gut ist.</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Selbst die Weltgesundheitsorganisation (WHO) empfiehlt, nicht mehr als 25 Gramm Zucker pro Tag zu sich zu nehmen.</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Um Ihnen zu verdeutlichen, wie schnell Sie das erreicht haben, habe ich ein paar Beispiele für Sie: </w:t>
      </w:r>
    </w:p>
    <w:p>
      <w:pPr>
        <w:ind w:left="680" w:right="221" w:hanging="397"/>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 -</w:t>
        <w:tab/>
        <w:t>Eine Banane oder auch ein Apfel enthalten je ca. 20 Gramm Zucker.</w:t>
      </w:r>
    </w:p>
    <w:p>
      <w:pPr>
        <w:ind w:left="680" w:right="221" w:hanging="397"/>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 -</w:t>
        <w:tab/>
        <w:t>Ein Glas Apfel- oder Orangensaft (250 ml) enthalten bereits 25 Gramm Zucker.</w:t>
      </w:r>
    </w:p>
    <w:p>
      <w:pPr>
        <w:ind w:left="680" w:right="221" w:hanging="397"/>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 -</w:t>
        <w:tab/>
        <w:t>Eine Flasche fertiger Smoothie aus dem Supermarkt schlägt mit bis zu 30 Gramm Zucker zu Buche.</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Sie sehen: Obst hat natürlich durch die sekundären Pflanzenstoffe (Bioflavonoide) viele Vorteile, aber durch die auf Süße ausgerichtete Züchtung auch eine ganze Menge Zucker.</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Zeit also für unseren Joker, mit dem Sie beides bekommen: Jede Menge nützlicher </w:t>
        <w:fldChar w:fldCharType="begin"/>
        <w:instrText xml:space="preserve">XE "Vitamine" \G </w:instrText>
        <w:fldChar w:fldCharType="end"/>
        <w:t xml:space="preserve">Vitamine, </w:t>
        <w:fldChar w:fldCharType="begin"/>
        <w:instrText xml:space="preserve">XE "Mineralstoffe" \G </w:instrText>
        <w:fldChar w:fldCharType="end"/>
        <w:t>Mineralstoffe, Pflanzenwirkstoffe und trotzdem wenig Zucker!</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Die Rede ist von Beerenfrüchten!</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Himbeeren, Brombeeren, Erdbeeren (botanisch eine Nuss), Johannisbeeren oder Heidelbeeren.</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Beeren enthalten eine große Vielfalt an entzündungssenkenden und knorpelschützenden Stoffen.</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Genießen Sie gerne jeden Tag eine große Portion (200 Gramm) und nehmen Sie trotzdem nur – ganz verträgliche – knapp zehn Gramm Zucker zu sich!</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Im Winter empfehle ich Ihnen natürlich tiefgekühlte, direkt nach der Ernte frisch eingefrorene Beeren.</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Im Sommer und zur Saison schmecken frische Beeren noch besser!</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Noch ein Wort zu Smoothies ...</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     Versuchen Sie einmal eine Orange, einen Apfel und eine Banane nacheinander zu </w:t>
        <w:br w:type="textWrapping"/>
        <w:t xml:space="preserve">     essen.</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     Schaffen Sie nicht?</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     In einem Smoothie befindet sich oft diese Menge an Obst, die wir „auf einmal“ </w:t>
        <w:br w:type="textWrapping"/>
        <w:t xml:space="preserve">     austrinken.</w:t>
      </w:r>
    </w:p>
    <w:p>
      <w:pPr>
        <w:ind w:left="283" w:right="221"/>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Denken Sie mal darüber nach ...</w:t>
      </w:r>
    </w:p>
    <w:p>
      <w:r/>
    </w:p>
    <w:p>
      <w:pPr>
        <w:pStyle w:val="para3"/>
        <w:numPr>
          <w:ilvl w:val="2"/>
          <w:numId w:val="1"/>
        </w:numPr>
        <w:ind w:left="720" w:hanging="720"/>
      </w:pPr>
      <w:bookmarkStart w:id="17" w:name="_TOC000269"/>
      <w:r>
        <w:t>Tipps für »Süße«</w:t>
      </w:r>
      <w:bookmarkEnd w:id="15"/>
      <w:r/>
      <w:bookmarkEnd w:id="16"/>
      <w:r/>
      <w:bookmarkEnd w:id="14"/>
      <w:r/>
      <w:bookmarkEnd w:id="17"/>
      <w:r/>
    </w:p>
    <w:p>
      <w:r>
        <w:t>Das Empfinden von »süß« ist Gewohnheitssache. Wenn Sie bisher Kaffee oder Tee nur mit Zucker trinken, dann verringern Sie den Zuckergehalt wöchentlich um 20%. Wenn Sie die harte Tour lieben, lassen Sie den Zucker weg. Zucker bringt nur leere Kalorien und treibt Ihre Heißhungergefühle an. Auch der Einsatz von Süßstoffen ist hier keine Lösung: In der Tiermast werden Süßstoffe eingesetzt, damit die Tiere schneller und mehr essen. Aus diesem Grund sind Süßstoffe zusätzliche Mastmittel, auf die Sie besser verzichten sollten.</w:t>
      </w:r>
    </w:p>
    <w:p>
      <w:pPr>
        <w:pStyle w:val="para2"/>
        <w:numPr>
          <w:ilvl w:val="1"/>
          <w:numId w:val="1"/>
        </w:numPr>
        <w:ind w:left="576" w:hanging="576"/>
      </w:pPr>
      <w:bookmarkStart w:id="18" w:name="_TOC000307"/>
      <w:r/>
      <w:bookmarkStart w:id="19" w:name="_TOC000040"/>
      <w:r/>
      <w:bookmarkStart w:id="20" w:name="_TOC000052"/>
      <w:r>
        <w:t>Fazit:</w:t>
      </w:r>
      <w:bookmarkEnd w:id="18"/>
      <w:r/>
    </w:p>
    <w:p>
      <w:pPr>
        <w:pStyle w:val="para17"/>
        <w:numPr>
          <w:ilvl w:val="1"/>
          <w:numId w:val="2"/>
        </w:numPr>
        <w:ind w:left="397" w:hanging="197"/>
      </w:pPr>
      <w:r>
        <w:t xml:space="preserve">Zuckerprodukte machen nicht satt. </w:t>
      </w:r>
    </w:p>
    <w:p>
      <w:pPr>
        <w:ind w:left="680"/>
      </w:pPr>
      <w:r>
        <w:t xml:space="preserve">Fruktose ist nicht in der Lage, das Hormon Leptin zu aktivieren, welches dem Körper signalisiert, dass Sättigung erreicht ist. </w:t>
      </w:r>
    </w:p>
    <w:p>
      <w:pPr>
        <w:ind w:left="680"/>
      </w:pPr>
      <w:r>
        <w:t xml:space="preserve">Fruktose unterdrückt das Hungerhormon Ghrelin schlechter als </w:t>
        <w:fldChar w:fldCharType="begin"/>
        <w:instrText xml:space="preserve">XE "Glukose" \G </w:instrText>
        <w:fldChar w:fldCharType="end"/>
        <w:t>Glukose, was zu übermäßiger Kalorienaufnahme führen kann.</w:t>
      </w:r>
    </w:p>
    <w:p>
      <w:pPr>
        <w:ind w:left="680"/>
      </w:pPr>
      <w:r>
        <w:t xml:space="preserve">Das bedeutet, nach dem Konsum von </w:t>
        <w:fldChar w:fldCharType="begin"/>
        <w:instrText xml:space="preserve">XE "Haushaltszucker" \G </w:instrText>
        <w:fldChar w:fldCharType="end"/>
        <w:t>Haushaltszucker oder Fruchtzucker hat man schnell wieder Hunger.</w:t>
      </w:r>
    </w:p>
    <w:p>
      <w:pPr>
        <w:pStyle w:val="para17"/>
        <w:numPr>
          <w:ilvl w:val="1"/>
          <w:numId w:val="2"/>
        </w:numPr>
        <w:ind w:left="397" w:hanging="197"/>
      </w:pPr>
      <w:r>
        <w:t xml:space="preserve">Überflüssige </w:t>
        <w:fldChar w:fldCharType="begin"/>
        <w:instrText xml:space="preserve">XE "Kohlenhydrate" \G </w:instrText>
        <w:fldChar w:fldCharType="end"/>
        <w:t xml:space="preserve">Kohlenhydrate werden zuerst als </w:t>
        <w:fldChar w:fldCharType="begin"/>
        <w:instrText xml:space="preserve">XE "Glykogen" \G </w:instrText>
        <w:fldChar w:fldCharType="end"/>
        <w:t xml:space="preserve">Glykogen, danach als </w:t>
        <w:fldChar w:fldCharType="begin"/>
        <w:instrText xml:space="preserve">XE "Fett" \G </w:instrText>
        <w:fldChar w:fldCharType="end"/>
        <w:t>Fett gespeichert.</w:t>
      </w:r>
    </w:p>
    <w:p>
      <w:pPr>
        <w:pStyle w:val="para17"/>
        <w:numPr>
          <w:ilvl w:val="1"/>
          <w:numId w:val="2"/>
        </w:numPr>
        <w:ind w:left="397" w:hanging="197"/>
      </w:pPr>
      <w:r>
        <w:t>Hat das Insulin die Glukosemoleküle verstaut, saust der Blutzuckerspiegel wieder in die Tiefe - es entsteht Heißhunger.</w:t>
      </w:r>
    </w:p>
    <w:p>
      <w:pPr>
        <w:pStyle w:val="para17"/>
        <w:numPr>
          <w:ilvl w:val="1"/>
          <w:numId w:val="2"/>
        </w:numPr>
        <w:ind w:left="397" w:hanging="197"/>
      </w:pPr>
      <w:r>
        <w:t xml:space="preserve">Resistente </w:t>
        <w:fldChar w:fldCharType="begin"/>
        <w:instrText xml:space="preserve">XE "Stärke" \G </w:instrText>
        <w:fldChar w:fldCharType="end"/>
        <w:t xml:space="preserve">Stärke (2 bis 10 % der </w:t>
        <w:fldChar w:fldCharType="begin"/>
        <w:instrText xml:space="preserve">XE "Stärke" \G </w:instrText>
        <w:fldChar w:fldCharType="end"/>
        <w:t>Stärke) ist ein Ballaststoff, der entsteht, wenn gekochte, stärkehaltige Lebensmittel wie Kartoffeln, Nudeln oder Reis abkühlen.</w:t>
      </w:r>
    </w:p>
    <w:p>
      <w:pPr>
        <w:ind w:left="680"/>
      </w:pPr>
      <w:r>
        <w:t xml:space="preserve">Dies verändert die chemische Struktur der </w:t>
        <w:fldChar w:fldCharType="begin"/>
        <w:instrText xml:space="preserve">XE "Stärke" \G </w:instrText>
        <w:fldChar w:fldCharType="end"/>
        <w:t xml:space="preserve">Stärke und macht sie im Dünndarm unverdaulich. </w:t>
      </w:r>
    </w:p>
    <w:p>
      <w:pPr>
        <w:ind w:left="680"/>
      </w:pPr>
      <w:r>
        <w:t xml:space="preserve">Im Dickdarm dient sie nützlichen Bakterien als Nahrung und fördert so eine gesunde Darmflora, indem kurzkettige </w:t>
        <w:fldChar w:fldCharType="begin"/>
        <w:instrText xml:space="preserve">XE "Fettsäuren" \G </w:instrText>
        <w:fldChar w:fldCharType="end"/>
        <w:t>Fettsäuren wie Butyrat produziert werden, die positive Auswirkungen auf die Darmschleimhaut und den Blutzuckerspiegel haben.</w:t>
      </w:r>
    </w:p>
    <w:p>
      <w:pPr>
        <w:pStyle w:val="para2"/>
        <w:numPr>
          <w:ilvl w:val="1"/>
          <w:numId w:val="1"/>
        </w:numPr>
        <w:ind w:left="576" w:hanging="576"/>
      </w:pPr>
      <w:r>
        <w:br w:type="page"/>
      </w:r>
      <w:bookmarkStart w:id="21" w:name="_TOC000035"/>
      <w:r>
        <w:t>Wie Zellen aus der Nahrung Energie erzeugen</w:t>
      </w:r>
      <w:bookmarkEnd w:id="21"/>
      <w:r/>
    </w:p>
    <w:p>
      <w:r>
        <w:t>Eine Zelle besteht im Wesentlichen aus drei Teilen:</w:t>
      </w:r>
    </w:p>
    <w:p>
      <w:pPr>
        <w:pStyle w:val="para28"/>
        <w:numPr>
          <w:ilvl w:val="1"/>
          <w:numId w:val="2"/>
        </w:numPr>
        <w:ind w:left="397" w:hanging="197"/>
      </w:pPr>
      <w:r>
        <w:rPr>
          <w:noProof/>
        </w:rPr>
        <w:drawing>
          <wp:anchor distT="0" distB="107950" distL="144145" distR="0" simplePos="0" relativeHeight="251658323" behindDoc="0" locked="0" layoutInCell="0" hidden="0" allowOverlap="1">
            <wp:simplePos x="0" y="0"/>
            <wp:positionH relativeFrom="column">
              <wp:posOffset>3143250</wp:posOffset>
            </wp:positionH>
            <wp:positionV relativeFrom="paragraph">
              <wp:posOffset>14605</wp:posOffset>
            </wp:positionV>
            <wp:extent cx="2600325" cy="2541270"/>
            <wp:effectExtent l="0" t="0" r="0" b="0"/>
            <wp:wrapSquare wrapText="bothSides"/>
            <wp:docPr id="83" name="Grafik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Grafik152"/>
                    <pic:cNvPicPr>
                      <a:picLocks noChangeAspect="1"/>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7AQAAAKIAAAAAAAAAAAAAAAAAAAIAAABWEwAAAQAAAAIAAAAXAAAA/w8AAKIPAAATAAMAqBYAAMwIAAAoAAAACAAAAAEAAAABAAAAMAAAABQAAAAAAAAAAAD//wAAAQAAAP//AAABAA=="/>
                        </a:ext>
                      </a:extLst>
                    </pic:cNvPicPr>
                  </pic:nvPicPr>
                  <pic:blipFill>
                    <a:blip r:embed="rId38"/>
                    <a:stretch>
                      <a:fillRect/>
                    </a:stretch>
                  </pic:blipFill>
                  <pic:spPr>
                    <a:xfrm>
                      <a:off x="0" y="0"/>
                      <a:ext cx="2600325" cy="2541270"/>
                    </a:xfrm>
                    <a:prstGeom prst="rect">
                      <a:avLst/>
                    </a:prstGeom>
                    <a:noFill/>
                    <a:ln w="12700">
                      <a:noFill/>
                    </a:ln>
                  </pic:spPr>
                </pic:pic>
              </a:graphicData>
            </a:graphic>
          </wp:anchor>
        </w:drawing>
      </w:r>
      <w:r>
        <w:t>der Zellmembran</w:t>
      </w:r>
    </w:p>
    <w:p>
      <w:pPr>
        <w:pStyle w:val="para28"/>
        <w:numPr>
          <w:ilvl w:val="1"/>
          <w:numId w:val="2"/>
        </w:numPr>
        <w:ind w:left="397" w:hanging="197"/>
      </w:pPr>
      <w:r>
        <w:t>dem Zytoplasma</w:t>
      </w:r>
    </w:p>
    <w:p>
      <w:pPr>
        <w:pStyle w:val="para28"/>
        <w:numPr>
          <w:ilvl w:val="1"/>
          <w:numId w:val="2"/>
        </w:numPr>
        <w:ind w:left="397" w:hanging="197"/>
      </w:pPr>
      <w:r>
        <w:t xml:space="preserve">dem Zellkern (Nukleus). </w:t>
      </w:r>
    </w:p>
    <w:p>
      <w:pPr>
        <w:rPr>
          <w:b/>
          <w:bCs/>
        </w:rPr>
      </w:pPr>
      <w:r>
        <w:rPr>
          <w:b/>
          <w:bCs/>
        </w:rPr>
        <w:t>Zellmembran</w:t>
      </w:r>
      <w:r>
        <w:rPr>
          <w:b/>
          <w:bCs/>
        </w:rPr>
      </w:r>
    </w:p>
    <w:p>
      <w:pPr>
        <w:pStyle w:val="para28"/>
        <w:numPr>
          <w:ilvl w:val="1"/>
          <w:numId w:val="2"/>
        </w:numPr>
        <w:ind w:left="397" w:hanging="197"/>
      </w:pPr>
      <w:r>
        <w:t xml:space="preserve">Die Zellmembran ist eine äußere Hülle, die die Zelle umgibt und sie von ihrer Umgebung abgrenzt. </w:t>
      </w:r>
    </w:p>
    <w:p>
      <w:pPr>
        <w:pStyle w:val="para28"/>
        <w:numPr>
          <w:ilvl w:val="1"/>
          <w:numId w:val="2"/>
        </w:numPr>
        <w:ind w:left="397" w:hanging="197"/>
      </w:pPr>
      <w:r>
        <w:t xml:space="preserve">Sie reguliert den Stoffaustausch mit der Umgebung und ist semi-permeabel, was bedeutet, dass sie bestimmte Stoffe durchlässt und andere abhält. </w:t>
      </w:r>
    </w:p>
    <w:p>
      <w:pPr>
        <w:pStyle w:val="para28"/>
        <w:numPr>
          <w:ilvl w:val="1"/>
          <w:numId w:val="2"/>
        </w:numPr>
        <w:ind w:left="397" w:hanging="197"/>
      </w:pPr>
      <w:r>
        <w:t>Die Zellmembran besteht hauptsächlich aus Lipiden (Fetten) und Protein</w:t>
      </w:r>
      <w:r>
        <w:fldChar w:fldCharType="begin"/>
        <w:instrText xml:space="preserve">XE "Protein"</w:instrText>
        <w:fldChar w:fldCharType="end"/>
      </w:r>
      <w:r>
        <w:t xml:space="preserve">en. </w:t>
      </w:r>
    </w:p>
    <w:p>
      <w:pPr>
        <w:rPr>
          <w:b/>
          <w:bCs/>
        </w:rPr>
      </w:pPr>
      <w:r>
        <w:rPr>
          <w:b/>
          <w:bCs/>
        </w:rPr>
        <w:t>Zytoplasma</w:t>
      </w:r>
      <w:r>
        <w:rPr>
          <w:b/>
          <w:bCs/>
        </w:rPr>
      </w:r>
    </w:p>
    <w:p>
      <w:pPr>
        <w:pStyle w:val="para28"/>
        <w:numPr>
          <w:ilvl w:val="1"/>
          <w:numId w:val="2"/>
        </w:numPr>
        <w:ind w:left="397" w:hanging="197"/>
      </w:pPr>
      <w:r>
        <w:t xml:space="preserve">Das Zytoplasma ist die zelluläre Umgebung, die den Zellkern und andere Organellen umgibt. </w:t>
      </w:r>
    </w:p>
    <w:p>
      <w:pPr>
        <w:pStyle w:val="para28"/>
        <w:numPr>
          <w:ilvl w:val="1"/>
          <w:numId w:val="2"/>
        </w:numPr>
        <w:ind w:left="397" w:hanging="197"/>
      </w:pPr>
      <w:r>
        <w:t xml:space="preserve">Es ist eine gelartige Substanz, die aus Wasser, Salzen, Proteinen und anderen organischen Molekülen besteht. </w:t>
      </w:r>
    </w:p>
    <w:p>
      <w:pPr>
        <w:pStyle w:val="para28"/>
        <w:numPr>
          <w:ilvl w:val="1"/>
          <w:numId w:val="2"/>
        </w:numPr>
        <w:ind w:left="397" w:hanging="197"/>
      </w:pPr>
      <w:r>
        <w:t xml:space="preserve">Im Zytoplasma finden viele Stoffwechselprozesse statt. </w:t>
      </w:r>
    </w:p>
    <w:p>
      <w:pPr>
        <w:rPr>
          <w:b/>
          <w:bCs/>
        </w:rPr>
      </w:pPr>
      <w:r>
        <w:rPr>
          <w:b/>
          <w:bCs/>
        </w:rPr>
        <w:t>Zellkern (Nukleus)</w:t>
      </w:r>
      <w:r>
        <w:rPr>
          <w:b/>
          <w:bCs/>
        </w:rPr>
      </w:r>
    </w:p>
    <w:p>
      <w:pPr>
        <w:pStyle w:val="para28"/>
        <w:numPr>
          <w:ilvl w:val="1"/>
          <w:numId w:val="2"/>
        </w:numPr>
        <w:ind w:left="397" w:hanging="197"/>
      </w:pPr>
      <w:r>
        <w:t xml:space="preserve">Der Zellkern ist die Steuerzentrale der Zelle und enthält die DNA. </w:t>
      </w:r>
    </w:p>
    <w:p>
      <w:pPr>
        <w:pStyle w:val="para28"/>
        <w:numPr>
          <w:ilvl w:val="1"/>
          <w:numId w:val="2"/>
        </w:numPr>
        <w:ind w:left="397" w:hanging="197"/>
      </w:pPr>
      <w:r>
        <w:t xml:space="preserve">Die DNA ist in Form von Chromosomen organisiert und enthält die genetischen Informationen der Zelle. </w:t>
      </w:r>
    </w:p>
    <w:p>
      <w:pPr>
        <w:pStyle w:val="para28"/>
        <w:numPr>
          <w:ilvl w:val="1"/>
          <w:numId w:val="2"/>
        </w:numPr>
        <w:ind w:left="397" w:hanging="197"/>
      </w:pPr>
      <w:r>
        <w:t xml:space="preserve">Der Zellkern steuert alle zellulären Aktivitäten, einschließlich Wachstum, Stoffwechsel und Reproduktion. </w:t>
      </w:r>
    </w:p>
    <w:p>
      <w:pPr>
        <w:rPr>
          <w:b/>
          <w:bCs/>
        </w:rPr>
      </w:pPr>
      <w:r>
        <w:rPr>
          <w:b/>
          <w:bCs/>
        </w:rPr>
        <w:t>Weitere wichtige Zellbestandteile</w:t>
      </w:r>
      <w:r>
        <w:rPr>
          <w:b/>
          <w:bCs/>
        </w:rPr>
      </w:r>
    </w:p>
    <w:p>
      <w:pPr>
        <w:rPr>
          <w:b/>
          <w:bCs/>
        </w:rPr>
      </w:pPr>
      <w:r>
        <w:rPr>
          <w:b/>
          <w:bCs/>
        </w:rPr>
        <w:t>Ribosomen</w:t>
      </w:r>
      <w:r>
        <w:rPr>
          <w:b/>
          <w:bCs/>
        </w:rPr>
      </w:r>
    </w:p>
    <w:p>
      <w:pPr>
        <w:pStyle w:val="para28"/>
        <w:numPr>
          <w:ilvl w:val="1"/>
          <w:numId w:val="2"/>
        </w:numPr>
        <w:ind w:left="397" w:hanging="197"/>
      </w:pPr>
      <w:r>
        <w:t xml:space="preserve">Sie sind für die Proteinbiosynthese (Herstellung von Proteinen) verantwortlich. </w:t>
      </w:r>
    </w:p>
    <w:p>
      <w:pPr>
        <w:rPr>
          <w:b/>
          <w:bCs/>
        </w:rPr>
      </w:pPr>
      <w:r>
        <w:rPr>
          <w:b/>
          <w:bCs/>
        </w:rPr>
        <w:fldChar w:fldCharType="begin"/>
        <w:instrText xml:space="preserve">XE "Mitochondrien" \G </w:instrText>
        <w:fldChar w:fldCharType="end"/>
        <w:t>Mitochondrien</w:t>
      </w:r>
      <w:r>
        <w:rPr>
          <w:b/>
          <w:bCs/>
        </w:rPr>
      </w:r>
    </w:p>
    <w:p>
      <w:pPr>
        <w:pStyle w:val="para28"/>
        <w:numPr>
          <w:ilvl w:val="1"/>
          <w:numId w:val="2"/>
        </w:numPr>
        <w:ind w:left="397" w:hanging="197"/>
      </w:pPr>
      <w:r>
        <w:t xml:space="preserve">Sie sind die Kraftwerke der Zelle und produzieren Energie in Form von ATP. </w:t>
      </w:r>
    </w:p>
    <w:p>
      <w:pPr>
        <w:rPr>
          <w:b/>
          <w:bCs/>
        </w:rPr>
      </w:pPr>
      <w:r>
        <w:rPr>
          <w:b/>
          <w:bCs/>
        </w:rPr>
        <w:t>Golgi-Apparat</w:t>
      </w:r>
      <w:r>
        <w:rPr>
          <w:b/>
          <w:bCs/>
        </w:rPr>
      </w:r>
    </w:p>
    <w:p>
      <w:pPr>
        <w:pStyle w:val="para28"/>
        <w:numPr>
          <w:ilvl w:val="1"/>
          <w:numId w:val="2"/>
        </w:numPr>
        <w:ind w:left="397" w:hanging="197"/>
      </w:pPr>
      <w:r>
        <w:t xml:space="preserve">Er verarbeitet, verpackt und transportiert Proteine und andere Moleküle innerhalb und außerhalb der Zelle. </w:t>
      </w:r>
    </w:p>
    <w:p>
      <w:pPr>
        <w:rPr>
          <w:b/>
          <w:bCs/>
        </w:rPr>
      </w:pPr>
      <w:r>
        <w:rPr>
          <w:b/>
          <w:bCs/>
        </w:rPr>
        <w:t>Lysosomen</w:t>
      </w:r>
      <w:r>
        <w:rPr>
          <w:b/>
          <w:bCs/>
        </w:rPr>
      </w:r>
    </w:p>
    <w:p>
      <w:pPr>
        <w:pStyle w:val="para28"/>
        <w:numPr>
          <w:ilvl w:val="1"/>
          <w:numId w:val="2"/>
        </w:numPr>
        <w:ind w:left="397" w:hanging="197"/>
      </w:pPr>
      <w:r>
        <w:t xml:space="preserve">Sie enthalten Verdauungsenzyme, die Zelltrümmer und Fremdstoffe abbauen können. </w:t>
      </w:r>
    </w:p>
    <w:p>
      <w:r/>
    </w:p>
    <w:p>
      <w:pPr>
        <w:pStyle w:val="para3"/>
        <w:numPr>
          <w:ilvl w:val="2"/>
          <w:numId w:val="1"/>
        </w:numPr>
        <w:ind w:left="720" w:hanging="720"/>
      </w:pPr>
      <w:r>
        <w:br w:type="page"/>
      </w:r>
      <w:bookmarkStart w:id="22" w:name="_TOC000036"/>
      <w:r>
        <w:t>Die</w:t>
      </w:r>
      <w:r>
        <w:rPr>
          <w:sz w:val="24"/>
          <w:szCs w:val="24"/>
        </w:rPr>
        <w:t xml:space="preserve"> </w:t>
        <w:fldChar w:fldCharType="begin"/>
        <w:instrText xml:space="preserve">XE "Mitochondrien" \G </w:instrText>
        <w:fldChar w:fldCharType="end"/>
        <w:t>Mitochondrien</w:t>
      </w:r>
      <w:r/>
      <w:bookmarkEnd w:id="22"/>
      <w:r/>
    </w:p>
    <w:p>
      <w:pPr>
        <w:rPr>
          <w:rFonts w:ascii="Cambria" w:hAnsi="Cambria"/>
          <w:sz w:val="24"/>
          <w:szCs w:val="24"/>
          <w:vertAlign w:val="superscript"/>
        </w:rPr>
      </w:pPr>
      <w:r>
        <w:rPr>
          <w:noProof/>
        </w:rPr>
        <w:drawing>
          <wp:anchor distT="107950" distB="0" distL="144145" distR="0" simplePos="0" relativeHeight="251658324" behindDoc="0" locked="0" layoutInCell="0" hidden="0" allowOverlap="1">
            <wp:simplePos x="0" y="0"/>
            <wp:positionH relativeFrom="column">
              <wp:posOffset>2637155</wp:posOffset>
            </wp:positionH>
            <wp:positionV relativeFrom="paragraph">
              <wp:posOffset>267335</wp:posOffset>
            </wp:positionV>
            <wp:extent cx="3078480" cy="2472690"/>
            <wp:effectExtent l="0" t="0" r="0" b="0"/>
            <wp:wrapSquare wrapText="bothSides"/>
            <wp:docPr id="84" name="Grafik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Grafik153"/>
                    <pic:cNvPicPr>
                      <a:picLocks noChangeAspect="1"/>
                      <a:codePr string="" type="207534382"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VAQAAAKIAAAAAAAAAAAAAAQAAAAIAAAA5EAAAAQAAAAIAAAClAQAA8BIAADYPAAAUAAMA+RcAANEIAAAoAAAACAAAAAEAAAABAAAAMAAAABQAAAAAAAAAAAD//wAAAQAAAP//AAABAA=="/>
                        </a:ext>
                      </a:extLst>
                    </pic:cNvPicPr>
                  </pic:nvPicPr>
                  <pic:blipFill>
                    <a:blip r:embed="rId39"/>
                    <a:stretch>
                      <a:fillRect/>
                    </a:stretch>
                  </pic:blipFill>
                  <pic:spPr>
                    <a:xfrm>
                      <a:off x="0" y="0"/>
                      <a:ext cx="3078480" cy="2472690"/>
                    </a:xfrm>
                    <a:prstGeom prst="rect">
                      <a:avLst/>
                    </a:prstGeom>
                    <a:noFill/>
                    <a:ln w="12700">
                      <a:noFill/>
                    </a:ln>
                  </pic:spPr>
                </pic:pic>
              </a:graphicData>
            </a:graphic>
          </wp:anchor>
        </w:drawing>
      </w:r>
      <w:r>
        <w:rPr>
          <w:sz w:val="18"/>
          <w:szCs w:val="18"/>
        </w:rPr>
        <w:t>Quelle: Dr. med. Klaus Erpenbach, Heike Schröder: Voll fertig! Bin ich nur müder oder schon krank? VAK 2016</w:t>
      </w:r>
      <w:r>
        <w:rPr>
          <w:rFonts w:ascii="Cambria" w:hAnsi="Cambria"/>
          <w:sz w:val="24"/>
          <w:szCs w:val="24"/>
          <w:vertAlign w:val="superscript"/>
        </w:rPr>
      </w:r>
    </w:p>
    <w:p>
      <w:r>
        <w:t>Damit unsere Zellen vital und fit sind, brauchen sie Energie und diese erhalten sie vorrangig aus den „</w:t>
        <w:fldChar w:fldCharType="begin"/>
        <w:instrText xml:space="preserve">XE "Mitochondrien" \G </w:instrText>
        <w:fldChar w:fldCharType="end"/>
        <w:t>Mitochondrien". Diese scheinen aus mikroskopisch kleinen Ur-Bakterien zu stammen, die ursprünglich autark lebten, sich aber vor Millionen Jahren in die Zellen der Lebewesen eingenistet und den Gastgeberzellen ihr Atmungssystem zur Verfügung gestellt haben. Sie verfügen über eine eigene DNA und sie teilen sich alle 4 bis 5 Tage - genau wie Bakterien.</w:t>
      </w:r>
    </w:p>
    <w:p>
      <w:r>
        <w:t xml:space="preserve">Die </w:t>
        <w:fldChar w:fldCharType="begin"/>
        <w:instrText xml:space="preserve">XE "Mitochondrien" \G </w:instrText>
        <w:fldChar w:fldCharType="end"/>
        <w:t>Mitochondrien sind - wie bereits erwähnt - die "Kraftwerke" der Zellen, da sie Energie in Form von ATP (Adenosintriphosphat) bereitstellen. Jede Zelle des Körpers enthält durchschnittlich 1500 dieser kleinen Kraftwerke. Die Anzahl richtet sich nach den Aufgaben, die die jeweilige Zelle zu erfüllen hat. Besonders viele finden sich daher in Zellen mit hohem Energieverbrauch, zum Beispiel Muskelzellen (im Herzmuskel: bis zu 3000 pro Zelle), Nervenzellen (im Gehirn: bis zu 6000 pro Zelle) oder Eizellen.</w:t>
      </w:r>
    </w:p>
    <w:p>
      <w:r>
        <w:t xml:space="preserve">Die wichtigste Aufgabe der </w:t>
        <w:fldChar w:fldCharType="begin"/>
        <w:instrText xml:space="preserve">XE "Mitochondrien" \G </w:instrText>
        <w:fldChar w:fldCharType="end"/>
        <w:t xml:space="preserve">Mitochondrien ist es, die in der Nahrung gespeicherte Energie mithilfe von Sauerstoff über die Atmung für alle elementaren Lebensprozesse nutzbar zu machen. Einfach ausgedrückt nutzen die </w:t>
        <w:fldChar w:fldCharType="begin"/>
        <w:instrText xml:space="preserve">XE "Mitochondrien" \G </w:instrText>
        <w:fldChar w:fldCharType="end"/>
        <w:t>Mitochondrien die Kalorien, die wir täglich essen und in Form von Körperfett mit uns herumtragen, kombinieren sie mit Sauerstoff, den wir einatmen, und verwandeln diesen Mix in einen Supertreibstoff (ATP), der unsere Zellen mit Energie versorgt.</w:t>
      </w:r>
    </w:p>
    <w:p>
      <w:pPr>
        <w:pStyle w:val="para4"/>
        <w:numPr>
          <w:ilvl w:val="3"/>
          <w:numId w:val="1"/>
        </w:numPr>
        <w:ind w:left="1077" w:hanging="1077"/>
      </w:pPr>
      <w:bookmarkStart w:id="23" w:name="_TOC000301"/>
      <w:r>
        <w:t xml:space="preserve">Wie die </w:t>
        <w:fldChar w:fldCharType="begin"/>
        <w:instrText xml:space="preserve">XE "Mitochondrien" \G </w:instrText>
        <w:fldChar w:fldCharType="end"/>
        <w:t>Mitochondrien Energie erzeugen</w:t>
      </w:r>
      <w:bookmarkEnd w:id="23"/>
      <w:r/>
    </w:p>
    <w:p>
      <w:r>
        <w:t xml:space="preserve">Um ATP zu erzeugen, müssen die </w:t>
        <w:fldChar w:fldCharType="begin"/>
        <w:instrText xml:space="preserve">XE "Mitochondrien" \G </w:instrText>
        <w:fldChar w:fldCharType="end"/>
        <w:t>Mitochondrien unsere Nahrung mit Sauerstoff aus der Atmung umwandeln. Für diesen Vorgang ist es essenziell, dass unser Organismus ausreichend mit Mikronährstoffen versorgt wird.</w:t>
      </w:r>
    </w:p>
    <w:p>
      <w:r>
        <w:t>Im Einzelnen passiert bei der ATP-Erzeugung Folgendes:</w:t>
      </w:r>
    </w:p>
    <w:p>
      <w:r>
        <w:fldChar w:fldCharType="begin"/>
        <w:instrText xml:space="preserve">XE "Glukose" \G </w:instrText>
        <w:fldChar w:fldCharType="end"/>
        <w:t xml:space="preserve">Glukose aus den Kohlenhydraten unserer Nahrung wird zunächst zu Pyruvat (Benztraubensäure) abgebaut. Dieser Abbauweg heißt Glycolyse. Dadurch entsteht schon eine geringe Menge an Energie für die Zelle, die außerhalb der </w:t>
        <w:fldChar w:fldCharType="begin"/>
        <w:instrText xml:space="preserve">XE "Mitochondrien" \G </w:instrText>
        <w:fldChar w:fldCharType="end"/>
        <w:t>Mitochondrien erzeugt wird.</w:t>
      </w:r>
    </w:p>
    <w:p>
      <w:r>
        <w:t>Das Pyruvat wird mithilfe der B-</w:t>
        <w:fldChar w:fldCharType="begin"/>
        <w:instrText xml:space="preserve">XE "Vitamine" \G </w:instrText>
        <w:fldChar w:fldCharType="end"/>
        <w:t xml:space="preserve">Vitamine in das Mitochondrium eingeschleust und geht in den Citratzyklus ein. Das ist ein ständig ablaufender Zyklus, in dem das Coenzym NADH entsteht, das zusammen mit dem Atmungssauerstoff (Atmungskette) im Mitochondrium zu ATP verbrannt und umgewandelt wird. Der geregelte Ablauf funktioniert aber nur dann, wenn in den </w:t>
        <w:fldChar w:fldCharType="begin"/>
        <w:instrText xml:space="preserve">XE "Mitochondrien" \G </w:instrText>
        <w:fldChar w:fldCharType="end"/>
        <w:t xml:space="preserve">Mitochondrien immer eine ausreichende Menge an Mikronährstoffen (B-Vitaminen, Alpha-Liponsäure, Coenzym </w:t>
        <w:fldChar w:fldCharType="begin"/>
        <w:instrText xml:space="preserve">XE "Q10" \G </w:instrText>
        <w:fldChar w:fldCharType="end"/>
        <w:t xml:space="preserve">Q10, Kupfer, </w:t>
        <w:fldChar w:fldCharType="begin"/>
        <w:instrText xml:space="preserve">XE "Eisen" \G </w:instrText>
        <w:fldChar w:fldCharType="end"/>
        <w:t xml:space="preserve">Eisen, </w:t>
        <w:fldChar w:fldCharType="begin"/>
        <w:instrText xml:space="preserve">XE "Calcium" \G </w:instrText>
        <w:fldChar w:fldCharType="end"/>
        <w:t xml:space="preserve">Calcium und </w:t>
        <w:fldChar w:fldCharType="begin"/>
        <w:instrText xml:space="preserve">XE "Magnesium" \G </w:instrText>
        <w:fldChar w:fldCharType="end"/>
        <w:t>Magnesium) vorliegt.</w:t>
      </w:r>
    </w:p>
    <w:p>
      <w:r>
        <w:t xml:space="preserve">Bei der ATP-Erzeugung in den </w:t>
        <w:fldChar w:fldCharType="begin"/>
        <w:instrText xml:space="preserve">XE "Mitochondrien" \G </w:instrText>
        <w:fldChar w:fldCharType="end"/>
        <w:t>Mitochondrien entstehen auch natürliche Abfallprodukte. Das sind zum einen Kohlendioxid, das wir ausatmen, und zum anderen sogenannte „</w:t>
        <w:fldChar w:fldCharType="begin"/>
        <w:instrText xml:space="preserve">XE "Freie Radikale" \G </w:instrText>
        <w:fldChar w:fldCharType="end"/>
        <w:t xml:space="preserve">freie Radikale". Darunter versteht man besonders „reaktionsfreudige" Sauerstoffmoleküle, die vor allem die </w:t>
        <w:fldChar w:fldCharType="begin"/>
        <w:instrText xml:space="preserve">XE "Mitochondrien" \G </w:instrText>
        <w:fldChar w:fldCharType="end"/>
        <w:t xml:space="preserve">Mitochondrien, die Zellen und die DNA schädigen können. </w:t>
        <w:fldChar w:fldCharType="begin"/>
        <w:instrText xml:space="preserve">XE "Freie Radikale" \G </w:instrText>
        <w:fldChar w:fldCharType="end"/>
        <w:t xml:space="preserve">Freie Radikale an sich sind nicht generell „böse". Wenn aber zu viele </w:t>
        <w:fldChar w:fldCharType="begin"/>
        <w:instrText xml:space="preserve">XE "Freie Radikale" \G </w:instrText>
        <w:fldChar w:fldCharType="end"/>
        <w:t xml:space="preserve">freie Radikale in den Zellen vorhanden sind, greifen sie die Zellen an. Selbstverständlich besitzt unser Organismus einen Entgiftungsmechanismus, der die freien Radikale neutralisiert, bevor sie zu viel Schaden anrichten können. Sie werden durch reparierende </w:t>
        <w:fldChar w:fldCharType="begin"/>
        <w:instrText xml:space="preserve">XE "Mikronährstoffe" \G </w:instrText>
        <w:fldChar w:fldCharType="end"/>
        <w:t>Mikronährstoffe,</w:t>
      </w:r>
      <w:r>
        <w:rPr>
          <w:rFonts w:eastAsia="Tahoma" w:cs="Tahoma"/>
        </w:rPr>
        <w:t xml:space="preserve"> </w:t>
      </w:r>
      <w:r>
        <w:t xml:space="preserve">sogenannte </w:t>
        <w:fldChar w:fldCharType="begin"/>
        <w:instrText xml:space="preserve">XE "Antioxidantien" \G </w:instrText>
        <w:fldChar w:fldCharType="end"/>
        <w:t>Antioxidantien (</w:t>
        <w:fldChar w:fldCharType="begin"/>
        <w:instrText xml:space="preserve">XE "Vitamine" \G </w:instrText>
        <w:fldChar w:fldCharType="end"/>
        <w:t xml:space="preserve">Vitamine, Spurenelemente und Pflanzenstoffe) inaktiviert. Da bei jeder Sauerstoffreaktion im Stoffwechsel </w:t>
        <w:fldChar w:fldCharType="begin"/>
        <w:instrText xml:space="preserve">XE "Freie Radikale" \G </w:instrText>
        <w:fldChar w:fldCharType="end"/>
        <w:t xml:space="preserve">freie Radikale (Sauerstoffradikale = Oxidationen) entstehen, ist es wichtig, dass der Körper genügend </w:t>
        <w:fldChar w:fldCharType="begin"/>
        <w:instrText xml:space="preserve">XE "Antioxidantien" \G </w:instrText>
        <w:fldChar w:fldCharType="end"/>
        <w:t>Antioxidantien hat, um sie unschädlich zu machen.</w:t>
      </w:r>
    </w:p>
    <w:p>
      <w:r>
        <w:t xml:space="preserve">Gleichzeitig werden bei zellulären Regulationsprozessen mit Stickstoffmonoxid noch weitere </w:t>
        <w:fldChar w:fldCharType="begin"/>
        <w:instrText xml:space="preserve">XE "Freie Radikale" \G </w:instrText>
        <w:fldChar w:fldCharType="end"/>
        <w:t xml:space="preserve">freie Radikale erzeugt - die Stickstoffradikale. Auch durch exogene Quellen werden </w:t>
        <w:fldChar w:fldCharType="begin"/>
        <w:instrText xml:space="preserve">XE "Freie Radikale" \G </w:instrText>
        <w:fldChar w:fldCharType="end"/>
        <w:t xml:space="preserve">freie Radikale erzeugt: durch Umweltgifte, Strahlung, belastete Nahrung, Chemikalien, Schwermetalle und pharmazeutische Substanzen. So kommt den körpereigenen Abwehrmechanismen auch die wichtige Rolle zu, die empfindlichen </w:t>
        <w:fldChar w:fldCharType="begin"/>
        <w:instrText xml:space="preserve">XE "Mitochondrien" \G </w:instrText>
        <w:fldChar w:fldCharType="end"/>
        <w:t>Mitochondrien zu schützen und Müdigkeit, Erschöpfung oder gar Multisystemerkrankungen zu verhindern.</w:t>
      </w:r>
    </w:p>
    <w:p>
      <w:pPr>
        <w:pStyle w:val="para3"/>
        <w:numPr>
          <w:ilvl w:val="2"/>
          <w:numId w:val="1"/>
        </w:numPr>
        <w:ind w:left="720" w:hanging="720"/>
      </w:pPr>
      <w:bookmarkStart w:id="24" w:name="_TOC000302"/>
      <w:r>
        <w:fldChar w:fldCharType="begin"/>
        <w:instrText xml:space="preserve">XE "Freie Radikale" \G </w:instrText>
        <w:fldChar w:fldCharType="end"/>
        <w:t xml:space="preserve">Freie Radikale, </w:t>
        <w:fldChar w:fldCharType="begin"/>
        <w:instrText xml:space="preserve">XE "oxidativer Stress" \G </w:instrText>
        <w:fldChar w:fldCharType="end"/>
        <w:t xml:space="preserve">oxidativer Stress und </w:t>
        <w:fldChar w:fldCharType="begin"/>
        <w:instrText xml:space="preserve">XE "Antioxidantien" \G </w:instrText>
        <w:fldChar w:fldCharType="end"/>
        <w:t>Antioxidantien</w:t>
      </w:r>
      <w:bookmarkEnd w:id="24"/>
      <w:r/>
    </w:p>
    <w:p>
      <w:r>
        <w:fldChar w:fldCharType="begin"/>
        <w:instrText xml:space="preserve">XE "Freie Radikale" \G </w:instrText>
        <w:fldChar w:fldCharType="end"/>
        <w:t xml:space="preserve">Freie Radikale sind aggressive, reaktionsfreudige Moleküle, die im Körper bei der Verstoffwechselung entstehen und Schäden an Zellen und Geweben verursachen können. </w:t>
      </w:r>
    </w:p>
    <w:p>
      <w:r>
        <w:fldChar w:fldCharType="begin"/>
        <w:instrText xml:space="preserve">XE "oxidativer Stress" \G </w:instrText>
        <w:fldChar w:fldCharType="end"/>
        <w:t xml:space="preserve">Oxidativer Stress entsteht, wenn ein Ungleichgewicht zwischen freien Radikalen und schützenden </w:t>
        <w:fldChar w:fldCharType="begin"/>
        <w:instrText xml:space="preserve">XE "Antioxidantien" \G </w:instrText>
        <w:fldChar w:fldCharType="end"/>
        <w:t xml:space="preserve">Antioxidantien im Körper besteht. </w:t>
      </w:r>
    </w:p>
    <w:p>
      <w:pPr>
        <w:rPr>
          <w:b/>
          <w:bCs/>
        </w:rPr>
      </w:pPr>
      <w:r>
        <w:rPr>
          <w:b/>
          <w:bCs/>
        </w:rPr>
        <w:t>Freie Radikale</w:t>
      </w:r>
      <w:r>
        <w:rPr>
          <w:b/>
          <w:bCs/>
        </w:rPr>
      </w:r>
    </w:p>
    <w:p>
      <w:pPr>
        <w:pStyle w:val="para17"/>
        <w:numPr>
          <w:ilvl w:val="1"/>
          <w:numId w:val="2"/>
        </w:numPr>
        <w:ind w:left="397" w:hanging="197"/>
        <w:spacing w:after="80"/>
      </w:pPr>
      <w:r>
        <w:fldChar w:fldCharType="begin"/>
        <w:instrText xml:space="preserve">XE "Freie Radikale" \G </w:instrText>
        <w:fldChar w:fldCharType="end"/>
        <w:t xml:space="preserve">Freie Radikale sind Moleküle mit einem oder mehreren ungepaarten Elektronen, die sie sehr reaktiv machen. </w:t>
      </w:r>
    </w:p>
    <w:p>
      <w:pPr>
        <w:pStyle w:val="para17"/>
        <w:numPr>
          <w:ilvl w:val="1"/>
          <w:numId w:val="2"/>
        </w:numPr>
        <w:ind w:left="397" w:hanging="197"/>
        <w:spacing w:after="80"/>
      </w:pPr>
      <w:r>
        <w:t xml:space="preserve">Sie entstehen im Körper als natürliche Nebenprodukte des Stoffwechsels, aber auch durch äußere Einflüsse wie UV-Strahlung, Umweltverschmutzung, Rauchen und Stress. </w:t>
      </w:r>
    </w:p>
    <w:p>
      <w:pPr>
        <w:pStyle w:val="para17"/>
        <w:numPr>
          <w:ilvl w:val="1"/>
          <w:numId w:val="2"/>
        </w:numPr>
        <w:ind w:left="397" w:hanging="197"/>
      </w:pPr>
      <w:r>
        <w:t xml:space="preserve">Sie können Zellschäden verursachen, indem sie Elektronen von anderen Molekülen stehlen, was zu Kettenreaktionen und weiterer Schädigung führt. </w:t>
      </w:r>
    </w:p>
    <w:p>
      <w:pPr>
        <w:rPr>
          <w:b/>
          <w:bCs/>
        </w:rPr>
      </w:pPr>
      <w:r>
        <w:rPr>
          <w:b/>
          <w:bCs/>
        </w:rPr>
        <w:fldChar w:fldCharType="begin"/>
        <w:instrText xml:space="preserve">XE "oxidativer Stress" \G </w:instrText>
        <w:fldChar w:fldCharType="end"/>
        <w:t>Oxidativer Stress</w:t>
      </w:r>
      <w:r>
        <w:rPr>
          <w:b/>
          <w:bCs/>
        </w:rPr>
      </w:r>
    </w:p>
    <w:p>
      <w:pPr>
        <w:pStyle w:val="para17"/>
        <w:numPr>
          <w:ilvl w:val="1"/>
          <w:numId w:val="2"/>
        </w:numPr>
        <w:ind w:left="397" w:hanging="197"/>
        <w:spacing w:after="80"/>
      </w:pPr>
      <w:r>
        <w:fldChar w:fldCharType="begin"/>
        <w:instrText xml:space="preserve">XE "oxidativer Stress" \G </w:instrText>
        <w:fldChar w:fldCharType="end"/>
        <w:t xml:space="preserve">Oxidativer Stress tritt auf, wenn die Produktion freier Radikale die antioxidative Kapazität des Körpers übersteigt. </w:t>
      </w:r>
    </w:p>
    <w:p>
      <w:pPr>
        <w:pStyle w:val="para17"/>
        <w:numPr>
          <w:ilvl w:val="1"/>
          <w:numId w:val="2"/>
        </w:numPr>
        <w:ind w:left="397" w:hanging="197"/>
        <w:spacing w:after="80"/>
      </w:pPr>
      <w:r>
        <w:fldChar w:fldCharType="begin"/>
        <w:instrText xml:space="preserve">XE "Antioxidantien" \G </w:instrText>
        <w:fldChar w:fldCharType="end"/>
        <w:t xml:space="preserve">Antioxidantien sind Moleküle, die </w:t>
        <w:fldChar w:fldCharType="begin"/>
        <w:instrText xml:space="preserve">XE "Freie Radikale" \G </w:instrText>
        <w:fldChar w:fldCharType="end"/>
        <w:t xml:space="preserve">freie Radikale neutralisieren und so Schäden verhindern können. </w:t>
      </w:r>
    </w:p>
    <w:p>
      <w:pPr>
        <w:pStyle w:val="para17"/>
        <w:numPr>
          <w:ilvl w:val="1"/>
          <w:numId w:val="2"/>
        </w:numPr>
        <w:ind w:left="397" w:hanging="197"/>
      </w:pPr>
      <w:r>
        <w:t xml:space="preserve">Ein Ungleichgewicht zugunsten freier Radikale kann zu Zellschäden, Entzündungen und verschiedenen Krankheiten führen. </w:t>
      </w:r>
    </w:p>
    <w:p>
      <w:pPr>
        <w:rPr>
          <w:b/>
          <w:bCs/>
        </w:rPr>
      </w:pPr>
      <w:r>
        <w:rPr>
          <w:b/>
          <w:bCs/>
        </w:rPr>
        <w:t>Ursachen für oxidativen Stress</w:t>
      </w:r>
      <w:r>
        <w:rPr>
          <w:b/>
          <w:bCs/>
        </w:rPr>
      </w:r>
    </w:p>
    <w:p>
      <w:pPr>
        <w:pStyle w:val="para17"/>
        <w:numPr>
          <w:ilvl w:val="1"/>
          <w:numId w:val="2"/>
        </w:numPr>
        <w:ind w:left="397" w:hanging="197"/>
        <w:spacing w:after="80"/>
      </w:pPr>
      <w:r>
        <w:t>Innere Faktoren: Entzündungen, Stoffwechselprozesse, Alterung</w:t>
      </w:r>
    </w:p>
    <w:p>
      <w:pPr>
        <w:pStyle w:val="para17"/>
        <w:numPr>
          <w:ilvl w:val="1"/>
          <w:numId w:val="2"/>
        </w:numPr>
        <w:ind w:left="397" w:hanging="197"/>
      </w:pPr>
      <w:r>
        <w:t>Äußere Faktoren: Umweltverschmutzung, UV-Strahlung, Rauchen, ungesunde Ernährung, Stress, Alkohol</w:t>
      </w:r>
    </w:p>
    <w:p>
      <w:pPr>
        <w:rPr>
          <w:b/>
          <w:bCs/>
        </w:rPr>
      </w:pPr>
      <w:r>
        <w:rPr>
          <w:b/>
          <w:bCs/>
        </w:rPr>
        <w:t>Auswirkungen von oxidativem Stress</w:t>
      </w:r>
      <w:r>
        <w:rPr>
          <w:b/>
          <w:bCs/>
        </w:rPr>
      </w:r>
    </w:p>
    <w:p>
      <w:pPr>
        <w:pStyle w:val="para17"/>
        <w:numPr>
          <w:ilvl w:val="1"/>
          <w:numId w:val="2"/>
        </w:numPr>
        <w:ind w:left="397" w:hanging="197"/>
        <w:spacing w:after="80"/>
      </w:pPr>
      <w:r>
        <w:t>Erhöhtes Risiko für Herz-Kreislauf-Erkrankungen, Diabetes, Krebs, neurodegenerative Erkrankungen (z.B. Alzheimer) und Entzündungen</w:t>
      </w:r>
    </w:p>
    <w:p>
      <w:pPr>
        <w:pStyle w:val="para17"/>
        <w:numPr>
          <w:ilvl w:val="1"/>
          <w:numId w:val="2"/>
        </w:numPr>
        <w:ind w:left="397" w:hanging="197"/>
        <w:spacing w:after="80"/>
      </w:pPr>
      <w:r>
        <w:t>Vorzeitige Hautalterung, Falten, Müdigkeit, Konzentrationsprobleme</w:t>
      </w:r>
    </w:p>
    <w:p>
      <w:pPr>
        <w:pStyle w:val="para17"/>
        <w:numPr>
          <w:ilvl w:val="1"/>
          <w:numId w:val="2"/>
        </w:numPr>
        <w:ind w:left="397" w:hanging="197"/>
      </w:pPr>
      <w:r>
        <w:t>Geschwächtes Immunsystem und erhöhte Infektanfälligkeit</w:t>
      </w:r>
    </w:p>
    <w:p>
      <w:pPr>
        <w:rPr>
          <w:b/>
          <w:bCs/>
        </w:rPr>
      </w:pPr>
      <w:r>
        <w:rPr>
          <w:b/>
          <w:bCs/>
        </w:rPr>
        <w:t>Schutz vor oxidativem Stress</w:t>
      </w:r>
      <w:r>
        <w:rPr>
          <w:b/>
          <w:bCs/>
        </w:rPr>
      </w:r>
    </w:p>
    <w:p>
      <w:pPr>
        <w:pStyle w:val="para17"/>
        <w:numPr>
          <w:ilvl w:val="1"/>
          <w:numId w:val="2"/>
        </w:numPr>
        <w:ind w:left="397" w:hanging="197"/>
      </w:pPr>
      <w:r>
        <w:t xml:space="preserve">Antioxidative Ernährung: Obst, Gemüse, Vollkornprodukte, Nüsse, Samen. </w:t>
      </w:r>
      <w:r>
        <w:rPr>
          <w:rFonts w:eastAsia="Cambria" w:cs="Basic Roman"/>
          <w:color w:val="auto"/>
        </w:rPr>
        <w:br w:type="textWrapping"/>
        <w:t>Zu den antioxidativ wirksamen Nährstoffen gehören:</w:t>
      </w:r>
      <w:r/>
    </w:p>
    <w:p>
      <w:pPr>
        <w:pStyle w:val="para17"/>
        <w:numPr>
          <w:ilvl w:val="1"/>
          <w:numId w:val="2"/>
        </w:numPr>
        <w:ind w:left="680" w:hanging="197"/>
      </w:pPr>
      <w:r>
        <w:t>Sekundäre Pflanzenstoffe: z. B. β-Carotin, Lycopin, Flavonoide</w:t>
      </w:r>
    </w:p>
    <w:p>
      <w:pPr>
        <w:pStyle w:val="para17"/>
        <w:numPr>
          <w:ilvl w:val="1"/>
          <w:numId w:val="2"/>
        </w:numPr>
        <w:ind w:left="680" w:hanging="197"/>
      </w:pPr>
      <w:r>
        <w:fldChar w:fldCharType="begin"/>
        <w:instrText xml:space="preserve">XE "Vitamine" \G </w:instrText>
        <w:fldChar w:fldCharType="end"/>
        <w:t>Vitamine: A, B</w:t>
      </w:r>
      <w:r>
        <w:rPr>
          <w:rFonts w:eastAsia="Tahoma"/>
          <w:vertAlign w:val="subscript"/>
          <w:lang w:eastAsia="de-de" w:bidi="de-de"/>
        </w:rPr>
        <w:t>2</w:t>
      </w:r>
      <w:r>
        <w:t>, C und E</w:t>
      </w:r>
    </w:p>
    <w:p>
      <w:pPr>
        <w:pStyle w:val="para17"/>
        <w:numPr>
          <w:ilvl w:val="1"/>
          <w:numId w:val="2"/>
        </w:numPr>
        <w:ind w:left="680" w:hanging="197"/>
      </w:pPr>
      <w:r>
        <w:fldChar w:fldCharType="begin"/>
        <w:instrText xml:space="preserve">XE "Mineralstoffe" \G </w:instrText>
        <w:fldChar w:fldCharType="end"/>
        <w:t xml:space="preserve">Mineralstoffe: </w:t>
        <w:fldChar w:fldCharType="begin"/>
        <w:instrText xml:space="preserve">XE "Zink" \G </w:instrText>
        <w:fldChar w:fldCharType="end"/>
        <w:t xml:space="preserve">Zink und </w:t>
        <w:fldChar w:fldCharType="begin"/>
        <w:instrText xml:space="preserve">XE "Selen" \G </w:instrText>
        <w:fldChar w:fldCharType="end"/>
        <w:t>Selen</w:t>
      </w:r>
    </w:p>
    <w:p>
      <w:pPr>
        <w:pStyle w:val="para17"/>
        <w:numPr>
          <w:ilvl w:val="1"/>
          <w:numId w:val="2"/>
        </w:numPr>
        <w:ind w:left="397" w:hanging="197"/>
      </w:pPr>
      <w:r>
        <w:t>Vermeidung von schädlichen Einflüssen: Rauchen, übermäßiger Alkoholkonsum, übermäßige UV-Strahlung</w:t>
      </w:r>
    </w:p>
    <w:p>
      <w:pPr>
        <w:pStyle w:val="para17"/>
        <w:numPr>
          <w:ilvl w:val="1"/>
          <w:numId w:val="2"/>
        </w:numPr>
        <w:ind w:left="397" w:hanging="197"/>
      </w:pPr>
      <w:r>
        <w:t>Stressmanagement: Entspannungstechniken, ausreichend Schlaf</w:t>
      </w:r>
    </w:p>
    <w:p>
      <w:pPr>
        <w:pStyle w:val="para17"/>
        <w:numPr>
          <w:ilvl w:val="1"/>
          <w:numId w:val="2"/>
        </w:numPr>
        <w:ind w:left="397" w:hanging="197"/>
      </w:pPr>
      <w:r>
        <w:t>Regelmäßige Bewegung fördert antioxidative Enzyme.</w:t>
      </w:r>
    </w:p>
    <w:p>
      <w:pPr>
        <w:pStyle w:val="para3"/>
        <w:numPr>
          <w:ilvl w:val="2"/>
          <w:numId w:val="1"/>
        </w:numPr>
        <w:ind w:left="720" w:hanging="720"/>
      </w:pPr>
      <w:bookmarkStart w:id="25" w:name="_TOC000271"/>
      <w:r>
        <w:t>Anthocyane</w:t>
      </w:r>
      <w:bookmarkEnd w:id="25"/>
      <w:r/>
    </w:p>
    <w:p>
      <w:r>
        <w:t xml:space="preserve">Anthocyane gehören zu den sekundären Pflanzenstoffen und wirken als </w:t>
        <w:fldChar w:fldCharType="begin"/>
        <w:instrText xml:space="preserve">XE "Antioxidantien" \G </w:instrText>
        <w:fldChar w:fldCharType="end"/>
        <w:t xml:space="preserve">Antioxidantien. </w:t>
      </w:r>
    </w:p>
    <w:p>
      <w:r>
        <w:t>Sie können die Zellen vor freien Radikalen schützen.</w:t>
      </w:r>
    </w:p>
    <w:p>
      <w:r>
        <w:t>Anthocyane sind für die roten, blauen und violetten Farben von Obst und Gemüse verantwortlich und haben antioxidative Eigenschaften.</w:t>
      </w:r>
    </w:p>
    <w:p>
      <w:pPr>
        <w:spacing/>
        <w:jc w:val="center"/>
      </w:pPr>
      <w:r>
        <w:rPr>
          <w:noProof/>
        </w:rPr>
        <w:drawing>
          <wp:inline distT="0" distB="0" distL="0" distR="0">
            <wp:extent cx="4238625" cy="1874520"/>
            <wp:effectExtent l="0" t="0" r="0" b="0"/>
            <wp:docPr id="6" name="Grafik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157"/>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GIRAACwBwAAYhEAALAH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AQAAB6IAAAAAAAAAAAAAAQAAAAAAAAAAAAAAAQAAAAAAAAAAAAAAExoAAIgLAAAAAAAAAAAAAAAAAAAoAAAACAAAAAEAAAABAAAAMAAAABQAAAAAAAAAAAD//wAAAQAAAP//AAABAA=="/>
                        </a:ext>
                      </a:extLst>
                    </pic:cNvPicPr>
                  </pic:nvPicPr>
                  <pic:blipFill>
                    <a:blip r:embed="rId40"/>
                    <a:stretch>
                      <a:fillRect/>
                    </a:stretch>
                  </pic:blipFill>
                  <pic:spPr>
                    <a:xfrm>
                      <a:off x="0" y="0"/>
                      <a:ext cx="4238625" cy="1874520"/>
                    </a:xfrm>
                    <a:prstGeom prst="rect">
                      <a:avLst/>
                    </a:prstGeom>
                    <a:noFill/>
                    <a:ln w="12700">
                      <a:noFill/>
                    </a:ln>
                  </pic:spPr>
                </pic:pic>
              </a:graphicData>
            </a:graphic>
          </wp:inline>
        </w:drawing>
      </w:r>
      <w:r/>
    </w:p>
    <w:p>
      <w:r>
        <w:t xml:space="preserve">Es gibt keine offizielle, festgesetzte „tägliche Dosis“ für Anthocyane, </w:t>
      </w:r>
    </w:p>
    <w:p>
      <w:pPr>
        <w:pStyle w:val="para17"/>
        <w:numPr>
          <w:ilvl w:val="1"/>
          <w:numId w:val="2"/>
        </w:numPr>
        <w:ind w:left="397" w:hanging="197"/>
        <w:spacing w:after="80"/>
      </w:pPr>
      <w:r>
        <w:t xml:space="preserve">aber Studien verwenden oft Mengen zwischen 80–160 mg täglich (in standardisierten Extrakten), </w:t>
      </w:r>
    </w:p>
    <w:p>
      <w:pPr>
        <w:pStyle w:val="para17"/>
        <w:numPr>
          <w:ilvl w:val="1"/>
          <w:numId w:val="2"/>
        </w:numPr>
        <w:ind w:left="397" w:hanging="197"/>
        <w:spacing w:after="80"/>
      </w:pPr>
      <w:r>
        <w:t xml:space="preserve">während die durchschnittliche Aufnahme über die Ernährung in Europa eher bei 19–65 mg pro Tag liegt, </w:t>
      </w:r>
    </w:p>
    <w:p>
      <w:pPr>
        <w:pStyle w:val="para17"/>
        <w:numPr>
          <w:ilvl w:val="1"/>
          <w:numId w:val="2"/>
        </w:numPr>
        <w:ind w:left="397" w:hanging="197"/>
        <w:spacing w:after="80"/>
      </w:pPr>
      <w:r>
        <w:t xml:space="preserve">in den USA um die 12,5 mg, </w:t>
      </w:r>
    </w:p>
    <w:p>
      <w:pPr>
        <w:pStyle w:val="para17"/>
        <w:numPr>
          <w:ilvl w:val="1"/>
          <w:numId w:val="2"/>
        </w:numPr>
        <w:ind w:left="397" w:hanging="197"/>
      </w:pPr>
      <w:r>
        <w:t>aber in Deutschland bei nur ca. 2,7 mg.</w:t>
      </w:r>
    </w:p>
    <w:p>
      <w:r>
        <w:t xml:space="preserve">Wichtig ist, Anthocyane über anthocyanreiche Lebensmittel wie Beeren, Trauben, Rotkohl und Auberginen zu beziehen, wobei </w:t>
        <w:fldChar w:fldCharType="begin"/>
        <w:instrText xml:space="preserve">XE "Fett" \G </w:instrText>
        <w:fldChar w:fldCharType="end"/>
        <w:t>Fett die Aufnahme verbessern kann.</w:t>
      </w:r>
    </w:p>
    <w:p>
      <w:r>
        <w:t>Anthocyane sind relativ hitzeempfindlich und können beim Kochen oder Erhitzen teilweise oder ganz abgebaut werden, was zu Farbverlust führt.</w:t>
      </w:r>
    </w:p>
    <w:p>
      <w:r>
        <w:t xml:space="preserve">Ihre Stabilität hängt jedoch stark von anderen Faktoren wie </w:t>
      </w:r>
    </w:p>
    <w:p>
      <w:pPr>
        <w:pStyle w:val="para17"/>
        <w:numPr>
          <w:ilvl w:val="1"/>
          <w:numId w:val="2"/>
        </w:numPr>
        <w:ind w:left="397" w:hanging="197"/>
        <w:spacing w:after="80"/>
      </w:pPr>
      <w:r>
        <w:t xml:space="preserve">dem pH-Wert (sauer ist stabiler), </w:t>
      </w:r>
    </w:p>
    <w:p>
      <w:pPr>
        <w:pStyle w:val="para17"/>
        <w:numPr>
          <w:ilvl w:val="1"/>
          <w:numId w:val="2"/>
        </w:numPr>
        <w:ind w:left="397" w:hanging="197"/>
        <w:spacing w:after="80"/>
      </w:pPr>
      <w:r>
        <w:t xml:space="preserve">der Art des Lebensmittels (z.B. Rotkohl-Anthocyane sind widerstandsfähiger) und </w:t>
      </w:r>
    </w:p>
    <w:p>
      <w:pPr>
        <w:pStyle w:val="para17"/>
        <w:numPr>
          <w:ilvl w:val="1"/>
          <w:numId w:val="2"/>
        </w:numPr>
        <w:ind w:left="397" w:hanging="197"/>
      </w:pPr>
      <w:r>
        <w:t xml:space="preserve">der Dauer der Hitzebehandlung ab. </w:t>
      </w:r>
    </w:p>
    <w:p>
      <w:pPr>
        <w:pStyle w:val="para2"/>
        <w:numPr>
          <w:ilvl w:val="1"/>
          <w:numId w:val="1"/>
        </w:numPr>
        <w:ind w:left="576" w:hanging="576"/>
      </w:pPr>
      <w:r>
        <w:br w:type="page"/>
      </w:r>
      <w:bookmarkStart w:id="26" w:name="_TOC000305"/>
      <w:r>
        <w:t>Problemstoffe im Getreide</w:t>
      </w:r>
      <w:bookmarkEnd w:id="20"/>
      <w:r/>
      <w:bookmarkEnd w:id="19"/>
      <w:r/>
      <w:bookmarkEnd w:id="26"/>
      <w:r/>
    </w:p>
    <w:p>
      <w:r>
        <w:t xml:space="preserve">Neben der Tatsache, dass Getreide nur kurzfristig satt macht, enthält Getreide Problemstoffe, die unseren Körper schädigen. Diese sind: </w:t>
        <w:fldChar w:fldCharType="begin"/>
        <w:instrText xml:space="preserve">XE "Lektine" \G </w:instrText>
        <w:fldChar w:fldCharType="end"/>
        <w:t xml:space="preserve">Lektine, </w:t>
        <w:fldChar w:fldCharType="begin"/>
        <w:instrText xml:space="preserve">XE "Phytinsäure" \G </w:instrText>
        <w:fldChar w:fldCharType="end"/>
        <w:t xml:space="preserve">Phytinsäure und </w:t>
        <w:fldChar w:fldCharType="begin"/>
        <w:instrText xml:space="preserve">XE "Gluten" \G </w:instrText>
        <w:fldChar w:fldCharType="end"/>
        <w:t>Gluten. Diese Stoffe sind dafür verantwortlich, dass Getreide Stress, Entzündungen sowie eine verschlechterte Stoffwechsellage im Körper hervorruft.</w:t>
      </w:r>
    </w:p>
    <w:p>
      <w:pPr>
        <w:pStyle w:val="para3"/>
        <w:numPr>
          <w:ilvl w:val="2"/>
          <w:numId w:val="1"/>
        </w:numPr>
        <w:ind w:left="720" w:hanging="720"/>
      </w:pPr>
      <w:bookmarkStart w:id="27" w:name="_TOC000053"/>
      <w:r>
        <w:fldChar w:fldCharType="begin"/>
        <w:instrText xml:space="preserve">XE "Lektine" \G </w:instrText>
        <w:fldChar w:fldCharType="end"/>
        <w:t>Lektine</w:t>
      </w:r>
      <w:bookmarkEnd w:id="27"/>
      <w:r/>
    </w:p>
    <w:p>
      <w:pPr>
        <w:ind w:left="737" w:hanging="737"/>
        <w:spacing/>
        <w:jc w:val="left"/>
        <w:rPr>
          <w:sz w:val="16"/>
          <w:szCs w:val="16"/>
        </w:rPr>
      </w:pPr>
      <w:r>
        <w:rPr>
          <w:sz w:val="16"/>
          <w:szCs w:val="16"/>
        </w:rPr>
        <w:t>Quellen:</w:t>
        <w:tab/>
      </w:r>
      <w:hyperlink r:id="rId41" w:history="1">
        <w:r>
          <w:rPr>
            <w:rStyle w:val="char20"/>
            <w:sz w:val="16"/>
            <w:szCs w:val="16"/>
          </w:rPr>
          <w:t>https://www.ages.at/mensch/ernaehrung-lebensmittel/rueckstaende-kontaminanten-von-a-bis-z/</w:t>
          <w:fldChar w:fldCharType="begin"/>
          <w:instrText xml:space="preserve">XE "Lektine" \G </w:instrText>
          <w:fldChar w:fldCharType="end"/>
          <w:t>lektine</w:t>
        </w:r>
      </w:hyperlink>
      <w:r>
        <w:rPr>
          <w:sz w:val="16"/>
          <w:szCs w:val="16"/>
        </w:rPr>
        <w:t>, 16.07.2025</w:t>
      </w:r>
      <w:r>
        <w:rPr>
          <w:sz w:val="16"/>
          <w:szCs w:val="16"/>
        </w:rPr>
        <w:br w:type="textWrapping"/>
        <w:t>Feil &amp; Feil: Die F-AS-T Formel, 2014, Seite 20 - 22</w:t>
      </w:r>
      <w:r>
        <w:rPr>
          <w:sz w:val="16"/>
          <w:szCs w:val="16"/>
        </w:rPr>
      </w:r>
    </w:p>
    <w:p>
      <w:r>
        <w:fldChar w:fldCharType="begin"/>
        <w:instrText xml:space="preserve">XE "Lektine" \G </w:instrText>
        <w:fldChar w:fldCharType="end"/>
        <w:t xml:space="preserve">Lektine sind natürliche Inhaltsstoffe von Pflanzen, Pilzen und Tieren. Sie dienen Pflanzen als Schutz vor Krankheiten und Schädlingen. </w:t>
        <w:fldChar w:fldCharType="begin"/>
        <w:instrText xml:space="preserve">XE "Lektine" \G </w:instrText>
        <w:fldChar w:fldCharType="end"/>
        <w:t>Lektine sind daher auch in Lebensmitteln wie z. B. Hülsenfrüchten, Vollkorngetreide und Gemüse enthalten. Hülsenfrüchte wie Bohnen, Kidneybohnen, Sojabohnen, Erbsen, Kichererbsen und Linsen haben den höchsten Lektingehalt. Durch Einweichen und ausreichend Kochen wird der Lektingehalt stark reduziert.</w:t>
      </w:r>
    </w:p>
    <w:p>
      <w:r>
        <w:t xml:space="preserve">Werden </w:t>
        <w:fldChar w:fldCharType="begin"/>
        <w:instrText xml:space="preserve">XE "Lektine" \G </w:instrText>
        <w:fldChar w:fldCharType="end"/>
        <w:t>Lektine in hohen Mengen aufgenommen, z. B. wenn man nicht ausreichend gekochte Bohnen isst, können sie zu Vergiftungserscheinungen mit Übelkeit, Magenschmerzen, Erbrechen und Durchfall führen.</w:t>
      </w:r>
    </w:p>
    <w:p>
      <w:r>
        <w:t>Um den Lektingehalt in Lebensmitteln zu reduzieren, gibt es folgende Möglichkeiten:</w:t>
      </w:r>
    </w:p>
    <w:p>
      <w:pPr>
        <w:pStyle w:val="para17"/>
        <w:numPr>
          <w:ilvl w:val="1"/>
          <w:numId w:val="2"/>
        </w:numPr>
        <w:ind w:left="397" w:hanging="197"/>
      </w:pPr>
      <w:r>
        <w:rPr>
          <w:b/>
          <w:bCs/>
        </w:rPr>
        <w:t>Einweichen:</w:t>
      </w:r>
      <w:r>
        <w:t xml:space="preserve"> Hülsenfrüchte wie Kichererbsen, Linsen und Bohnen sollten mindestens 12 Stunden eingeweicht und anschließend gründlich gespült werden.</w:t>
      </w:r>
    </w:p>
    <w:p>
      <w:pPr>
        <w:pStyle w:val="para17"/>
        <w:numPr>
          <w:ilvl w:val="1"/>
          <w:numId w:val="2"/>
        </w:numPr>
        <w:ind w:left="397" w:hanging="197"/>
      </w:pPr>
      <w:r>
        <w:rPr>
          <w:b/>
          <w:bCs/>
        </w:rPr>
        <w:t>Kochen:</w:t>
      </w:r>
      <w:r>
        <w:t xml:space="preserve"> </w:t>
        <w:fldChar w:fldCharType="begin"/>
        <w:instrText xml:space="preserve">XE "Lektine" \G </w:instrText>
        <w:fldChar w:fldCharType="end"/>
        <w:t xml:space="preserve">Lektine werden durch hohe Temperaturen zerstört. Keinen Schongarer benutzen. Kochen im Topf funktioniert. Ein Schnellkochtopf wird 120 Grad heiß und gilt als besonders sicher. Hitzestabile </w:t>
        <w:fldChar w:fldCharType="begin"/>
        <w:instrText xml:space="preserve">XE "Lektine" \G </w:instrText>
        <w:fldChar w:fldCharType="end"/>
        <w:t>Lektine sind selten. Sie finden sich zum Beispiel im Weizenkeim und in sehr geringer Menge auch in Kartoffeln oder Tomaten. Hülsenfrüchte aus Konserven sind übrigens bereits vorgekocht.</w:t>
      </w:r>
    </w:p>
    <w:p>
      <w:pPr>
        <w:pStyle w:val="para17"/>
        <w:numPr>
          <w:ilvl w:val="1"/>
          <w:numId w:val="2"/>
        </w:numPr>
        <w:ind w:left="397" w:hanging="197"/>
      </w:pPr>
      <w:r>
        <w:rPr>
          <w:b/>
          <w:bCs/>
        </w:rPr>
        <w:t>Fermentieren:</w:t>
      </w:r>
      <w:r>
        <w:t xml:space="preserve"> Fermentation (Gärung) baut </w:t>
        <w:fldChar w:fldCharType="begin"/>
        <w:instrText xml:space="preserve">XE "Lektine" \G </w:instrText>
        <w:fldChar w:fldCharType="end"/>
        <w:t>Lektine ab und macht Lebensmittel bekömmlicher. Auch lange Ruhezeiten bei Brotteigen, wie beim Sauerteigbrot wirken so.</w:t>
      </w:r>
    </w:p>
    <w:p>
      <w:pPr>
        <w:pStyle w:val="para17"/>
        <w:numPr>
          <w:ilvl w:val="1"/>
          <w:numId w:val="2"/>
        </w:numPr>
        <w:ind w:left="397" w:hanging="197"/>
      </w:pPr>
      <w:r>
        <w:rPr>
          <w:b/>
          <w:bCs/>
        </w:rPr>
        <w:t>Keimen:</w:t>
      </w:r>
      <w:r>
        <w:t xml:space="preserve"> Das Keimen von Samen und Getreide reduziert den Lektinanteil.</w:t>
      </w:r>
    </w:p>
    <w:p>
      <w:pPr>
        <w:pStyle w:val="para17"/>
        <w:numPr>
          <w:ilvl w:val="1"/>
          <w:numId w:val="2"/>
        </w:numPr>
        <w:ind w:left="397" w:hanging="197"/>
      </w:pPr>
      <w:r>
        <w:rPr>
          <w:b/>
          <w:bCs/>
        </w:rPr>
        <w:t>Schälen:</w:t>
      </w:r>
      <w:r>
        <w:t xml:space="preserve"> Die äußere Schale von Kartoffeln oder Hülsenfrüchten entfernen. Geschältes Getreide verwenden. Weißmehl hat deutlich weniger </w:t>
        <w:fldChar w:fldCharType="begin"/>
        <w:instrText xml:space="preserve">XE "Lektine" \G </w:instrText>
        <w:fldChar w:fldCharType="end"/>
        <w:t>Lektine als Vollkorn.</w:t>
      </w:r>
    </w:p>
    <w:p>
      <w:pPr>
        <w:pStyle w:val="para17"/>
        <w:numPr>
          <w:ilvl w:val="1"/>
          <w:numId w:val="2"/>
        </w:numPr>
        <w:ind w:left="397" w:hanging="197"/>
      </w:pPr>
      <w:r>
        <w:t>Hülsenfrüchte aus Dosen verwenden, sie sind bereits vorgekocht.</w:t>
      </w:r>
    </w:p>
    <w:p>
      <w:r>
        <w:fldChar w:fldCharType="begin"/>
        <w:instrText xml:space="preserve">XE "Lektine" \G </w:instrText>
        <w:fldChar w:fldCharType="end"/>
        <w:t>Lektine können beim Menschen an körpereigene Strukturen andocken und diese schädigen. Das Weizenlektin, das Roggenlektin und das Lektin der Kidneybohne sind besonders aggressiv und dazu noch hitzestabil, während viele Gemüselektine völlig harmlos sind und meist durch Kochvorgänge abgebaut werden. Weizenlektine hingegen werden weder durch Säuerung noch Erhitzen noch Verdauung abgebaut. Deshalb sind auch die früheren Empfehlungen, Sportler sollten regelmäßig mineral- und spurenelementreiche Weizen- oder Roggenkeime essen, im Lichte der Lektinforschung überholt, da besonders Weizen- und Roggenkeime einen extrem hohen und schädlichen Lektingehalt aufweisen.</w:t>
      </w:r>
    </w:p>
    <w:p>
      <w:r>
        <w:t xml:space="preserve">Wenn die Weizen- oder Roggenlektine ins Blut gelangen, können sie sich im ganzen Körper verbreiten und sich an Organe anheften. Dagegen wehrt sich der Körper, greift die </w:t>
        <w:fldChar w:fldCharType="begin"/>
        <w:instrText xml:space="preserve">XE "Lektine" \G </w:instrText>
        <w:fldChar w:fldCharType="end"/>
        <w:t xml:space="preserve">Lektine an und damit auch körpereigenes Gewebe. Es kommt zu Entzündungen, das Risiko für Krankheiten wie </w:t>
        <w:fldChar w:fldCharType="begin"/>
        <w:instrText xml:space="preserve">XE "Arthrose" \G </w:instrText>
        <w:fldChar w:fldCharType="end"/>
        <w:t xml:space="preserve">Arthrose, Rheuma, Alzheimer, Herzinfarkt, MS, Diabetes, Krebs und Autoimmunerkrankungen steigt. </w:t>
      </w:r>
    </w:p>
    <w:p>
      <w:r>
        <w:t xml:space="preserve">Die höhere Entzündungsneigung durch Weizen und Roggen kann man heute auch am Herz messen: die </w:t>
      </w:r>
      <w:r>
        <w:rPr>
          <w:b/>
          <w:bCs/>
        </w:rPr>
        <w:t>Herzratenvariabilität</w:t>
      </w:r>
      <w:r>
        <w:t xml:space="preserve"> wird kleiner, was als Stressreaktion des Körpers anzusehen ist. Das bedeutet eine längere Regenerationszeit für den Sportler.</w:t>
      </w:r>
      <w:bookmarkStart w:id="28" w:name="_TOC000054"/>
      <w:r/>
    </w:p>
    <w:p>
      <w:pPr>
        <w:ind w:left="340" w:right="279"/>
        <w:spacing/>
        <w:jc w:val="left"/>
        <w:pBdr>
          <w:top w:val="single" w:sz="4" w:space="3" w:color="000000" tmln="10, 20, 20, 0, 60"/>
          <w:left w:val="single" w:sz="4" w:space="3" w:color="000000" tmln="10, 20, 20, 0, 60"/>
          <w:bottom w:val="single" w:sz="4" w:space="3" w:color="000000" tmln="10, 20, 20, 0, 60"/>
          <w:right w:val="single" w:sz="4" w:space="3" w:color="000000" tmln="10, 20, 20, 0, 60"/>
          <w:between w:val="nil" w:sz="0" w:space="0" w:color="000000" tmln="20, 20, 20, 0, 0"/>
        </w:pBdr>
        <w:shd w:val="none"/>
      </w:pPr>
      <w:r>
        <w:t xml:space="preserve">Die </w:t>
      </w:r>
      <w:r>
        <w:rPr>
          <w:b/>
          <w:bCs/>
        </w:rPr>
        <w:t>Herzratenvariabilität</w:t>
      </w:r>
      <w:r>
        <w:t xml:space="preserve"> (HRV), auch Herzfrequenzvariabilität genannt, ist ein Maß für die Schwankungen im Zeitabstand zwischen aufeinanderfolgenden Herzschlägen.</w:t>
      </w:r>
    </w:p>
    <w:p>
      <w:pPr>
        <w:ind w:left="340" w:right="279"/>
        <w:spacing/>
        <w:jc w:val="left"/>
        <w:pBdr>
          <w:top w:val="single" w:sz="4" w:space="3" w:color="000000" tmln="10, 20, 20, 0, 60"/>
          <w:left w:val="single" w:sz="4" w:space="3" w:color="000000" tmln="10, 20, 20, 0, 60"/>
          <w:bottom w:val="single" w:sz="4" w:space="3" w:color="000000" tmln="10, 20, 20, 0, 60"/>
          <w:right w:val="single" w:sz="4" w:space="3" w:color="000000" tmln="10, 20, 20, 0, 60"/>
          <w:between w:val="nil" w:sz="0" w:space="0" w:color="000000" tmln="20, 20, 20, 0, 0"/>
        </w:pBdr>
        <w:shd w:val="none"/>
      </w:pPr>
      <w:r>
        <w:t>Ein gesundes Herz schlägt nicht mit einem starren, gleichmäßigen Rhythmus, sondern passt seine Frequenz ständig an innere und äußere Reize an.</w:t>
      </w:r>
    </w:p>
    <w:p>
      <w:pPr>
        <w:ind w:left="340" w:right="279"/>
        <w:spacing w:after="0" w:line="240" w:lineRule="auto"/>
        <w:jc w:val="left"/>
        <w:pBdr>
          <w:top w:val="single" w:sz="4" w:space="3" w:color="000000" tmln="10, 20, 20, 0, 60"/>
          <w:left w:val="single" w:sz="4" w:space="3" w:color="000000" tmln="10, 20, 20, 0, 60"/>
          <w:bottom w:val="single" w:sz="4" w:space="3" w:color="000000" tmln="10, 20, 20, 0, 60"/>
          <w:right w:val="single" w:sz="4" w:space="3" w:color="000000" tmln="10, 20, 20, 0, 60"/>
          <w:between w:val="nil" w:sz="0" w:space="0" w:color="000000" tmln="20, 20, 20, 0, 0"/>
        </w:pBdr>
        <w:shd w:val="none"/>
      </w:pPr>
      <w:r>
        <w:t>Die HRV ist ein Indikator für die Flexibilität und Anpassungsfähigkeit des Herz-Kreislauf-Systems.</w:t>
      </w:r>
    </w:p>
    <w:p>
      <w:pPr>
        <w:pStyle w:val="para4"/>
        <w:numPr>
          <w:ilvl w:val="3"/>
          <w:numId w:val="1"/>
        </w:numPr>
        <w:ind w:left="1077" w:hanging="1077"/>
      </w:pPr>
      <w:bookmarkStart w:id="29" w:name="_TOC000243"/>
      <w:r>
        <w:fldChar w:fldCharType="begin"/>
        <w:instrText xml:space="preserve">XE "Lektine" \G </w:instrText>
        <w:fldChar w:fldCharType="end"/>
        <w:t>Lektine schwächen den Darm und das Immunsystem</w:t>
      </w:r>
      <w:bookmarkEnd w:id="28"/>
      <w:r/>
      <w:bookmarkEnd w:id="29"/>
      <w:r/>
    </w:p>
    <w:p>
      <w:r>
        <w:rPr>
          <w:noProof/>
        </w:rPr>
        <mc:AlternateContent>
          <mc:Choice Requires="wps">
            <w:drawing>
              <wp:anchor distT="107950" distB="107950" distL="144145" distR="0" simplePos="0" relativeHeight="251658308" behindDoc="0" locked="0" layoutInCell="0" hidden="0" allowOverlap="1">
                <wp:simplePos x="0" y="0"/>
                <wp:positionH relativeFrom="column">
                  <wp:posOffset>2975610</wp:posOffset>
                </wp:positionH>
                <wp:positionV relativeFrom="paragraph">
                  <wp:posOffset>300990</wp:posOffset>
                </wp:positionV>
                <wp:extent cx="2798445" cy="1538605"/>
                <wp:effectExtent l="6350" t="6350" r="6350" b="6350"/>
                <wp:wrapSquare wrapText="bothSides"/>
                <wp:docPr id="68" name="Textbox18"/>
                <wp:cNvGraphicFramePr/>
                <a:graphic xmlns:a="http://schemas.openxmlformats.org/drawingml/2006/main">
                  <a:graphicData uri="http://schemas.microsoft.com/office/word/2010/wordprocessingShape">
                    <wps:wsp>
                      <wps:cNvSpPr txBox="1">
                        <a:codePr string="" type="161218559" text="1"/>
                        <a:extLst>
                          <a:ext uri="sm">
                            <sm:smNativeData xmlns:sm="sm" val="SMDATA_15_E0dOaRMAAAAlAAAAEgAAAA0AAAAAtAAAALQAAAC0AAAAt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HgAAAOwHAABqIwAA0Tc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N4BAAAAogAAAAAAAAAAAAAAAAAAAgAAAE4SAAABAAAAAgAAANoBAAA3EQAAdwkAABgAAwAOGgAAjxUAACgAAAAIAAAAAQAAAAIAAAAwAAAAFAAAAAAAAAAAAP//AAABAAAA//8AAAEA"/>
                          </a:ext>
                        </a:extLst>
                      </wps:cNvSpPr>
                      <wps:spPr>
                        <a:xfrm>
                          <a:off x="0" y="0"/>
                          <a:ext cx="2798445" cy="1538605"/>
                        </a:xfrm>
                        <a:prstGeom prst="rect">
                          <a:avLst/>
                        </a:prstGeom>
                        <a:noFill/>
                        <a:ln w="6350">
                          <a:solidFill>
                            <a:srgbClr val="000000"/>
                          </a:solidFill>
                        </a:ln>
                      </wps:spPr>
                      <wps:txbx>
                        <w:txbxContent>
                          <w:p>
                            <w:pPr>
                              <w:spacing w:after="0"/>
                              <w:jc w:val="left"/>
                            </w:pPr>
                            <w:r>
                              <w:rPr>
                                <w:b/>
                                <w:bCs/>
                              </w:rPr>
                              <w:t>Mikrovilli</w:t>
                            </w:r>
                            <w:r>
                              <w:t xml:space="preserve"> sind fadenförmige, fingerartige Ausstülpungen der Zellmembran, die hauptsächlich zur Oberflächenvergrößerung von Zellen dienen und so den Stoffaustausch verbessern. Sie sind typisch für Epithelzellen, z.B. im Dünndarm oder in den Nierenkanälchen.</w:t>
                            </w:r>
                          </w:p>
                        </w:txbxContent>
                      </wps:txbx>
                      <wps:bodyPr spcFirstLastPara="1" vertOverflow="clip" horzOverflow="clip" lIns="114300" tIns="114300" rIns="114300" bIns="114300" upright="1">
                        <a:prstTxWarp prst="textNoShape">
                          <a:avLst/>
                        </a:prstTxWarp>
                        <a:spAutoFit/>
                      </wps:bodyPr>
                    </wps:wsp>
                  </a:graphicData>
                </a:graphic>
              </wp:anchor>
            </w:drawing>
          </mc:Choice>
          <mc:Fallback>
            <w:pict>
              <v:shape id="Textbox18" o:spid="_x0000_s1028" type="#_x0000_t202" style="position:absolute;margin-left:234.30pt;margin-top:23.70pt;width:220.35pt;height:121.15pt;z-index:251658308;mso-wrap-distance-left:11.35pt;mso-wrap-distance-top:8.50pt;mso-wrap-distance-right:0.00pt;mso-wrap-distance-bottom:8.50pt;mso-wrap-style:square" strokeweight="0.50pt" filled="f" v:ext="SMDATA_15_E0dOaRMAAAAlAAAAEgAAAA0AAAAAtAAAALQAAAC0AAAAt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HgAAAOwHAABqIwAA0Tc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N4BAAAAogAAAAAAAAAAAAAAAAAAAgAAAE4SAAABAAAAAgAAANoBAAA3EQAAdwkAABgAAwAOGgAAjxUAACgAAAAIAAAAAQAAAAIAAAAwAAAAFAAAAAAAAAAAAP//AAABAAAA//8AAAEA" o:insetmode="custom">
                <w10:wrap type="square" anchorx="text" anchory="text"/>
                <v:textbox style="mso-fit-shape-to-text:t" inset="9.0pt,9.0pt,9.0pt,9.0pt">
                  <w:txbxContent>
                    <w:p>
                      <w:pPr>
                        <w:spacing w:after="0"/>
                        <w:jc w:val="left"/>
                      </w:pPr>
                      <w:r>
                        <w:rPr>
                          <w:b/>
                          <w:bCs/>
                        </w:rPr>
                        <w:t>Mikrovilli</w:t>
                      </w:r>
                      <w:r>
                        <w:t xml:space="preserve"> sind fadenförmige, fingerartige Ausstülpungen der Zellmembran, die hauptsächlich zur Oberflächenvergrößerung von Zellen dienen und so den Stoffaustausch verbessern. Sie sind typisch für Epithelzellen, z.B. im Dünndarm oder in den Nierenkanälchen.</w:t>
                      </w:r>
                    </w:p>
                  </w:txbxContent>
                </v:textbox>
              </v:shape>
            </w:pict>
          </mc:Fallback>
        </mc:AlternateContent>
      </w:r>
      <w:r>
        <w:t xml:space="preserve">Weizen- und Roggenlektine verändern auch die Struktur der Immunzellen und schwächen so den Schutz vor Krankheitserregern. Außerdem schädigen sie die sogenannten </w:t>
      </w:r>
      <w:r>
        <w:rPr>
          <w:b/>
          <w:bCs/>
        </w:rPr>
        <w:t>Mikrovilli</w:t>
      </w:r>
      <w:r>
        <w:t>, mit denen die Nährstoffe im Darm aufgenommen werden. Sind die geschädigt, nimmt der Darm weniger Nährstoffe auf. Außerdem führt ein hoher Getreidekonsum generell zu einem niedrigen Vitamin-D-Spiegel. Vitamin D aber spielt eine wichtige Rolle für ein starkes Immunsystem.</w:t>
      </w:r>
    </w:p>
    <w:p>
      <w:r>
        <w:t>Wenn du im Winter also öfters krank bist, solltest du deinen Verzehr von Getreide, besonders von Weizen und Roggen, deutlich verringern.</w:t>
      </w:r>
    </w:p>
    <w:p>
      <w:pPr>
        <w:pStyle w:val="para4"/>
        <w:numPr>
          <w:ilvl w:val="3"/>
          <w:numId w:val="1"/>
        </w:numPr>
        <w:ind w:left="1077" w:hanging="1077"/>
      </w:pPr>
      <w:bookmarkStart w:id="30" w:name="_TOC000205"/>
      <w:r>
        <w:fldChar w:fldCharType="begin"/>
        <w:instrText xml:space="preserve">XE "Lektine" \G </w:instrText>
        <w:fldChar w:fldCharType="end"/>
        <w:t>Lektine stören den Muskelaufbau</w:t>
      </w:r>
      <w:bookmarkEnd w:id="30"/>
      <w:r/>
    </w:p>
    <w:p>
      <w:r>
        <w:t>Für sportliche Höchstleistung brauchst du eine gut ausgebildete Muskulatur und eine gute hormonelle Regeneration. Da die Weizen- und Roggenlektine auch den Muskelaufbau und die hormonelle Regeneration negativ beeinflussen, sollten Sportler, aber auch ältere Menschen, ihren Weizen- und Roggenkonsum deutlich verringern.</w:t>
      </w:r>
    </w:p>
    <w:p>
      <w:pPr>
        <w:pStyle w:val="para4"/>
        <w:numPr>
          <w:ilvl w:val="3"/>
          <w:numId w:val="1"/>
        </w:numPr>
        <w:ind w:left="1077" w:hanging="1077"/>
      </w:pPr>
      <w:bookmarkStart w:id="31" w:name="_TOC000055"/>
      <w:r>
        <w:fldChar w:fldCharType="begin"/>
        <w:instrText xml:space="preserve">XE "Lektine" \G </w:instrText>
        <w:fldChar w:fldCharType="end"/>
        <w:t>Lektine machen langsam</w:t>
      </w:r>
      <w:bookmarkEnd w:id="31"/>
      <w:r/>
    </w:p>
    <w:p>
      <w:r>
        <w:fldChar w:fldCharType="begin"/>
        <w:instrText xml:space="preserve">XE "Lektine" \G </w:instrText>
        <w:fldChar w:fldCharType="end"/>
        <w:t>Lektine haben die Fähigkeit, sich auch an rote Blutkörperchen zu binden. Damit wird die Sauerstofftransportkapazität verringert. Dann kannst du keine 100 % Leistung mehr bringen. Du fühlst dich auch im Alltag kraftlos.</w:t>
      </w:r>
    </w:p>
    <w:p>
      <w:pPr>
        <w:pStyle w:val="para4"/>
        <w:numPr>
          <w:ilvl w:val="3"/>
          <w:numId w:val="1"/>
        </w:numPr>
        <w:ind w:left="1077" w:hanging="1077"/>
      </w:pPr>
      <w:bookmarkStart w:id="32" w:name="_TOC000056"/>
      <w:r>
        <w:fldChar w:fldCharType="begin"/>
        <w:instrText xml:space="preserve">XE "Lektine" \G </w:instrText>
        <w:fldChar w:fldCharType="end"/>
        <w:t>Lektine greifen Gelenkstrukturen an</w:t>
      </w:r>
      <w:bookmarkEnd w:id="32"/>
      <w:r/>
    </w:p>
    <w:p>
      <w:r>
        <w:fldChar w:fldCharType="begin"/>
        <w:instrText xml:space="preserve">XE "Lektine" \G </w:instrText>
        <w:fldChar w:fldCharType="end"/>
        <w:t>Lektine binden sich an das körpereigene Acetyl-Glucosamin, das zum Aufbau von Gelenkstrukturen (Knorpel) im Körper gebraucht wird. Das Acetyl-Glucosamin kann so nicht mehr genutzt werden. Es kommt zu Gelenkproblemen, und die Gefahr für Verletzungen steigt. Auch wer ein Glucosaminpräparat nimmt, sollte seinen Weizen- und Roggenkonsum einschränken, damit dieser Knorpelnährstoff komplett zum Aufbau von neuem Knorpel genutzt werden kann.</w:t>
      </w:r>
    </w:p>
    <w:p>
      <w:bookmarkStart w:id="33" w:name="_TOC000057"/>
      <w:r/>
      <w:bookmarkEnd w:id="33"/>
      <w:r/>
      <w:bookmarkStart w:id="34" w:name="_TOC000208"/>
      <w:r/>
      <w:bookmarkStart w:id="35" w:name="_TOC000207"/>
      <w:r/>
    </w:p>
    <w:p>
      <w:pPr>
        <w:pStyle w:val="para4"/>
        <w:numPr>
          <w:ilvl w:val="3"/>
          <w:numId w:val="1"/>
        </w:numPr>
        <w:ind w:left="1077" w:hanging="1077"/>
      </w:pPr>
      <w:r>
        <w:br w:type="page"/>
      </w:r>
      <w:bookmarkStart w:id="36" w:name="_TOC000247"/>
      <w:r>
        <w:fldChar w:fldCharType="begin"/>
        <w:instrText xml:space="preserve">XE "Lektine" \G </w:instrText>
        <w:fldChar w:fldCharType="end"/>
        <w:t>Lektine Lebensmittel-Liste</w:t>
      </w:r>
      <w:bookmarkEnd w:id="35"/>
      <w:r/>
      <w:bookmarkEnd w:id="36"/>
      <w:r/>
    </w:p>
    <w:p>
      <w:pPr>
        <w:spacing/>
        <w:jc w:val="left"/>
        <w:rPr>
          <w:rFonts w:eastAsia="Tahoma" w:cs="Tahoma"/>
          <w:kern w:val="1"/>
        </w:rPr>
      </w:pPr>
      <w:r>
        <w:rPr>
          <w:rFonts w:eastAsia="Tahoma" w:cs="Tahoma"/>
          <w:kern w:val="1"/>
        </w:rPr>
        <w:t xml:space="preserve">Diese Liste zeigt Lebensmittel, die wenig </w:t>
        <w:fldChar w:fldCharType="begin"/>
        <w:instrText xml:space="preserve">XE "Lektine" \G </w:instrText>
        <w:fldChar w:fldCharType="end"/>
        <w:t xml:space="preserve">Lektine haben oder lektinfrei sind und lektinhaltige Lebensmittel in der Übersicht. </w:t>
      </w:r>
      <w:r>
        <w:rPr>
          <w:rFonts w:eastAsia="Tahoma" w:cs="Tahoma"/>
          <w:kern w:val="1"/>
        </w:rPr>
      </w:r>
    </w:p>
    <w:p>
      <w:pPr>
        <w:spacing/>
        <w:jc w:val="left"/>
        <w:rPr>
          <w:rFonts w:eastAsia="Tahoma" w:cs="Tahoma"/>
          <w:kern w:val="1"/>
        </w:rPr>
      </w:pPr>
      <w:r>
        <w:rPr>
          <w:rFonts w:eastAsia="Tahoma" w:cs="Tahoma"/>
          <w:kern w:val="1"/>
        </w:rPr>
        <w:t xml:space="preserve">Quelle: </w:t>
      </w:r>
      <w:hyperlink r:id="rId42" w:history="1">
        <w:r>
          <w:rPr>
            <w:rStyle w:val="char20"/>
            <w:rFonts w:eastAsia="Tahoma" w:cs="Tahoma"/>
            <w:kern w:val="1"/>
          </w:rPr>
          <w:t>https://www.kochenohne.de/</w:t>
          <w:fldChar w:fldCharType="begin"/>
          <w:instrText xml:space="preserve">XE "Lektine" \G </w:instrText>
          <w:fldChar w:fldCharType="end"/>
          <w:t>lektine-lebensmittel/</w:t>
        </w:r>
      </w:hyperlink>
      <w:r>
        <w:rPr>
          <w:rFonts w:eastAsia="Tahoma" w:cs="Tahoma"/>
          <w:kern w:val="1"/>
        </w:rPr>
        <w:t>, 05.09.2025</w:t>
      </w:r>
      <w:r>
        <w:rPr>
          <w:rFonts w:eastAsia="Tahoma" w:cs="Tahoma"/>
          <w:kern w:val="1"/>
        </w:rPr>
      </w:r>
    </w:p>
    <w:p>
      <w:pPr>
        <w:rPr>
          <w:rFonts w:eastAsia="Tahoma" w:cs="Tahoma"/>
          <w:b/>
          <w:bCs/>
          <w:color w:val="007f7f"/>
          <w:kern w:val="1"/>
          <w:sz w:val="18"/>
          <w:szCs w:val="18"/>
        </w:rPr>
      </w:pPr>
      <w:r/>
      <w:bookmarkStart w:id="37" w:name="Textbox24"/>
      <w:r/>
      <w:r>
        <w:rPr>
          <w:rFonts w:ascii="Cambria" w:hAnsi="Cambria"/>
          <w:sz w:val="24"/>
          <w:szCs w:val="24"/>
        </w:rPr>
      </w:r>
      <w:r>
        <w:rPr>
          <w:rFonts w:ascii="Cambria" w:hAnsi="Cambria"/>
          <w:sz w:val="24"/>
          <w:szCs w:val="24"/>
        </w:rPr>
        <w:fldChar w:fldCharType="begin">
          <w:ffData>
            <w:name w:val="Textbox24"/>
            <w:enabled/>
            <w:calcOnExit w:val="0"/>
            <w:textInput/>
            <w:vAlign w:val="top"/>
            <w:dim t="141" b="141" l="141" r="141" w:top="72" w:bottom="72" w:left="144" w:right="144">
              <w:width w:w="4273"/>
              <w:height w:h="10956"/>
            </w:dim>
            <w:shd w:val="solid" w:color="DDFE87" tmshd="6553989, 8912605, 16777215"/>
          </w:ffData>
        </w:fldChar>
      </w:r>
      <w:r>
        <w:rPr>
          <w:rFonts w:ascii="Cambria" w:hAnsi="Cambria"/>
          <w:sz w:val="24"/>
          <w:szCs w:val="24"/>
        </w:rPr>
        <w:instrText xml:space="preserve"> FORMTEXT </w:instrText>
      </w:r>
      <w:r>
        <w:rPr>
          <w:rFonts w:ascii="Cambria" w:hAnsi="Cambria"/>
          <w:sz w:val="24"/>
          <w:szCs w:val="24"/>
        </w:rPr>
        <w:fldChar w:fldCharType="separate"/>
      </w:r>
      <w:r>
        <w:rPr>
          <w:rFonts w:eastAsia="Tahoma" w:cs="Tahoma"/>
          <w:b/>
          <w:bCs/>
          <w:color w:val="007f7f"/>
          <w:kern w:val="1"/>
          <w:sz w:val="18"/>
          <w:szCs w:val="18"/>
        </w:rPr>
        <w:t>Lektinarme, lektinfreie Lebensmittel</w:t>
      </w:r>
    </w:p>
    <w:p>
      <w:pPr>
        <w:spacing w:after="0" w:line="240" w:lineRule="auto"/>
        <w:jc w:val="left"/>
        <w:rPr>
          <w:rFonts w:eastAsia="Tahoma" w:cs="Tahoma"/>
          <w:b/>
          <w:bCs/>
          <w:color w:val="0000ff"/>
          <w:kern w:val="1"/>
          <w:sz w:val="18"/>
          <w:szCs w:val="18"/>
        </w:rPr>
      </w:pPr>
      <w:r>
        <w:rPr>
          <w:rFonts w:eastAsia="Tahoma" w:cs="Tahoma"/>
          <w:b/>
          <w:bCs/>
          <w:color w:val="0000ff"/>
          <w:kern w:val="1"/>
          <w:sz w:val="18"/>
          <w:szCs w:val="18"/>
        </w:rPr>
        <w:t>Nüsse und Samen</w:t>
      </w:r>
    </w:p>
    <w:p>
      <w:pPr>
        <w:spacing w:after="0" w:line="240" w:lineRule="auto"/>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DDFE87" tmshd="1677721856, 0, 8912605"/>
        <w:rPr>
          <w:rFonts w:eastAsia="Tahoma" w:cs="Tahoma"/>
          <w:kern w:val="1"/>
          <w:sz w:val="18"/>
          <w:szCs w:val="18"/>
        </w:rPr>
      </w:pPr>
      <w:r>
        <w:rPr>
          <w:rFonts w:eastAsia="Tahoma" w:cs="Tahoma"/>
          <w:kern w:val="1"/>
          <w:sz w:val="18"/>
          <w:szCs w:val="18"/>
        </w:rPr>
        <w:t>Macadamia</w:t>
      </w:r>
    </w:p>
    <w:p>
      <w:pPr>
        <w:spacing w:after="0" w:line="240" w:lineRule="auto"/>
        <w:jc w:val="left"/>
        <w:rPr>
          <w:rFonts w:eastAsia="Tahoma" w:cs="Tahoma"/>
          <w:kern w:val="1"/>
          <w:sz w:val="18"/>
          <w:szCs w:val="18"/>
        </w:rPr>
      </w:pPr>
      <w:r>
        <w:rPr>
          <w:rFonts w:eastAsia="Tahoma" w:cs="Tahoma"/>
          <w:kern w:val="1"/>
          <w:sz w:val="18"/>
          <w:szCs w:val="18"/>
        </w:rPr>
        <w:t>Mandeln, blanchiert</w:t>
      </w:r>
    </w:p>
    <w:p>
      <w:pPr>
        <w:spacing w:after="0" w:line="240" w:lineRule="auto"/>
        <w:jc w:val="left"/>
        <w:rPr>
          <w:rFonts w:eastAsia="Tahoma" w:cs="Tahoma"/>
          <w:kern w:val="1"/>
          <w:sz w:val="18"/>
          <w:szCs w:val="18"/>
        </w:rPr>
      </w:pPr>
      <w:r>
        <w:rPr>
          <w:rFonts w:eastAsia="Tahoma" w:cs="Tahoma"/>
          <w:kern w:val="1"/>
          <w:sz w:val="18"/>
          <w:szCs w:val="18"/>
        </w:rPr>
        <w:t>Walnüsse</w:t>
      </w:r>
    </w:p>
    <w:p>
      <w:pPr>
        <w:spacing w:after="0" w:line="240" w:lineRule="auto"/>
        <w:jc w:val="left"/>
        <w:rPr>
          <w:rFonts w:eastAsia="Tahoma" w:cs="Tahoma"/>
          <w:kern w:val="1"/>
          <w:sz w:val="18"/>
          <w:szCs w:val="18"/>
        </w:rPr>
      </w:pPr>
      <w:r>
        <w:rPr>
          <w:rFonts w:eastAsia="Tahoma" w:cs="Tahoma"/>
          <w:kern w:val="1"/>
          <w:sz w:val="18"/>
          <w:szCs w:val="18"/>
        </w:rPr>
        <w:t>Pinienkerne</w:t>
      </w:r>
    </w:p>
    <w:p>
      <w:pPr>
        <w:spacing w:after="0" w:line="240" w:lineRule="auto"/>
        <w:jc w:val="left"/>
        <w:rPr>
          <w:rFonts w:eastAsia="Tahoma" w:cs="Tahoma"/>
          <w:kern w:val="1"/>
          <w:sz w:val="18"/>
          <w:szCs w:val="18"/>
        </w:rPr>
      </w:pPr>
      <w:r>
        <w:rPr>
          <w:rFonts w:eastAsia="Tahoma" w:cs="Tahoma"/>
          <w:kern w:val="1"/>
          <w:sz w:val="18"/>
          <w:szCs w:val="18"/>
        </w:rPr>
        <w:t>Pistazien</w:t>
      </w:r>
    </w:p>
    <w:p>
      <w:pPr>
        <w:spacing w:after="0" w:line="240" w:lineRule="auto"/>
        <w:jc w:val="left"/>
        <w:rPr>
          <w:rFonts w:eastAsia="Tahoma" w:cs="Tahoma"/>
          <w:kern w:val="1"/>
          <w:sz w:val="18"/>
          <w:szCs w:val="18"/>
        </w:rPr>
      </w:pPr>
      <w:r>
        <w:rPr>
          <w:rFonts w:eastAsia="Tahoma" w:cs="Tahoma"/>
          <w:kern w:val="1"/>
          <w:sz w:val="18"/>
          <w:szCs w:val="18"/>
        </w:rPr>
        <w:t>Pekannüsse</w:t>
      </w:r>
    </w:p>
    <w:p>
      <w:pPr>
        <w:spacing w:after="0" w:line="240" w:lineRule="auto"/>
        <w:jc w:val="left"/>
        <w:rPr>
          <w:rFonts w:eastAsia="Tahoma" w:cs="Tahoma"/>
          <w:kern w:val="1"/>
          <w:sz w:val="18"/>
          <w:szCs w:val="18"/>
        </w:rPr>
      </w:pPr>
      <w:r>
        <w:rPr>
          <w:rFonts w:eastAsia="Tahoma" w:cs="Tahoma"/>
          <w:kern w:val="1"/>
          <w:sz w:val="18"/>
          <w:szCs w:val="18"/>
        </w:rPr>
        <w:t>Kokosnüsse</w:t>
      </w:r>
    </w:p>
    <w:p>
      <w:pPr>
        <w:spacing w:after="0" w:line="240" w:lineRule="auto"/>
        <w:jc w:val="left"/>
        <w:rPr>
          <w:rFonts w:eastAsia="Tahoma" w:cs="Tahoma"/>
          <w:kern w:val="1"/>
          <w:sz w:val="18"/>
          <w:szCs w:val="18"/>
        </w:rPr>
      </w:pPr>
      <w:r>
        <w:rPr>
          <w:rFonts w:eastAsia="Tahoma" w:cs="Tahoma"/>
          <w:kern w:val="1"/>
          <w:sz w:val="18"/>
          <w:szCs w:val="18"/>
        </w:rPr>
        <w:t>Haselnüsse</w:t>
      </w:r>
    </w:p>
    <w:p>
      <w:pPr>
        <w:spacing w:after="0" w:line="240" w:lineRule="auto"/>
        <w:jc w:val="left"/>
        <w:rPr>
          <w:rFonts w:eastAsia="Tahoma" w:cs="Tahoma"/>
          <w:kern w:val="1"/>
          <w:sz w:val="18"/>
          <w:szCs w:val="18"/>
        </w:rPr>
      </w:pPr>
      <w:r>
        <w:rPr>
          <w:rFonts w:eastAsia="Tahoma" w:cs="Tahoma"/>
          <w:kern w:val="1"/>
          <w:sz w:val="18"/>
          <w:szCs w:val="18"/>
        </w:rPr>
        <w:t>Kastanien</w:t>
      </w:r>
    </w:p>
    <w:p>
      <w:pPr>
        <w:spacing w:after="0" w:line="240" w:lineRule="auto"/>
        <w:jc w:val="left"/>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eastAsia="Tahoma" w:cs="Tahoma"/>
          <w:kern w:val="1"/>
          <w:sz w:val="18"/>
          <w:szCs w:val="18"/>
        </w:rPr>
      </w:pPr>
      <w:r>
        <w:rPr>
          <w:rFonts w:eastAsia="Tahoma" w:cs="Tahoma"/>
          <w:kern w:val="1"/>
          <w:sz w:val="18"/>
          <w:szCs w:val="18"/>
        </w:rPr>
        <w:t>Kokosmehl</w:t>
      </w:r>
    </w:p>
    <w:p>
      <w:pPr>
        <w:spacing w:after="0" w:line="240" w:lineRule="auto"/>
        <w:jc w:val="left"/>
        <w:rPr>
          <w:rFonts w:eastAsia="Tahoma" w:cs="Tahoma"/>
          <w:kern w:val="1"/>
          <w:sz w:val="18"/>
          <w:szCs w:val="18"/>
        </w:rPr>
      </w:pPr>
      <w:r>
        <w:rPr>
          <w:rFonts w:eastAsia="Tahoma" w:cs="Tahoma"/>
          <w:kern w:val="1"/>
          <w:sz w:val="18"/>
          <w:szCs w:val="18"/>
        </w:rPr>
        <w:t>Mandelmehl und Mandelmus (aus blanchieren Mandeln)</w:t>
        <w:tab/>
      </w:r>
    </w:p>
    <w:p>
      <w:pPr>
        <w:spacing w:after="0" w:line="240" w:lineRule="auto"/>
        <w:jc w:val="left"/>
        <w:rPr>
          <w:rFonts w:eastAsia="Tahoma" w:cs="Tahoma"/>
          <w:kern w:val="1"/>
          <w:sz w:val="18"/>
          <w:szCs w:val="18"/>
        </w:rPr>
      </w:pPr>
      <w:r>
        <w:rPr>
          <w:rFonts w:eastAsia="Tahoma" w:cs="Tahoma"/>
          <w:kern w:val="1"/>
          <w:sz w:val="18"/>
          <w:szCs w:val="18"/>
        </w:rPr>
        <w:t>Nüsse und Samen</w:t>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b/>
          <w:bCs/>
          <w:color w:val="0000ff"/>
          <w:kern w:val="1"/>
          <w:sz w:val="18"/>
          <w:szCs w:val="18"/>
        </w:rPr>
      </w:pPr>
      <w:r>
        <w:rPr>
          <w:rFonts w:eastAsia="Tahoma" w:cs="Tahoma"/>
          <w:b/>
          <w:bCs/>
          <w:color w:val="0000ff"/>
          <w:kern w:val="1"/>
          <w:sz w:val="18"/>
          <w:szCs w:val="18"/>
        </w:rPr>
        <w:t>Gemüse</w:t>
      </w:r>
    </w:p>
    <w:p>
      <w:pPr>
        <w:spacing w:after="0" w:line="240" w:lineRule="auto"/>
        <w:jc w:val="left"/>
        <w:rPr>
          <w:rFonts w:eastAsia="Tahoma" w:cs="Tahoma"/>
          <w:kern w:val="1"/>
          <w:sz w:val="18"/>
          <w:szCs w:val="18"/>
        </w:rPr>
      </w:pPr>
      <w:r>
        <w:rPr>
          <w:rFonts w:eastAsia="Tahoma" w:cs="Tahoma"/>
          <w:kern w:val="1"/>
          <w:sz w:val="18"/>
          <w:szCs w:val="18"/>
        </w:rPr>
        <w:t>Algen</w:t>
      </w:r>
    </w:p>
    <w:p>
      <w:pPr>
        <w:spacing w:after="0" w:line="240" w:lineRule="auto"/>
        <w:jc w:val="left"/>
        <w:rPr>
          <w:rFonts w:eastAsia="Tahoma" w:cs="Tahoma"/>
          <w:kern w:val="1"/>
          <w:sz w:val="18"/>
          <w:szCs w:val="18"/>
        </w:rPr>
      </w:pPr>
      <w:r>
        <w:rPr>
          <w:rFonts w:eastAsia="Tahoma" w:cs="Tahoma"/>
          <w:kern w:val="1"/>
          <w:sz w:val="18"/>
          <w:szCs w:val="18"/>
        </w:rPr>
        <w:t>Artischocken</w:t>
      </w:r>
    </w:p>
    <w:p>
      <w:pPr>
        <w:spacing w:after="0" w:line="240" w:lineRule="auto"/>
        <w:jc w:val="left"/>
        <w:rPr>
          <w:rFonts w:eastAsia="Tahoma" w:cs="Tahoma"/>
          <w:kern w:val="1"/>
          <w:sz w:val="18"/>
          <w:szCs w:val="18"/>
        </w:rPr>
      </w:pPr>
      <w:r>
        <w:rPr>
          <w:rFonts w:eastAsia="Tahoma" w:cs="Tahoma"/>
          <w:kern w:val="1"/>
          <w:sz w:val="18"/>
          <w:szCs w:val="18"/>
        </w:rPr>
        <w:t>Blattkohl</w:t>
      </w:r>
    </w:p>
    <w:p>
      <w:pPr>
        <w:spacing w:after="0" w:line="240" w:lineRule="auto"/>
        <w:jc w:val="left"/>
        <w:rPr>
          <w:rFonts w:eastAsia="Tahoma" w:cs="Tahoma"/>
          <w:kern w:val="1"/>
          <w:sz w:val="18"/>
          <w:szCs w:val="18"/>
        </w:rPr>
      </w:pPr>
      <w:r>
        <w:rPr>
          <w:rFonts w:eastAsia="Tahoma" w:cs="Tahoma"/>
          <w:kern w:val="1"/>
          <w:sz w:val="18"/>
          <w:szCs w:val="18"/>
        </w:rPr>
        <w:t>Blumenkohl</w:t>
      </w:r>
    </w:p>
    <w:p>
      <w:pPr>
        <w:spacing w:after="0" w:line="240" w:lineRule="auto"/>
        <w:jc w:val="left"/>
        <w:rPr>
          <w:rFonts w:eastAsia="Tahoma" w:cs="Tahoma"/>
          <w:kern w:val="1"/>
          <w:sz w:val="18"/>
          <w:szCs w:val="18"/>
        </w:rPr>
      </w:pPr>
      <w:r>
        <w:rPr>
          <w:rFonts w:eastAsia="Tahoma" w:cs="Tahoma"/>
          <w:kern w:val="1"/>
          <w:sz w:val="18"/>
          <w:szCs w:val="18"/>
        </w:rPr>
        <w:t>Brokkoli</w:t>
      </w:r>
    </w:p>
    <w:p>
      <w:pPr>
        <w:spacing w:after="0" w:line="240" w:lineRule="auto"/>
        <w:jc w:val="left"/>
        <w:rPr>
          <w:rFonts w:eastAsia="Tahoma" w:cs="Tahoma"/>
          <w:kern w:val="1"/>
          <w:sz w:val="18"/>
          <w:szCs w:val="18"/>
        </w:rPr>
      </w:pPr>
      <w:r>
        <w:rPr>
          <w:rFonts w:eastAsia="Tahoma" w:cs="Tahoma"/>
          <w:kern w:val="1"/>
          <w:sz w:val="18"/>
          <w:szCs w:val="18"/>
        </w:rPr>
        <w:t>Champignons, braun</w:t>
      </w:r>
    </w:p>
    <w:p>
      <w:pPr>
        <w:spacing w:after="0" w:line="240" w:lineRule="auto"/>
        <w:jc w:val="left"/>
        <w:rPr>
          <w:rFonts w:eastAsia="Tahoma" w:cs="Tahoma"/>
          <w:kern w:val="1"/>
          <w:sz w:val="18"/>
          <w:szCs w:val="18"/>
        </w:rPr>
      </w:pPr>
      <w:r>
        <w:rPr>
          <w:rFonts w:eastAsia="Tahoma" w:cs="Tahoma"/>
          <w:kern w:val="1"/>
          <w:sz w:val="18"/>
          <w:szCs w:val="18"/>
        </w:rPr>
        <w:t>Fenchel</w:t>
      </w:r>
    </w:p>
    <w:p>
      <w:pPr>
        <w:spacing w:after="0" w:line="240" w:lineRule="auto"/>
        <w:jc w:val="left"/>
        <w:rPr>
          <w:rFonts w:eastAsia="Tahoma" w:cs="Tahoma"/>
          <w:kern w:val="1"/>
          <w:sz w:val="18"/>
          <w:szCs w:val="18"/>
        </w:rPr>
      </w:pPr>
      <w:r>
        <w:rPr>
          <w:rFonts w:eastAsia="Tahoma" w:cs="Tahoma"/>
          <w:kern w:val="1"/>
          <w:sz w:val="18"/>
          <w:szCs w:val="18"/>
        </w:rPr>
        <w:t>Grünkohl</w:t>
      </w:r>
    </w:p>
    <w:p>
      <w:pPr>
        <w:spacing w:after="0" w:line="240" w:lineRule="auto"/>
        <w:jc w:val="left"/>
        <w:rPr>
          <w:rFonts w:eastAsia="Tahoma" w:cs="Tahoma"/>
          <w:kern w:val="1"/>
          <w:sz w:val="18"/>
          <w:szCs w:val="18"/>
        </w:rPr>
      </w:pPr>
      <w:r>
        <w:rPr>
          <w:rFonts w:eastAsia="Tahoma" w:cs="Tahoma"/>
          <w:kern w:val="1"/>
          <w:sz w:val="18"/>
          <w:szCs w:val="18"/>
        </w:rPr>
        <w:t>Karotten</w:t>
      </w:r>
    </w:p>
    <w:p>
      <w:pPr>
        <w:spacing w:after="0" w:line="240" w:lineRule="auto"/>
        <w:jc w:val="left"/>
        <w:rPr>
          <w:rFonts w:eastAsia="Tahoma" w:cs="Tahoma"/>
          <w:kern w:val="1"/>
          <w:sz w:val="18"/>
          <w:szCs w:val="18"/>
        </w:rPr>
      </w:pPr>
      <w:r>
        <w:rPr>
          <w:rFonts w:eastAsia="Tahoma" w:cs="Tahoma"/>
          <w:kern w:val="1"/>
          <w:sz w:val="18"/>
          <w:szCs w:val="18"/>
        </w:rPr>
        <w:fldChar w:fldCharType="begin"/>
        <w:instrText xml:space="preserve">XE "Knoblauch" \G </w:instrText>
        <w:fldChar w:fldCharType="end"/>
        <w:t>Knoblauch</w:t>
      </w:r>
    </w:p>
    <w:p>
      <w:pPr>
        <w:spacing w:after="0" w:line="240" w:lineRule="auto"/>
        <w:jc w:val="left"/>
        <w:rPr>
          <w:rFonts w:eastAsia="Tahoma" w:cs="Tahoma"/>
          <w:kern w:val="1"/>
          <w:sz w:val="18"/>
          <w:szCs w:val="18"/>
        </w:rPr>
      </w:pPr>
      <w:r>
        <w:rPr>
          <w:rFonts w:eastAsia="Tahoma" w:cs="Tahoma"/>
          <w:kern w:val="1"/>
          <w:sz w:val="18"/>
          <w:szCs w:val="18"/>
        </w:rPr>
        <w:t>Kohlrabi</w:t>
      </w:r>
    </w:p>
    <w:p>
      <w:pPr>
        <w:spacing w:after="0" w:line="240" w:lineRule="auto"/>
        <w:jc w:val="left"/>
        <w:rPr>
          <w:rFonts w:eastAsia="Tahoma" w:cs="Tahoma"/>
          <w:kern w:val="1"/>
          <w:sz w:val="18"/>
          <w:szCs w:val="18"/>
        </w:rPr>
      </w:pPr>
      <w:r>
        <w:rPr>
          <w:rFonts w:eastAsia="Tahoma" w:cs="Tahoma"/>
          <w:kern w:val="1"/>
          <w:sz w:val="18"/>
          <w:szCs w:val="18"/>
        </w:rPr>
        <w:t>Kräuter, alle Sorten, z.B.</w:t>
      </w:r>
    </w:p>
    <w:p>
      <w:pPr>
        <w:spacing w:after="0" w:line="240" w:lineRule="auto"/>
        <w:jc w:val="left"/>
        <w:rPr>
          <w:rFonts w:eastAsia="Tahoma" w:cs="Tahoma"/>
          <w:kern w:val="1"/>
          <w:sz w:val="18"/>
          <w:szCs w:val="18"/>
        </w:rPr>
      </w:pPr>
      <w:r>
        <w:rPr>
          <w:rFonts w:eastAsia="Tahoma" w:cs="Tahoma"/>
          <w:kern w:val="1"/>
          <w:sz w:val="18"/>
          <w:szCs w:val="18"/>
        </w:rPr>
        <w:t>-Basilikum</w:t>
      </w:r>
    </w:p>
    <w:p>
      <w:pPr>
        <w:spacing w:after="0" w:line="240" w:lineRule="auto"/>
        <w:jc w:val="left"/>
        <w:rPr>
          <w:rFonts w:eastAsia="Tahoma" w:cs="Tahoma"/>
          <w:kern w:val="1"/>
          <w:sz w:val="18"/>
          <w:szCs w:val="18"/>
        </w:rPr>
      </w:pPr>
      <w:r>
        <w:rPr>
          <w:rFonts w:eastAsia="Tahoma" w:cs="Tahoma"/>
          <w:kern w:val="1"/>
          <w:sz w:val="18"/>
          <w:szCs w:val="18"/>
        </w:rPr>
        <w:t>-Petersilie</w:t>
      </w:r>
    </w:p>
    <w:p>
      <w:pPr>
        <w:spacing w:after="0" w:line="240" w:lineRule="auto"/>
        <w:jc w:val="left"/>
        <w:rPr>
          <w:rFonts w:eastAsia="Tahoma" w:cs="Tahoma"/>
          <w:kern w:val="1"/>
          <w:sz w:val="18"/>
          <w:szCs w:val="18"/>
        </w:rPr>
      </w:pPr>
      <w:r>
        <w:rPr>
          <w:rFonts w:eastAsia="Tahoma" w:cs="Tahoma"/>
          <w:kern w:val="1"/>
          <w:sz w:val="18"/>
          <w:szCs w:val="18"/>
        </w:rPr>
        <w:t>-Koriander</w:t>
      </w:r>
    </w:p>
    <w:p>
      <w:pPr>
        <w:spacing w:after="0" w:line="240" w:lineRule="auto"/>
        <w:jc w:val="left"/>
        <w:rPr>
          <w:rFonts w:eastAsia="Tahoma" w:cs="Tahoma"/>
          <w:kern w:val="1"/>
          <w:sz w:val="18"/>
          <w:szCs w:val="18"/>
        </w:rPr>
      </w:pPr>
      <w:r>
        <w:rPr>
          <w:rFonts w:eastAsia="Tahoma" w:cs="Tahoma"/>
          <w:kern w:val="1"/>
          <w:sz w:val="18"/>
          <w:szCs w:val="18"/>
        </w:rPr>
        <w:t>-Minze</w:t>
      </w:r>
    </w:p>
    <w:p>
      <w:pPr>
        <w:spacing w:after="0" w:line="240" w:lineRule="auto"/>
        <w:jc w:val="left"/>
        <w:rPr>
          <w:rFonts w:eastAsia="Tahoma" w:cs="Tahoma"/>
          <w:kern w:val="1"/>
          <w:sz w:val="18"/>
          <w:szCs w:val="18"/>
        </w:rPr>
      </w:pPr>
      <w:r>
        <w:rPr>
          <w:rFonts w:eastAsia="Tahoma" w:cs="Tahoma"/>
          <w:kern w:val="1"/>
          <w:sz w:val="18"/>
          <w:szCs w:val="18"/>
        </w:rPr>
        <w:t>-Schnittlauch</w:t>
      </w:r>
    </w:p>
    <w:p>
      <w:pPr>
        <w:spacing w:after="0" w:line="240" w:lineRule="auto"/>
        <w:jc w:val="left"/>
        <w:rPr>
          <w:rFonts w:eastAsia="Tahoma" w:cs="Tahoma"/>
          <w:kern w:val="1"/>
          <w:sz w:val="18"/>
          <w:szCs w:val="18"/>
        </w:rPr>
      </w:pPr>
      <w:r>
        <w:rPr>
          <w:rFonts w:eastAsia="Tahoma" w:cs="Tahoma"/>
          <w:kern w:val="1"/>
          <w:sz w:val="18"/>
          <w:szCs w:val="18"/>
        </w:rPr>
        <w:t>Lauch</w:t>
      </w:r>
    </w:p>
    <w:p>
      <w:pPr>
        <w:spacing w:after="0" w:line="240" w:lineRule="auto"/>
        <w:jc w:val="left"/>
        <w:rPr>
          <w:rFonts w:eastAsia="Tahoma" w:cs="Tahoma"/>
          <w:kern w:val="1"/>
          <w:sz w:val="18"/>
          <w:szCs w:val="18"/>
        </w:rPr>
      </w:pPr>
      <w:r>
        <w:rPr>
          <w:rFonts w:eastAsia="Tahoma" w:cs="Tahoma"/>
          <w:kern w:val="1"/>
          <w:sz w:val="18"/>
          <w:szCs w:val="18"/>
        </w:rPr>
        <w:t>Mangold</w:t>
      </w:r>
    </w:p>
    <w:p>
      <w:pPr>
        <w:spacing w:after="0" w:line="240" w:lineRule="auto"/>
        <w:jc w:val="left"/>
        <w:rPr>
          <w:rFonts w:eastAsia="Tahoma" w:cs="Tahoma"/>
          <w:kern w:val="1"/>
          <w:sz w:val="18"/>
          <w:szCs w:val="18"/>
        </w:rPr>
      </w:pPr>
      <w:r>
        <w:rPr>
          <w:rFonts w:eastAsia="Tahoma" w:cs="Tahoma"/>
          <w:kern w:val="1"/>
          <w:sz w:val="18"/>
          <w:szCs w:val="18"/>
        </w:rPr>
        <w:t>Okra</w:t>
      </w:r>
    </w:p>
    <w:p>
      <w:pPr>
        <w:spacing w:after="0" w:line="240" w:lineRule="auto"/>
        <w:jc w:val="left"/>
        <w:rPr>
          <w:rFonts w:eastAsia="Tahoma" w:cs="Tahoma"/>
          <w:kern w:val="1"/>
          <w:sz w:val="18"/>
          <w:szCs w:val="18"/>
        </w:rPr>
      </w:pPr>
      <w:r>
        <w:rPr>
          <w:rFonts w:eastAsia="Tahoma" w:cs="Tahoma"/>
          <w:kern w:val="1"/>
          <w:sz w:val="18"/>
          <w:szCs w:val="18"/>
        </w:rPr>
        <w:t>Pak Choi</w:t>
      </w:r>
    </w:p>
    <w:p>
      <w:pPr>
        <w:spacing w:after="0" w:line="240" w:lineRule="auto"/>
        <w:jc w:val="left"/>
        <w:rPr>
          <w:rFonts w:eastAsia="Tahoma" w:cs="Tahoma"/>
          <w:kern w:val="1"/>
          <w:sz w:val="18"/>
          <w:szCs w:val="18"/>
        </w:rPr>
      </w:pPr>
      <w:r>
        <w:rPr>
          <w:rFonts w:eastAsia="Tahoma" w:cs="Tahoma"/>
          <w:kern w:val="1"/>
          <w:sz w:val="18"/>
          <w:szCs w:val="18"/>
        </w:rPr>
        <w:t>Pastinaken</w:t>
      </w:r>
    </w:p>
    <w:p>
      <w:pPr>
        <w:spacing w:after="0" w:line="240" w:lineRule="auto"/>
        <w:jc w:val="left"/>
        <w:rPr>
          <w:rFonts w:eastAsia="Tahoma" w:cs="Tahoma"/>
          <w:kern w:val="1"/>
          <w:sz w:val="18"/>
          <w:szCs w:val="18"/>
        </w:rPr>
      </w:pPr>
      <w:r>
        <w:rPr>
          <w:rFonts w:eastAsia="Tahoma" w:cs="Tahoma"/>
          <w:kern w:val="1"/>
          <w:sz w:val="18"/>
          <w:szCs w:val="18"/>
        </w:rPr>
        <w:t>Rucola</w:t>
      </w:r>
    </w:p>
    <w:p>
      <w:pPr>
        <w:spacing w:after="0" w:line="240" w:lineRule="auto"/>
        <w:jc w:val="left"/>
        <w:rPr>
          <w:rFonts w:eastAsia="Tahoma" w:cs="Tahoma"/>
          <w:kern w:val="1"/>
          <w:sz w:val="18"/>
          <w:szCs w:val="18"/>
        </w:rPr>
      </w:pPr>
      <w:r>
        <w:rPr>
          <w:rFonts w:eastAsia="Tahoma" w:cs="Tahoma"/>
          <w:kern w:val="1"/>
          <w:sz w:val="18"/>
          <w:szCs w:val="18"/>
        </w:rPr>
        <w:t>Rettich</w:t>
      </w:r>
    </w:p>
    <w:p>
      <w:pPr>
        <w:spacing w:after="0" w:line="240" w:lineRule="auto"/>
        <w:jc w:val="left"/>
        <w:rPr>
          <w:rFonts w:eastAsia="Tahoma" w:cs="Tahoma"/>
          <w:kern w:val="1"/>
          <w:sz w:val="18"/>
          <w:szCs w:val="18"/>
        </w:rPr>
      </w:pPr>
      <w:r>
        <w:rPr>
          <w:rFonts w:eastAsia="Tahoma" w:cs="Tahoma"/>
          <w:kern w:val="1"/>
          <w:sz w:val="18"/>
          <w:szCs w:val="18"/>
        </w:rPr>
        <w:t>Radieschen</w:t>
      </w:r>
    </w:p>
    <w:p>
      <w:pPr>
        <w:spacing w:after="0" w:line="240" w:lineRule="auto"/>
        <w:jc w:val="left"/>
        <w:rPr>
          <w:rFonts w:eastAsia="Tahoma" w:cs="Tahoma"/>
          <w:kern w:val="1"/>
          <w:sz w:val="18"/>
          <w:szCs w:val="18"/>
        </w:rPr>
      </w:pPr>
      <w:r>
        <w:rPr>
          <w:rFonts w:eastAsia="Tahoma" w:cs="Tahoma"/>
          <w:kern w:val="1"/>
          <w:sz w:val="18"/>
          <w:szCs w:val="18"/>
        </w:rPr>
        <w:t>Rote Beten</w:t>
      </w:r>
    </w:p>
    <w:p>
      <w:pPr>
        <w:spacing w:after="0" w:line="240" w:lineRule="auto"/>
        <w:jc w:val="left"/>
        <w:rPr>
          <w:rFonts w:eastAsia="Tahoma" w:cs="Tahoma"/>
          <w:kern w:val="1"/>
          <w:sz w:val="18"/>
          <w:szCs w:val="18"/>
        </w:rPr>
      </w:pPr>
      <w:r>
        <w:rPr>
          <w:rFonts w:eastAsia="Tahoma" w:cs="Tahoma"/>
          <w:kern w:val="1"/>
          <w:sz w:val="18"/>
          <w:szCs w:val="18"/>
        </w:rPr>
        <w:t>Rosenkohl</w:t>
      </w:r>
    </w:p>
    <w:p>
      <w:pPr>
        <w:spacing w:after="0" w:line="240" w:lineRule="auto"/>
        <w:jc w:val="left"/>
        <w:rPr>
          <w:rFonts w:eastAsia="Tahoma" w:cs="Tahoma"/>
          <w:kern w:val="1"/>
          <w:sz w:val="18"/>
          <w:szCs w:val="18"/>
        </w:rPr>
      </w:pPr>
      <w:r>
        <w:rPr>
          <w:rFonts w:eastAsia="Tahoma" w:cs="Tahoma"/>
          <w:kern w:val="1"/>
          <w:sz w:val="18"/>
          <w:szCs w:val="18"/>
        </w:rPr>
        <w:t>Süßkartoffeln</w:t>
      </w:r>
    </w:p>
    <w:p>
      <w:pPr>
        <w:spacing w:after="0" w:line="240" w:lineRule="auto"/>
        <w:jc w:val="left"/>
        <w:rPr>
          <w:rFonts w:eastAsia="Tahoma" w:cs="Tahoma"/>
          <w:kern w:val="1"/>
          <w:sz w:val="18"/>
          <w:szCs w:val="18"/>
        </w:rPr>
      </w:pPr>
      <w:r>
        <w:rPr>
          <w:rFonts w:eastAsia="Tahoma" w:cs="Tahoma"/>
          <w:kern w:val="1"/>
          <w:sz w:val="18"/>
          <w:szCs w:val="18"/>
        </w:rPr>
        <w:t>Salat, alle Sorten</w:t>
      </w:r>
    </w:p>
    <w:p>
      <w:pPr>
        <w:spacing w:after="0" w:line="240" w:lineRule="auto"/>
        <w:jc w:val="left"/>
        <w:rPr>
          <w:rFonts w:eastAsia="Tahoma" w:cs="Tahoma"/>
          <w:kern w:val="1"/>
          <w:sz w:val="18"/>
          <w:szCs w:val="18"/>
        </w:rPr>
      </w:pPr>
      <w:r>
        <w:rPr>
          <w:rFonts w:eastAsia="Tahoma" w:cs="Tahoma"/>
          <w:kern w:val="1"/>
          <w:sz w:val="18"/>
          <w:szCs w:val="18"/>
        </w:rPr>
        <w:t>Spargel</w:t>
      </w:r>
    </w:p>
    <w:p>
      <w:pPr>
        <w:spacing w:after="0" w:line="240" w:lineRule="auto"/>
        <w:jc w:val="left"/>
        <w:rPr>
          <w:rFonts w:eastAsia="Tahoma" w:cs="Tahoma"/>
          <w:kern w:val="1"/>
          <w:sz w:val="18"/>
          <w:szCs w:val="18"/>
        </w:rPr>
      </w:pPr>
      <w:r>
        <w:rPr>
          <w:rFonts w:eastAsia="Tahoma" w:cs="Tahoma"/>
          <w:kern w:val="1"/>
          <w:sz w:val="18"/>
          <w:szCs w:val="18"/>
        </w:rPr>
        <w:t>Spinat</w:t>
      </w:r>
    </w:p>
    <w:p>
      <w:pPr>
        <w:spacing w:after="0" w:line="240" w:lineRule="auto"/>
        <w:jc w:val="left"/>
        <w:rPr>
          <w:rFonts w:eastAsia="Tahoma" w:cs="Tahoma"/>
          <w:kern w:val="1"/>
          <w:sz w:val="18"/>
          <w:szCs w:val="18"/>
        </w:rPr>
      </w:pPr>
      <w:r>
        <w:rPr>
          <w:rFonts w:eastAsia="Tahoma" w:cs="Tahoma"/>
          <w:kern w:val="1"/>
          <w:sz w:val="18"/>
          <w:szCs w:val="18"/>
        </w:rPr>
        <w:t>Sellerie</w:t>
      </w:r>
    </w:p>
    <w:p>
      <w:pPr>
        <w:spacing w:after="0" w:line="240" w:lineRule="auto"/>
        <w:jc w:val="left"/>
        <w:rPr>
          <w:rFonts w:eastAsia="Tahoma" w:cs="Tahoma"/>
          <w:b/>
          <w:bCs/>
          <w:color w:val="007f7f"/>
          <w:kern w:val="1"/>
          <w:sz w:val="18"/>
          <w:szCs w:val="18"/>
        </w:rPr>
      </w:pPr>
      <w:r>
        <w:rPr>
          <w:rFonts w:eastAsia="Tahoma" w:cs="Tahoma"/>
          <w:kern w:val="1"/>
          <w:sz w:val="18"/>
          <w:szCs w:val="18"/>
        </w:rPr>
        <w:t>Weißkohl</w:t>
      </w:r>
      <w:r>
        <w:rPr>
          <w:rFonts w:eastAsia="Tahoma" w:cs="Tahoma"/>
          <w:b/>
          <w:bCs/>
          <w:color w:val="007f7f"/>
          <w:kern w:val="1"/>
          <w:sz w:val="18"/>
          <w:szCs w:val="18"/>
        </w:rPr>
      </w:r>
      <w:r>
        <w:rPr>
          <w:rFonts w:ascii="Cambria" w:hAnsi="Cambria"/>
          <w:sz w:val="24"/>
          <w:szCs w:val="24"/>
        </w:rPr>
        <w:fldChar w:fldCharType="end"/>
      </w:r>
      <w:r>
        <w:rPr>
          <w:rFonts w:ascii="Cambria" w:hAnsi="Cambria"/>
          <w:sz w:val="24"/>
          <w:szCs w:val="24"/>
        </w:rPr>
      </w:r>
      <w:r/>
      <w:bookmarkEnd w:id="37"/>
      <w:r/>
      <w:r>
        <w:rPr>
          <w:rFonts w:ascii="Cambria" w:hAnsi="Cambria"/>
          <w:sz w:val="24"/>
          <w:szCs w:val="24"/>
        </w:rPr>
        <w:t xml:space="preserve">   </w:t>
      </w:r>
      <w:r/>
      <w:bookmarkStart w:id="38" w:name="Textbox26"/>
      <w:r/>
      <w:r>
        <w:rPr>
          <w:rFonts w:ascii="Cambria" w:hAnsi="Cambria"/>
          <w:sz w:val="24"/>
          <w:szCs w:val="24"/>
        </w:rPr>
      </w:r>
      <w:r>
        <w:rPr>
          <w:rFonts w:ascii="Cambria" w:hAnsi="Cambria"/>
          <w:sz w:val="24"/>
          <w:szCs w:val="24"/>
        </w:rPr>
        <w:fldChar w:fldCharType="begin">
          <w:ffData>
            <w:name w:val="Textbox26"/>
            <w:enabled/>
            <w:calcOnExit w:val="0"/>
            <w:textInput/>
            <w:vAlign w:val="top"/>
            <w:dim t="141" b="141" l="141" r="141" w:top="72" w:bottom="72" w:left="144" w:right="144">
              <w:width w:w="4266"/>
              <w:height w:h="10937"/>
            </w:dim>
            <w:shd w:val="solid" w:color="DDFE87" tmshd="6553989, 8912605, 16777215"/>
          </w:ffData>
        </w:fldChar>
      </w:r>
      <w:r>
        <w:rPr>
          <w:rFonts w:ascii="Cambria" w:hAnsi="Cambria"/>
          <w:sz w:val="24"/>
          <w:szCs w:val="24"/>
        </w:rPr>
        <w:instrText xml:space="preserve"> FORMTEXT </w:instrText>
      </w:r>
      <w:r>
        <w:rPr>
          <w:rFonts w:ascii="Cambria" w:hAnsi="Cambria"/>
          <w:sz w:val="24"/>
          <w:szCs w:val="24"/>
        </w:rPr>
        <w:fldChar w:fldCharType="separate"/>
      </w:r>
      <w:r>
        <w:rPr>
          <w:rFonts w:eastAsia="Tahoma" w:cs="Tahoma"/>
          <w:b/>
          <w:bCs/>
          <w:color w:val="007f7f"/>
          <w:kern w:val="1"/>
          <w:sz w:val="18"/>
          <w:szCs w:val="18"/>
        </w:rPr>
        <w:t>Lektinarme, lektinfreie Lebensmittel</w:t>
      </w:r>
    </w:p>
    <w:p>
      <w:pPr>
        <w:spacing w:after="0" w:line="240" w:lineRule="auto"/>
        <w:jc w:val="left"/>
        <w:rPr>
          <w:rFonts w:eastAsia="Tahoma" w:cs="Tahoma"/>
          <w:b/>
          <w:bCs/>
          <w:color w:val="0000ff"/>
          <w:kern w:val="1"/>
          <w:sz w:val="18"/>
          <w:szCs w:val="18"/>
        </w:rPr>
      </w:pPr>
      <w:r>
        <w:rPr>
          <w:rFonts w:eastAsia="Tahoma" w:cs="Tahoma"/>
          <w:b/>
          <w:bCs/>
          <w:color w:val="0000ff"/>
          <w:kern w:val="1"/>
          <w:sz w:val="18"/>
          <w:szCs w:val="18"/>
        </w:rPr>
        <w:t>Hülsenfrüchte</w:t>
      </w:r>
    </w:p>
    <w:p>
      <w:pPr>
        <w:spacing w:after="0" w:line="240" w:lineRule="auto"/>
        <w:jc w:val="left"/>
        <w:rPr>
          <w:rFonts w:eastAsia="Tahoma" w:cs="Tahoma"/>
          <w:kern w:val="1"/>
          <w:sz w:val="18"/>
          <w:szCs w:val="18"/>
        </w:rPr>
      </w:pPr>
      <w:r>
        <w:rPr>
          <w:rFonts w:eastAsia="Tahoma" w:cs="Tahoma"/>
          <w:kern w:val="1"/>
          <w:sz w:val="18"/>
          <w:szCs w:val="18"/>
        </w:rPr>
        <w:t>keine</w:t>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b/>
          <w:bCs/>
          <w:color w:val="0000ff"/>
          <w:kern w:val="1"/>
          <w:sz w:val="18"/>
          <w:szCs w:val="18"/>
        </w:rPr>
      </w:pPr>
      <w:r>
        <w:rPr>
          <w:rFonts w:eastAsia="Tahoma" w:cs="Tahoma"/>
          <w:b/>
          <w:bCs/>
          <w:color w:val="0000ff"/>
          <w:kern w:val="1"/>
          <w:sz w:val="18"/>
          <w:szCs w:val="18"/>
        </w:rPr>
        <w:t>Getreide</w:t>
      </w:r>
    </w:p>
    <w:p>
      <w:pPr>
        <w:spacing w:after="0" w:line="240" w:lineRule="auto"/>
        <w:jc w:val="left"/>
        <w:rPr>
          <w:rFonts w:eastAsia="Tahoma" w:cs="Tahoma"/>
          <w:kern w:val="1"/>
          <w:sz w:val="18"/>
          <w:szCs w:val="18"/>
        </w:rPr>
      </w:pPr>
      <w:r>
        <w:rPr>
          <w:rFonts w:eastAsia="Tahoma" w:cs="Tahoma"/>
          <w:kern w:val="1"/>
          <w:sz w:val="18"/>
          <w:szCs w:val="18"/>
        </w:rPr>
        <w:t>Amarant</w:t>
      </w:r>
    </w:p>
    <w:p>
      <w:pPr>
        <w:spacing w:after="0" w:line="240" w:lineRule="auto"/>
        <w:jc w:val="left"/>
        <w:rPr>
          <w:rFonts w:eastAsia="Tahoma" w:cs="Tahoma"/>
          <w:kern w:val="1"/>
          <w:sz w:val="18"/>
          <w:szCs w:val="18"/>
        </w:rPr>
      </w:pPr>
      <w:r>
        <w:rPr>
          <w:rFonts w:eastAsia="Tahoma" w:cs="Tahoma"/>
          <w:kern w:val="1"/>
          <w:sz w:val="18"/>
          <w:szCs w:val="18"/>
        </w:rPr>
        <w:t>Hirse</w:t>
      </w:r>
    </w:p>
    <w:p>
      <w:pPr>
        <w:spacing w:after="0" w:line="240" w:lineRule="auto"/>
        <w:jc w:val="left"/>
        <w:rPr>
          <w:rFonts w:eastAsia="Tahoma" w:cs="Tahoma"/>
          <w:kern w:val="1"/>
          <w:sz w:val="18"/>
          <w:szCs w:val="18"/>
        </w:rPr>
      </w:pPr>
      <w:r>
        <w:rPr>
          <w:rFonts w:eastAsia="Tahoma" w:cs="Tahoma"/>
          <w:kern w:val="1"/>
          <w:sz w:val="18"/>
          <w:szCs w:val="18"/>
        </w:rPr>
        <w:t>Millet-Hirse</w:t>
      </w:r>
    </w:p>
    <w:p>
      <w:pPr>
        <w:spacing w:after="0" w:line="240" w:lineRule="auto"/>
        <w:jc w:val="left"/>
        <w:rPr>
          <w:rFonts w:eastAsia="Tahoma" w:cs="Tahoma"/>
          <w:kern w:val="1"/>
          <w:sz w:val="18"/>
          <w:szCs w:val="18"/>
        </w:rPr>
      </w:pPr>
      <w:r>
        <w:rPr>
          <w:rFonts w:eastAsia="Tahoma" w:cs="Tahoma"/>
          <w:kern w:val="1"/>
          <w:sz w:val="18"/>
          <w:szCs w:val="18"/>
        </w:rPr>
        <w:t>Sorghum Hirse</w:t>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b/>
          <w:bCs/>
          <w:color w:val="0000ff"/>
          <w:kern w:val="1"/>
          <w:sz w:val="18"/>
          <w:szCs w:val="18"/>
        </w:rPr>
      </w:pPr>
      <w:r>
        <w:rPr>
          <w:rFonts w:eastAsia="Tahoma" w:cs="Tahoma"/>
          <w:b/>
          <w:bCs/>
          <w:color w:val="0000ff"/>
          <w:kern w:val="1"/>
          <w:sz w:val="18"/>
          <w:szCs w:val="18"/>
        </w:rPr>
        <w:t>Obst</w:t>
      </w:r>
    </w:p>
    <w:p>
      <w:pPr>
        <w:spacing w:after="0" w:line="240" w:lineRule="auto"/>
        <w:jc w:val="left"/>
        <w:rPr>
          <w:rFonts w:eastAsia="Tahoma" w:cs="Tahoma"/>
          <w:kern w:val="1"/>
          <w:sz w:val="18"/>
          <w:szCs w:val="18"/>
        </w:rPr>
      </w:pPr>
      <w:r>
        <w:rPr>
          <w:rFonts w:eastAsia="Tahoma" w:cs="Tahoma"/>
          <w:kern w:val="1"/>
          <w:sz w:val="18"/>
          <w:szCs w:val="18"/>
        </w:rPr>
        <w:t>Avocado</w:t>
      </w:r>
    </w:p>
    <w:p>
      <w:pPr>
        <w:spacing w:after="0" w:line="240" w:lineRule="auto"/>
        <w:jc w:val="left"/>
        <w:rPr>
          <w:rFonts w:eastAsia="Tahoma" w:cs="Tahoma"/>
          <w:kern w:val="1"/>
          <w:sz w:val="18"/>
          <w:szCs w:val="18"/>
        </w:rPr>
      </w:pPr>
      <w:r>
        <w:rPr>
          <w:rFonts w:eastAsia="Tahoma" w:cs="Tahoma"/>
          <w:kern w:val="1"/>
          <w:sz w:val="18"/>
          <w:szCs w:val="18"/>
        </w:rPr>
        <w:t>Blaubeeren</w:t>
      </w:r>
    </w:p>
    <w:p>
      <w:pPr>
        <w:spacing w:after="0" w:line="240" w:lineRule="auto"/>
        <w:jc w:val="left"/>
        <w:rPr>
          <w:rFonts w:eastAsia="Tahoma" w:cs="Tahoma"/>
          <w:kern w:val="1"/>
          <w:sz w:val="18"/>
          <w:szCs w:val="18"/>
        </w:rPr>
      </w:pPr>
      <w:r>
        <w:rPr>
          <w:rFonts w:eastAsia="Tahoma" w:cs="Tahoma"/>
          <w:kern w:val="1"/>
          <w:sz w:val="18"/>
          <w:szCs w:val="18"/>
        </w:rPr>
        <w:t>Brombeeren</w:t>
      </w:r>
    </w:p>
    <w:p>
      <w:pPr>
        <w:spacing w:after="0" w:line="240" w:lineRule="auto"/>
        <w:jc w:val="left"/>
        <w:rPr>
          <w:rFonts w:eastAsia="Tahoma" w:cs="Tahoma"/>
          <w:kern w:val="1"/>
          <w:sz w:val="18"/>
          <w:szCs w:val="18"/>
        </w:rPr>
      </w:pPr>
      <w:r>
        <w:rPr>
          <w:rFonts w:eastAsia="Tahoma" w:cs="Tahoma"/>
          <w:kern w:val="1"/>
          <w:sz w:val="18"/>
          <w:szCs w:val="18"/>
        </w:rPr>
        <w:t>Himbeeren</w:t>
      </w:r>
    </w:p>
    <w:p>
      <w:pPr>
        <w:spacing w:after="0" w:line="240" w:lineRule="auto"/>
        <w:jc w:val="left"/>
        <w:rPr>
          <w:rFonts w:eastAsia="Tahoma" w:cs="Tahoma"/>
          <w:kern w:val="1"/>
          <w:sz w:val="18"/>
          <w:szCs w:val="18"/>
        </w:rPr>
      </w:pPr>
      <w:r>
        <w:rPr>
          <w:rFonts w:eastAsia="Tahoma" w:cs="Tahoma"/>
          <w:kern w:val="1"/>
          <w:sz w:val="18"/>
          <w:szCs w:val="18"/>
        </w:rPr>
        <w:t>Erdbeeren</w:t>
      </w:r>
    </w:p>
    <w:p>
      <w:pPr>
        <w:spacing w:after="0" w:line="240" w:lineRule="auto"/>
        <w:jc w:val="left"/>
        <w:rPr>
          <w:rFonts w:eastAsia="Tahoma" w:cs="Tahoma"/>
          <w:kern w:val="1"/>
          <w:sz w:val="18"/>
          <w:szCs w:val="18"/>
        </w:rPr>
      </w:pPr>
      <w:r>
        <w:rPr>
          <w:rFonts w:eastAsia="Tahoma" w:cs="Tahoma"/>
          <w:kern w:val="1"/>
          <w:sz w:val="18"/>
          <w:szCs w:val="18"/>
        </w:rPr>
        <w:t>Zitrusfrüchte</w:t>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b/>
          <w:bCs/>
          <w:color w:val="0000ff"/>
          <w:kern w:val="1"/>
          <w:sz w:val="18"/>
          <w:szCs w:val="18"/>
        </w:rPr>
      </w:pPr>
      <w:r>
        <w:rPr>
          <w:rFonts w:eastAsia="Tahoma" w:cs="Tahoma"/>
          <w:b/>
          <w:bCs/>
          <w:color w:val="0000ff"/>
          <w:kern w:val="1"/>
          <w:sz w:val="18"/>
          <w:szCs w:val="18"/>
        </w:rPr>
        <w:t>Sonstige Lebensmittel</w:t>
      </w:r>
    </w:p>
    <w:p>
      <w:pPr>
        <w:spacing w:after="0" w:line="240" w:lineRule="auto"/>
        <w:jc w:val="left"/>
        <w:rPr>
          <w:rFonts w:eastAsia="Tahoma" w:cs="Tahoma"/>
          <w:kern w:val="1"/>
          <w:sz w:val="18"/>
          <w:szCs w:val="18"/>
        </w:rPr>
      </w:pPr>
      <w:r>
        <w:rPr>
          <w:rFonts w:eastAsia="Tahoma" w:cs="Tahoma"/>
          <w:kern w:val="1"/>
          <w:sz w:val="18"/>
          <w:szCs w:val="18"/>
        </w:rPr>
        <w:t>Kaffee</w:t>
      </w:r>
      <w:r>
        <w:rPr>
          <w:rFonts w:ascii="Cambria" w:hAnsi="Cambria"/>
          <w:sz w:val="24"/>
          <w:szCs w:val="24"/>
        </w:rPr>
        <w:fldChar w:fldCharType="end"/>
      </w:r>
      <w:r>
        <w:rPr>
          <w:rFonts w:ascii="Cambria" w:hAnsi="Cambria"/>
          <w:sz w:val="24"/>
          <w:szCs w:val="24"/>
        </w:rPr>
      </w:r>
      <w:r/>
      <w:bookmarkEnd w:id="38"/>
      <w:r/>
      <w:r>
        <w:rPr>
          <w:rFonts w:eastAsia="Tahoma" w:cs="Tahoma"/>
          <w:b/>
          <w:bCs/>
          <w:color w:val="007f7f"/>
          <w:kern w:val="1"/>
          <w:sz w:val="18"/>
          <w:szCs w:val="18"/>
        </w:rPr>
      </w:r>
    </w:p>
    <w:p>
      <w:r/>
    </w:p>
    <w:p>
      <w:pPr>
        <w:spacing/>
        <w:jc w:val="left"/>
        <w:rPr>
          <w:rFonts w:eastAsia="Tahoma" w:cs="Tahoma"/>
          <w:b/>
          <w:bCs/>
          <w:color w:val="7f0000"/>
          <w:kern w:val="1"/>
          <w:sz w:val="18"/>
          <w:szCs w:val="18"/>
        </w:rPr>
      </w:pPr>
      <w:r>
        <w:br w:type="page"/>
      </w:r>
      <w:r/>
      <w:bookmarkStart w:id="39" w:name="Textbox27"/>
      <w:r/>
      <w:r>
        <w:rPr>
          <w:rFonts w:eastAsia="Tahoma" w:cs="Tahoma"/>
          <w:kern w:val="1"/>
        </w:rPr>
      </w:r>
      <w:r>
        <w:rPr>
          <w:rFonts w:eastAsia="Tahoma" w:cs="Tahoma"/>
          <w:kern w:val="1"/>
        </w:rPr>
        <w:fldChar w:fldCharType="begin">
          <w:ffData>
            <w:name w:val="Textbox27"/>
            <w:enabled/>
            <w:calcOnExit w:val="0"/>
            <w:textInput/>
            <w:vAlign w:val="top"/>
            <w:dim t="141" b="141" l="141" r="141" w:top="72" w:bottom="72" w:left="144" w:right="144">
              <w:width w:w="4372"/>
              <w:height w:h="9367"/>
            </w:dim>
            <w:shd w:val="solid" w:color="FEC2C9" tmshd="6553989, 13222654, 16777215"/>
          </w:ffData>
        </w:fldChar>
      </w:r>
      <w:r>
        <w:rPr>
          <w:rFonts w:eastAsia="Tahoma" w:cs="Tahoma"/>
          <w:kern w:val="1"/>
        </w:rPr>
        <w:instrText xml:space="preserve"> FORMTEXT </w:instrText>
      </w:r>
      <w:r>
        <w:rPr>
          <w:rFonts w:eastAsia="Tahoma" w:cs="Tahoma"/>
          <w:kern w:val="1"/>
        </w:rPr>
        <w:fldChar w:fldCharType="separate"/>
      </w:r>
      <w:r>
        <w:rPr>
          <w:rFonts w:eastAsia="Tahoma" w:cs="Tahoma"/>
          <w:b/>
          <w:bCs/>
          <w:color w:val="7f0000"/>
          <w:kern w:val="1"/>
          <w:sz w:val="18"/>
          <w:szCs w:val="18"/>
        </w:rPr>
        <w:t>Lektinreiche Lebensmittel</w:t>
      </w:r>
    </w:p>
    <w:p>
      <w:pPr>
        <w:spacing w:after="0" w:line="240" w:lineRule="auto"/>
        <w:jc w:val="left"/>
        <w:rPr>
          <w:rFonts w:eastAsia="Tahoma" w:cs="Tahoma"/>
          <w:b/>
          <w:bCs/>
          <w:color w:val="0000ff"/>
          <w:kern w:val="1"/>
          <w:sz w:val="18"/>
          <w:szCs w:val="18"/>
        </w:rPr>
      </w:pPr>
      <w:r>
        <w:rPr>
          <w:rFonts w:eastAsia="Tahoma" w:cs="Tahoma"/>
          <w:b/>
          <w:bCs/>
          <w:color w:val="0000ff"/>
          <w:kern w:val="1"/>
          <w:sz w:val="18"/>
          <w:szCs w:val="18"/>
        </w:rPr>
        <w:t>Hülsenfrüchte</w:t>
      </w:r>
    </w:p>
    <w:p>
      <w:pPr>
        <w:spacing w:after="0" w:line="240" w:lineRule="auto"/>
        <w:jc w:val="left"/>
        <w:rPr>
          <w:rFonts w:eastAsia="Tahoma" w:cs="Tahoma"/>
          <w:kern w:val="1"/>
          <w:sz w:val="18"/>
          <w:szCs w:val="18"/>
        </w:rPr>
      </w:pPr>
      <w:r>
        <w:rPr>
          <w:rFonts w:eastAsia="Tahoma" w:cs="Tahoma"/>
          <w:kern w:val="1"/>
          <w:sz w:val="18"/>
          <w:szCs w:val="18"/>
        </w:rPr>
        <w:t>Ackerbohnen</w:t>
      </w:r>
    </w:p>
    <w:p>
      <w:pPr>
        <w:spacing w:after="0" w:line="240" w:lineRule="auto"/>
        <w:jc w:val="left"/>
        <w:rPr>
          <w:rFonts w:eastAsia="Tahoma" w:cs="Tahoma"/>
          <w:kern w:val="1"/>
          <w:sz w:val="18"/>
          <w:szCs w:val="18"/>
        </w:rPr>
      </w:pPr>
      <w:r>
        <w:rPr>
          <w:rFonts w:eastAsia="Tahoma" w:cs="Tahoma"/>
          <w:kern w:val="1"/>
          <w:sz w:val="18"/>
          <w:szCs w:val="18"/>
        </w:rPr>
        <w:t>Edamame (junge Sojabohne)</w:t>
      </w:r>
    </w:p>
    <w:p>
      <w:pPr>
        <w:spacing w:after="0" w:line="240" w:lineRule="auto"/>
        <w:jc w:val="left"/>
        <w:rPr>
          <w:rFonts w:eastAsia="Tahoma" w:cs="Tahoma"/>
          <w:kern w:val="1"/>
          <w:sz w:val="18"/>
          <w:szCs w:val="18"/>
        </w:rPr>
      </w:pPr>
      <w:r>
        <w:rPr>
          <w:rFonts w:eastAsia="Tahoma" w:cs="Tahoma"/>
          <w:kern w:val="1"/>
          <w:sz w:val="18"/>
          <w:szCs w:val="18"/>
        </w:rPr>
        <w:t>Erbsen</w:t>
      </w:r>
    </w:p>
    <w:p>
      <w:pPr>
        <w:spacing w:after="0" w:line="240" w:lineRule="auto"/>
        <w:jc w:val="left"/>
        <w:rPr>
          <w:rFonts w:eastAsia="Tahoma" w:cs="Tahoma"/>
          <w:kern w:val="1"/>
          <w:sz w:val="18"/>
          <w:szCs w:val="18"/>
        </w:rPr>
      </w:pPr>
      <w:r>
        <w:rPr>
          <w:rFonts w:eastAsia="Tahoma" w:cs="Tahoma"/>
          <w:kern w:val="1"/>
          <w:sz w:val="18"/>
          <w:szCs w:val="18"/>
        </w:rPr>
        <w:t>Bohnen (alle Sorten)</w:t>
      </w:r>
    </w:p>
    <w:p>
      <w:pPr>
        <w:spacing w:after="0" w:line="240" w:lineRule="auto"/>
        <w:jc w:val="left"/>
        <w:rPr>
          <w:rFonts w:eastAsia="Tahoma" w:cs="Tahoma"/>
          <w:kern w:val="1"/>
          <w:sz w:val="18"/>
          <w:szCs w:val="18"/>
        </w:rPr>
      </w:pPr>
      <w:r>
        <w:rPr>
          <w:rFonts w:eastAsia="Tahoma" w:cs="Tahoma"/>
          <w:kern w:val="1"/>
          <w:sz w:val="18"/>
          <w:szCs w:val="18"/>
        </w:rPr>
        <w:t>Gartenbohnen</w:t>
      </w:r>
    </w:p>
    <w:p>
      <w:pPr>
        <w:spacing w:after="0" w:line="240" w:lineRule="auto"/>
        <w:jc w:val="left"/>
        <w:rPr>
          <w:rFonts w:eastAsia="Tahoma" w:cs="Tahoma"/>
          <w:kern w:val="1"/>
          <w:sz w:val="18"/>
          <w:szCs w:val="18"/>
        </w:rPr>
      </w:pPr>
      <w:r>
        <w:rPr>
          <w:rFonts w:eastAsia="Tahoma" w:cs="Tahoma"/>
          <w:kern w:val="1"/>
          <w:sz w:val="18"/>
          <w:szCs w:val="18"/>
        </w:rPr>
        <w:t>Grüne Bohnen</w:t>
      </w:r>
    </w:p>
    <w:p>
      <w:pPr>
        <w:spacing w:after="0" w:line="240" w:lineRule="auto"/>
        <w:jc w:val="left"/>
        <w:rPr>
          <w:rFonts w:eastAsia="Tahoma" w:cs="Tahoma"/>
          <w:kern w:val="1"/>
          <w:sz w:val="18"/>
          <w:szCs w:val="18"/>
        </w:rPr>
      </w:pPr>
      <w:r>
        <w:rPr>
          <w:rFonts w:eastAsia="Tahoma" w:cs="Tahoma"/>
          <w:kern w:val="1"/>
          <w:sz w:val="18"/>
          <w:szCs w:val="18"/>
        </w:rPr>
        <w:t>Jackbohnen</w:t>
      </w:r>
    </w:p>
    <w:p>
      <w:pPr>
        <w:spacing w:after="0" w:line="240" w:lineRule="auto"/>
        <w:jc w:val="left"/>
        <w:rPr>
          <w:rFonts w:eastAsia="Tahoma" w:cs="Tahoma"/>
          <w:kern w:val="1"/>
          <w:sz w:val="18"/>
          <w:szCs w:val="18"/>
        </w:rPr>
      </w:pPr>
      <w:r>
        <w:rPr>
          <w:rFonts w:eastAsia="Tahoma" w:cs="Tahoma"/>
          <w:kern w:val="1"/>
          <w:sz w:val="18"/>
          <w:szCs w:val="18"/>
        </w:rPr>
        <w:t>Kidneybohnen</w:t>
      </w:r>
    </w:p>
    <w:p>
      <w:pPr>
        <w:spacing w:after="0" w:line="240" w:lineRule="auto"/>
        <w:jc w:val="left"/>
        <w:rPr>
          <w:rFonts w:eastAsia="Tahoma" w:cs="Tahoma"/>
          <w:kern w:val="1"/>
          <w:sz w:val="18"/>
          <w:szCs w:val="18"/>
        </w:rPr>
      </w:pPr>
      <w:r>
        <w:rPr>
          <w:rFonts w:eastAsia="Tahoma" w:cs="Tahoma"/>
          <w:kern w:val="1"/>
          <w:sz w:val="18"/>
          <w:szCs w:val="18"/>
        </w:rPr>
        <w:t>Sojabohnen</w:t>
      </w:r>
    </w:p>
    <w:p>
      <w:pPr>
        <w:spacing w:after="0" w:line="240" w:lineRule="auto"/>
        <w:jc w:val="left"/>
        <w:rPr>
          <w:rFonts w:eastAsia="Tahoma" w:cs="Tahoma"/>
          <w:kern w:val="1"/>
          <w:sz w:val="18"/>
          <w:szCs w:val="18"/>
        </w:rPr>
      </w:pPr>
      <w:r>
        <w:rPr>
          <w:rFonts w:eastAsia="Tahoma" w:cs="Tahoma"/>
          <w:kern w:val="1"/>
          <w:sz w:val="18"/>
          <w:szCs w:val="18"/>
        </w:rPr>
        <w:t>Sojaprodukte, wie Tofu, Tempeh, Sojaschnetzel, Linsen (alle Sorten)</w:t>
      </w:r>
    </w:p>
    <w:p>
      <w:pPr>
        <w:spacing w:after="0" w:line="240" w:lineRule="auto"/>
        <w:jc w:val="left"/>
        <w:rPr>
          <w:rFonts w:eastAsia="Tahoma" w:cs="Tahoma"/>
          <w:kern w:val="1"/>
          <w:sz w:val="18"/>
          <w:szCs w:val="18"/>
        </w:rPr>
      </w:pPr>
      <w:r>
        <w:rPr>
          <w:rFonts w:eastAsia="Tahoma" w:cs="Tahoma"/>
          <w:kern w:val="1"/>
          <w:sz w:val="18"/>
          <w:szCs w:val="18"/>
        </w:rPr>
        <w:t>Kichererbsen</w:t>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b/>
          <w:bCs/>
          <w:color w:val="0000ff"/>
          <w:kern w:val="1"/>
          <w:sz w:val="18"/>
          <w:szCs w:val="18"/>
        </w:rPr>
      </w:pPr>
      <w:r>
        <w:rPr>
          <w:rFonts w:eastAsia="Tahoma" w:cs="Tahoma"/>
          <w:b/>
          <w:bCs/>
          <w:color w:val="0000ff"/>
          <w:kern w:val="1"/>
          <w:sz w:val="18"/>
          <w:szCs w:val="18"/>
        </w:rPr>
        <w:t>Getreide</w:t>
      </w:r>
    </w:p>
    <w:p>
      <w:pPr>
        <w:spacing w:after="0" w:line="240" w:lineRule="auto"/>
        <w:jc w:val="left"/>
        <w:rPr>
          <w:rFonts w:eastAsia="Tahoma" w:cs="Tahoma"/>
          <w:kern w:val="1"/>
          <w:sz w:val="18"/>
          <w:szCs w:val="18"/>
        </w:rPr>
      </w:pPr>
      <w:r>
        <w:rPr>
          <w:rFonts w:eastAsia="Tahoma" w:cs="Tahoma"/>
          <w:kern w:val="1"/>
          <w:sz w:val="18"/>
          <w:szCs w:val="18"/>
        </w:rPr>
        <w:t>Einkorn</w:t>
      </w:r>
    </w:p>
    <w:p>
      <w:pPr>
        <w:spacing w:after="0" w:line="240" w:lineRule="auto"/>
        <w:jc w:val="left"/>
        <w:rPr>
          <w:rFonts w:eastAsia="Tahoma" w:cs="Tahoma"/>
          <w:kern w:val="1"/>
          <w:sz w:val="18"/>
          <w:szCs w:val="18"/>
        </w:rPr>
      </w:pPr>
      <w:r>
        <w:rPr>
          <w:rFonts w:eastAsia="Tahoma" w:cs="Tahoma"/>
          <w:kern w:val="1"/>
          <w:sz w:val="18"/>
          <w:szCs w:val="18"/>
        </w:rPr>
        <w:t>Buchweizen</w:t>
      </w:r>
    </w:p>
    <w:p>
      <w:pPr>
        <w:spacing w:after="0" w:line="240" w:lineRule="auto"/>
        <w:jc w:val="left"/>
        <w:rPr>
          <w:rFonts w:eastAsia="Tahoma" w:cs="Tahoma"/>
          <w:kern w:val="1"/>
          <w:sz w:val="18"/>
          <w:szCs w:val="18"/>
        </w:rPr>
      </w:pPr>
      <w:r>
        <w:rPr>
          <w:rFonts w:eastAsia="Tahoma" w:cs="Tahoma"/>
          <w:kern w:val="1"/>
          <w:sz w:val="18"/>
          <w:szCs w:val="18"/>
        </w:rPr>
        <w:t>Dinkel</w:t>
      </w:r>
    </w:p>
    <w:p>
      <w:pPr>
        <w:spacing w:after="0" w:line="240" w:lineRule="auto"/>
        <w:jc w:val="left"/>
        <w:rPr>
          <w:rFonts w:eastAsia="Tahoma" w:cs="Tahoma"/>
          <w:kern w:val="1"/>
          <w:sz w:val="18"/>
          <w:szCs w:val="18"/>
        </w:rPr>
      </w:pPr>
      <w:r>
        <w:rPr>
          <w:rFonts w:eastAsia="Tahoma" w:cs="Tahoma"/>
          <w:kern w:val="1"/>
          <w:sz w:val="18"/>
          <w:szCs w:val="18"/>
        </w:rPr>
        <w:t>Gerste</w:t>
      </w:r>
    </w:p>
    <w:p>
      <w:pPr>
        <w:spacing w:after="0" w:line="240" w:lineRule="auto"/>
        <w:jc w:val="left"/>
        <w:rPr>
          <w:rFonts w:eastAsia="Tahoma" w:cs="Tahoma"/>
          <w:kern w:val="1"/>
          <w:sz w:val="18"/>
          <w:szCs w:val="18"/>
        </w:rPr>
      </w:pPr>
      <w:r>
        <w:rPr>
          <w:rFonts w:eastAsia="Tahoma" w:cs="Tahoma"/>
          <w:kern w:val="1"/>
          <w:sz w:val="18"/>
          <w:szCs w:val="18"/>
        </w:rPr>
        <w:t>Gerstengras</w:t>
      </w:r>
    </w:p>
    <w:p>
      <w:pPr>
        <w:spacing w:after="0" w:line="240" w:lineRule="auto"/>
        <w:jc w:val="left"/>
        <w:rPr>
          <w:rFonts w:eastAsia="Tahoma" w:cs="Tahoma"/>
          <w:kern w:val="1"/>
          <w:sz w:val="18"/>
          <w:szCs w:val="18"/>
        </w:rPr>
      </w:pPr>
      <w:r>
        <w:rPr>
          <w:rFonts w:eastAsia="Tahoma" w:cs="Tahoma"/>
          <w:kern w:val="1"/>
          <w:sz w:val="18"/>
          <w:szCs w:val="18"/>
        </w:rPr>
        <w:t>Kamut</w:t>
      </w:r>
    </w:p>
    <w:p>
      <w:pPr>
        <w:spacing w:after="0" w:line="240" w:lineRule="auto"/>
        <w:jc w:val="left"/>
        <w:rPr>
          <w:rFonts w:eastAsia="Tahoma" w:cs="Tahoma"/>
          <w:kern w:val="1"/>
          <w:sz w:val="18"/>
          <w:szCs w:val="18"/>
        </w:rPr>
      </w:pPr>
      <w:r>
        <w:rPr>
          <w:rFonts w:eastAsia="Tahoma" w:cs="Tahoma"/>
          <w:kern w:val="1"/>
          <w:sz w:val="18"/>
          <w:szCs w:val="18"/>
        </w:rPr>
        <w:t>Hafer</w:t>
      </w:r>
    </w:p>
    <w:p>
      <w:pPr>
        <w:spacing w:after="0" w:line="240" w:lineRule="auto"/>
        <w:jc w:val="left"/>
        <w:rPr>
          <w:rFonts w:eastAsia="Tahoma" w:cs="Tahoma"/>
          <w:kern w:val="1"/>
          <w:sz w:val="18"/>
          <w:szCs w:val="18"/>
        </w:rPr>
      </w:pPr>
      <w:r>
        <w:rPr>
          <w:rFonts w:eastAsia="Tahoma" w:cs="Tahoma"/>
          <w:kern w:val="1"/>
          <w:sz w:val="18"/>
          <w:szCs w:val="18"/>
        </w:rPr>
        <w:t>Mais</w:t>
      </w:r>
    </w:p>
    <w:p>
      <w:pPr>
        <w:spacing w:after="0" w:line="240" w:lineRule="auto"/>
        <w:jc w:val="left"/>
        <w:rPr>
          <w:rFonts w:eastAsia="Tahoma" w:cs="Tahoma"/>
          <w:kern w:val="1"/>
          <w:sz w:val="18"/>
          <w:szCs w:val="18"/>
        </w:rPr>
      </w:pPr>
      <w:r>
        <w:rPr>
          <w:rFonts w:eastAsia="Tahoma" w:cs="Tahoma"/>
          <w:kern w:val="1"/>
          <w:sz w:val="18"/>
          <w:szCs w:val="18"/>
        </w:rPr>
        <w:t>Maisprodukte, wie</w:t>
      </w:r>
    </w:p>
    <w:p>
      <w:pPr>
        <w:spacing w:after="0" w:line="240" w:lineRule="auto"/>
        <w:jc w:val="left"/>
        <w:rPr>
          <w:rFonts w:eastAsia="Tahoma" w:cs="Tahoma"/>
          <w:kern w:val="1"/>
          <w:sz w:val="18"/>
          <w:szCs w:val="18"/>
        </w:rPr>
      </w:pPr>
      <w:r>
        <w:rPr>
          <w:rFonts w:eastAsia="Tahoma" w:cs="Tahoma"/>
          <w:kern w:val="1"/>
          <w:sz w:val="18"/>
          <w:szCs w:val="18"/>
        </w:rPr>
        <w:t>- Cornflakes</w:t>
      </w:r>
    </w:p>
    <w:p>
      <w:pPr>
        <w:spacing w:after="0" w:line="240" w:lineRule="auto"/>
        <w:jc w:val="left"/>
        <w:rPr>
          <w:rFonts w:eastAsia="Tahoma" w:cs="Tahoma"/>
          <w:kern w:val="1"/>
          <w:sz w:val="18"/>
          <w:szCs w:val="18"/>
        </w:rPr>
      </w:pPr>
      <w:r>
        <w:rPr>
          <w:rFonts w:eastAsia="Tahoma" w:cs="Tahoma"/>
          <w:kern w:val="1"/>
          <w:sz w:val="18"/>
          <w:szCs w:val="18"/>
        </w:rPr>
        <w:t>- Maisstärke</w:t>
      </w:r>
    </w:p>
    <w:p>
      <w:pPr>
        <w:spacing w:after="0" w:line="240" w:lineRule="auto"/>
        <w:jc w:val="left"/>
        <w:rPr>
          <w:rFonts w:eastAsia="Tahoma" w:cs="Tahoma"/>
          <w:kern w:val="1"/>
          <w:sz w:val="18"/>
          <w:szCs w:val="18"/>
        </w:rPr>
      </w:pPr>
      <w:r>
        <w:rPr>
          <w:rFonts w:eastAsia="Tahoma" w:cs="Tahoma"/>
          <w:kern w:val="1"/>
          <w:sz w:val="18"/>
          <w:szCs w:val="18"/>
        </w:rPr>
        <w:t>- Popcorn</w:t>
      </w:r>
    </w:p>
    <w:p>
      <w:pPr>
        <w:spacing w:after="0" w:line="240" w:lineRule="auto"/>
        <w:jc w:val="left"/>
        <w:rPr>
          <w:rFonts w:eastAsia="Tahoma" w:cs="Tahoma"/>
          <w:kern w:val="1"/>
          <w:sz w:val="18"/>
          <w:szCs w:val="18"/>
        </w:rPr>
      </w:pPr>
      <w:r>
        <w:rPr>
          <w:rFonts w:eastAsia="Tahoma" w:cs="Tahoma"/>
          <w:kern w:val="1"/>
          <w:sz w:val="18"/>
          <w:szCs w:val="18"/>
        </w:rPr>
        <w:t>Quinoa</w:t>
      </w:r>
    </w:p>
    <w:p>
      <w:pPr>
        <w:spacing w:after="0" w:line="240" w:lineRule="auto"/>
        <w:jc w:val="left"/>
        <w:rPr>
          <w:rFonts w:eastAsia="Tahoma" w:cs="Tahoma"/>
          <w:kern w:val="1"/>
          <w:sz w:val="18"/>
          <w:szCs w:val="18"/>
        </w:rPr>
      </w:pPr>
      <w:r>
        <w:rPr>
          <w:rFonts w:eastAsia="Tahoma" w:cs="Tahoma"/>
          <w:kern w:val="1"/>
          <w:sz w:val="18"/>
          <w:szCs w:val="18"/>
        </w:rPr>
        <w:t>Reis</w:t>
      </w:r>
    </w:p>
    <w:p>
      <w:pPr>
        <w:spacing w:after="0" w:line="240" w:lineRule="auto"/>
        <w:jc w:val="left"/>
        <w:rPr>
          <w:rFonts w:eastAsia="Tahoma" w:cs="Tahoma"/>
          <w:kern w:val="1"/>
          <w:sz w:val="18"/>
          <w:szCs w:val="18"/>
        </w:rPr>
      </w:pPr>
      <w:r>
        <w:rPr>
          <w:rFonts w:eastAsia="Tahoma" w:cs="Tahoma"/>
          <w:kern w:val="1"/>
          <w:sz w:val="18"/>
          <w:szCs w:val="18"/>
        </w:rPr>
        <w:t>Reiskleie</w:t>
      </w:r>
    </w:p>
    <w:p>
      <w:pPr>
        <w:spacing w:after="0" w:line="240" w:lineRule="auto"/>
        <w:jc w:val="left"/>
        <w:rPr>
          <w:rFonts w:eastAsia="Tahoma" w:cs="Tahoma"/>
          <w:kern w:val="1"/>
          <w:sz w:val="18"/>
          <w:szCs w:val="18"/>
        </w:rPr>
      </w:pPr>
      <w:r>
        <w:rPr>
          <w:rFonts w:eastAsia="Tahoma" w:cs="Tahoma"/>
          <w:kern w:val="1"/>
          <w:sz w:val="18"/>
          <w:szCs w:val="18"/>
        </w:rPr>
        <w:t>Roggen</w:t>
      </w:r>
    </w:p>
    <w:p>
      <w:pPr>
        <w:spacing w:after="0" w:line="240" w:lineRule="auto"/>
        <w:jc w:val="left"/>
        <w:rPr>
          <w:rFonts w:eastAsia="Tahoma" w:cs="Tahoma"/>
          <w:kern w:val="1"/>
          <w:sz w:val="18"/>
          <w:szCs w:val="18"/>
        </w:rPr>
      </w:pPr>
      <w:r>
        <w:rPr>
          <w:rFonts w:eastAsia="Tahoma" w:cs="Tahoma"/>
          <w:kern w:val="1"/>
          <w:sz w:val="18"/>
          <w:szCs w:val="18"/>
        </w:rPr>
        <w:t>Weizen</w:t>
      </w:r>
    </w:p>
    <w:p>
      <w:pPr>
        <w:spacing w:after="0" w:line="240" w:lineRule="auto"/>
        <w:jc w:val="left"/>
        <w:rPr>
          <w:rFonts w:eastAsia="Tahoma" w:cs="Tahoma"/>
          <w:kern w:val="1"/>
          <w:sz w:val="18"/>
          <w:szCs w:val="18"/>
        </w:rPr>
      </w:pPr>
      <w:r>
        <w:rPr>
          <w:rFonts w:eastAsia="Tahoma" w:cs="Tahoma"/>
          <w:kern w:val="1"/>
          <w:sz w:val="18"/>
          <w:szCs w:val="18"/>
        </w:rPr>
        <w:t>Weizengras</w:t>
      </w:r>
    </w:p>
    <w:p>
      <w:pPr>
        <w:spacing w:after="0" w:line="240" w:lineRule="auto"/>
        <w:jc w:val="left"/>
        <w:rPr>
          <w:rFonts w:eastAsia="Tahoma" w:cs="Tahoma"/>
          <w:kern w:val="1"/>
          <w:sz w:val="18"/>
          <w:szCs w:val="18"/>
        </w:rPr>
      </w:pPr>
      <w:r>
        <w:rPr>
          <w:rFonts w:eastAsia="Tahoma" w:cs="Tahoma"/>
          <w:kern w:val="1"/>
          <w:sz w:val="18"/>
          <w:szCs w:val="18"/>
        </w:rPr>
        <w:t>Weizenkeime</w:t>
      </w:r>
    </w:p>
    <w:p>
      <w:pPr>
        <w:spacing w:after="0" w:line="240" w:lineRule="auto"/>
        <w:jc w:val="left"/>
        <w:rPr>
          <w:rFonts w:eastAsia="Tahoma" w:cs="Tahoma"/>
          <w:kern w:val="1"/>
          <w:sz w:val="18"/>
          <w:szCs w:val="18"/>
        </w:rPr>
      </w:pPr>
      <w:r>
        <w:rPr>
          <w:rFonts w:eastAsia="Tahoma" w:cs="Tahoma"/>
          <w:kern w:val="1"/>
          <w:sz w:val="18"/>
          <w:szCs w:val="18"/>
        </w:rPr>
        <w:t>Wildreis</w:t>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b/>
          <w:bCs/>
          <w:color w:val="0000ff"/>
          <w:kern w:val="1"/>
          <w:sz w:val="18"/>
          <w:szCs w:val="18"/>
        </w:rPr>
      </w:pPr>
      <w:r>
        <w:rPr>
          <w:rFonts w:eastAsia="Tahoma" w:cs="Tahoma"/>
          <w:b/>
          <w:bCs/>
          <w:color w:val="0000ff"/>
          <w:kern w:val="1"/>
          <w:sz w:val="18"/>
          <w:szCs w:val="18"/>
        </w:rPr>
        <w:t>Obst</w:t>
      </w:r>
    </w:p>
    <w:p>
      <w:pPr>
        <w:spacing w:after="0" w:line="240" w:lineRule="auto"/>
        <w:jc w:val="left"/>
        <w:rPr>
          <w:rFonts w:eastAsia="Tahoma" w:cs="Tahoma"/>
          <w:kern w:val="1"/>
          <w:sz w:val="18"/>
          <w:szCs w:val="18"/>
        </w:rPr>
      </w:pPr>
      <w:r>
        <w:rPr>
          <w:rFonts w:eastAsia="Tahoma" w:cs="Tahoma"/>
          <w:kern w:val="1"/>
          <w:sz w:val="18"/>
          <w:szCs w:val="18"/>
        </w:rPr>
        <w:t>Bananen</w:t>
      </w:r>
    </w:p>
    <w:p>
      <w:pPr>
        <w:spacing w:after="0" w:line="240" w:lineRule="auto"/>
        <w:jc w:val="left"/>
        <w:rPr>
          <w:rFonts w:eastAsia="Tahoma" w:cs="Tahoma"/>
          <w:kern w:val="1"/>
          <w:sz w:val="18"/>
          <w:szCs w:val="18"/>
        </w:rPr>
      </w:pPr>
      <w:r>
        <w:rPr>
          <w:rFonts w:eastAsia="Tahoma" w:cs="Tahoma"/>
          <w:kern w:val="1"/>
          <w:sz w:val="18"/>
          <w:szCs w:val="18"/>
        </w:rPr>
        <w:t>Holunderbeeren</w:t>
      </w:r>
    </w:p>
    <w:p>
      <w:pPr>
        <w:spacing w:after="0" w:line="240" w:lineRule="auto"/>
        <w:jc w:val="left"/>
        <w:rPr>
          <w:rFonts w:eastAsia="Tahoma" w:cs="Tahoma"/>
          <w:kern w:val="1"/>
          <w:sz w:val="18"/>
          <w:szCs w:val="18"/>
        </w:rPr>
      </w:pPr>
      <w:r>
        <w:rPr>
          <w:rFonts w:eastAsia="Tahoma" w:cs="Tahoma"/>
          <w:kern w:val="1"/>
          <w:sz w:val="18"/>
          <w:szCs w:val="18"/>
        </w:rPr>
        <w:t>Gojibeeren</w:t>
      </w:r>
    </w:p>
    <w:p>
      <w:pPr>
        <w:spacing w:after="0" w:line="240" w:lineRule="auto"/>
        <w:jc w:val="left"/>
        <w:rPr>
          <w:rFonts w:eastAsia="Tahoma" w:cs="Tahoma"/>
          <w:b/>
          <w:bCs/>
          <w:color w:val="7f0000"/>
          <w:kern w:val="1"/>
          <w:sz w:val="18"/>
          <w:szCs w:val="18"/>
        </w:rPr>
      </w:pPr>
      <w:r>
        <w:rPr>
          <w:rFonts w:eastAsia="Tahoma" w:cs="Tahoma"/>
          <w:kern w:val="1"/>
          <w:sz w:val="18"/>
          <w:szCs w:val="18"/>
        </w:rPr>
        <w:t>Melonen, alle Arten</w:t>
      </w:r>
      <w:r>
        <w:rPr>
          <w:rFonts w:eastAsia="Tahoma" w:cs="Tahoma"/>
          <w:b/>
          <w:bCs/>
          <w:color w:val="7f0000"/>
          <w:kern w:val="1"/>
          <w:sz w:val="18"/>
          <w:szCs w:val="18"/>
        </w:rPr>
      </w:r>
      <w:r>
        <w:rPr>
          <w:rFonts w:eastAsia="Tahoma" w:cs="Tahoma"/>
          <w:kern w:val="1"/>
        </w:rPr>
        <w:fldChar w:fldCharType="end"/>
      </w:r>
      <w:r>
        <w:rPr>
          <w:rFonts w:eastAsia="Tahoma" w:cs="Tahoma"/>
          <w:kern w:val="1"/>
        </w:rPr>
      </w:r>
      <w:r/>
      <w:bookmarkEnd w:id="39"/>
      <w:r/>
      <w:r>
        <w:rPr>
          <w:rFonts w:eastAsia="Tahoma" w:cs="Tahoma"/>
          <w:kern w:val="1"/>
        </w:rPr>
        <w:t xml:space="preserve">   </w:t>
      </w:r>
      <w:r/>
      <w:bookmarkStart w:id="40" w:name="Textbox25"/>
      <w:r/>
      <w:r>
        <w:rPr>
          <w:rFonts w:eastAsia="Tahoma" w:cs="Tahoma"/>
          <w:kern w:val="1"/>
        </w:rPr>
      </w:r>
      <w:r>
        <w:rPr>
          <w:rFonts w:eastAsia="Tahoma" w:cs="Tahoma"/>
          <w:kern w:val="1"/>
        </w:rPr>
        <w:fldChar w:fldCharType="begin">
          <w:ffData>
            <w:name w:val="Textbox25"/>
            <w:enabled/>
            <w:calcOnExit w:val="0"/>
            <w:textInput/>
            <w:vAlign w:val="top"/>
            <w:dim t="141" b="141" l="141" r="141" w:top="72" w:bottom="72" w:left="144" w:right="144">
              <w:width w:w="4273"/>
              <w:height w:h="9358"/>
            </w:dim>
            <w:shd w:val="solid" w:color="FEC2C9" tmshd="6553989, 13222654, 16777215"/>
          </w:ffData>
        </w:fldChar>
      </w:r>
      <w:r>
        <w:rPr>
          <w:rFonts w:eastAsia="Tahoma" w:cs="Tahoma"/>
          <w:kern w:val="1"/>
        </w:rPr>
        <w:instrText xml:space="preserve"> FORMTEXT </w:instrText>
      </w:r>
      <w:r>
        <w:rPr>
          <w:rFonts w:eastAsia="Tahoma" w:cs="Tahoma"/>
          <w:kern w:val="1"/>
        </w:rPr>
        <w:fldChar w:fldCharType="separate"/>
      </w:r>
      <w:r>
        <w:rPr>
          <w:rFonts w:eastAsia="Tahoma" w:cs="Tahoma"/>
          <w:b/>
          <w:bCs/>
          <w:color w:val="7f0000"/>
          <w:kern w:val="1"/>
          <w:sz w:val="18"/>
          <w:szCs w:val="18"/>
        </w:rPr>
        <w:t>Lektinreiche Lebensmittel</w:t>
      </w:r>
    </w:p>
    <w:p>
      <w:pPr>
        <w:spacing w:after="0" w:line="240" w:lineRule="auto"/>
        <w:jc w:val="left"/>
        <w:rPr>
          <w:rFonts w:eastAsia="Tahoma" w:cs="Tahoma"/>
          <w:b/>
          <w:bCs/>
          <w:color w:val="0000ff"/>
          <w:kern w:val="1"/>
          <w:sz w:val="18"/>
          <w:szCs w:val="18"/>
        </w:rPr>
      </w:pPr>
      <w:r>
        <w:rPr>
          <w:rFonts w:eastAsia="Tahoma" w:cs="Tahoma"/>
          <w:b/>
          <w:bCs/>
          <w:color w:val="0000ff"/>
          <w:kern w:val="1"/>
          <w:sz w:val="18"/>
          <w:szCs w:val="18"/>
        </w:rPr>
        <w:t>Nüsse und Samen</w:t>
      </w:r>
    </w:p>
    <w:p>
      <w:pPr>
        <w:spacing w:after="0" w:line="240" w:lineRule="auto"/>
        <w:jc w:val="left"/>
        <w:rPr>
          <w:rFonts w:eastAsia="Tahoma" w:cs="Tahoma"/>
          <w:kern w:val="1"/>
          <w:sz w:val="18"/>
          <w:szCs w:val="18"/>
        </w:rPr>
      </w:pPr>
      <w:r>
        <w:rPr>
          <w:rFonts w:eastAsia="Tahoma" w:cs="Tahoma"/>
          <w:kern w:val="1"/>
          <w:sz w:val="18"/>
          <w:szCs w:val="18"/>
        </w:rPr>
        <w:t>Cashewkerne</w:t>
      </w:r>
    </w:p>
    <w:p>
      <w:pPr>
        <w:spacing w:after="0" w:line="240" w:lineRule="auto"/>
        <w:jc w:val="left"/>
        <w:rPr>
          <w:rFonts w:eastAsia="Tahoma" w:cs="Tahoma"/>
          <w:kern w:val="1"/>
          <w:sz w:val="18"/>
          <w:szCs w:val="18"/>
        </w:rPr>
      </w:pPr>
      <w:r>
        <w:rPr>
          <w:rFonts w:eastAsia="Tahoma" w:cs="Tahoma"/>
          <w:kern w:val="1"/>
          <w:sz w:val="18"/>
          <w:szCs w:val="18"/>
        </w:rPr>
        <w:t>Chiasamen</w:t>
      </w:r>
    </w:p>
    <w:p>
      <w:pPr>
        <w:spacing w:after="0" w:line="240" w:lineRule="auto"/>
        <w:jc w:val="left"/>
        <w:rPr>
          <w:rFonts w:eastAsia="Tahoma" w:cs="Tahoma"/>
          <w:kern w:val="1"/>
          <w:sz w:val="18"/>
          <w:szCs w:val="18"/>
        </w:rPr>
      </w:pPr>
      <w:r>
        <w:rPr>
          <w:rFonts w:eastAsia="Tahoma" w:cs="Tahoma"/>
          <w:kern w:val="1"/>
          <w:sz w:val="18"/>
          <w:szCs w:val="18"/>
        </w:rPr>
        <w:t>Erdnüsse</w:t>
      </w:r>
    </w:p>
    <w:p>
      <w:pPr>
        <w:spacing w:after="0" w:line="240" w:lineRule="auto"/>
        <w:jc w:val="left"/>
        <w:rPr>
          <w:rFonts w:eastAsia="Tahoma" w:cs="Tahoma"/>
          <w:kern w:val="1"/>
          <w:sz w:val="18"/>
          <w:szCs w:val="18"/>
        </w:rPr>
      </w:pPr>
      <w:r>
        <w:rPr>
          <w:rFonts w:eastAsia="Tahoma" w:cs="Tahoma"/>
          <w:kern w:val="1"/>
          <w:sz w:val="18"/>
          <w:szCs w:val="18"/>
        </w:rPr>
        <w:t>Hanfsamen</w:t>
      </w:r>
    </w:p>
    <w:p>
      <w:pPr>
        <w:spacing w:after="0" w:line="240" w:lineRule="auto"/>
        <w:jc w:val="left"/>
        <w:rPr>
          <w:rFonts w:eastAsia="Tahoma" w:cs="Tahoma"/>
          <w:kern w:val="1"/>
          <w:sz w:val="18"/>
          <w:szCs w:val="18"/>
        </w:rPr>
      </w:pPr>
      <w:r>
        <w:rPr>
          <w:rFonts w:eastAsia="Tahoma" w:cs="Tahoma"/>
          <w:kern w:val="1"/>
          <w:sz w:val="18"/>
          <w:szCs w:val="18"/>
        </w:rPr>
        <w:t>Kastanien</w:t>
      </w:r>
    </w:p>
    <w:p>
      <w:pPr>
        <w:spacing w:after="0" w:line="240" w:lineRule="auto"/>
        <w:jc w:val="left"/>
        <w:rPr>
          <w:rFonts w:eastAsia="Tahoma" w:cs="Tahoma"/>
          <w:kern w:val="1"/>
          <w:sz w:val="18"/>
          <w:szCs w:val="18"/>
        </w:rPr>
      </w:pPr>
      <w:r>
        <w:rPr>
          <w:rFonts w:eastAsia="Tahoma" w:cs="Tahoma"/>
          <w:kern w:val="1"/>
          <w:sz w:val="18"/>
          <w:szCs w:val="18"/>
        </w:rPr>
        <w:t>Kürbiskerne</w:t>
      </w:r>
    </w:p>
    <w:p>
      <w:pPr>
        <w:spacing w:after="0" w:line="240" w:lineRule="auto"/>
        <w:jc w:val="left"/>
        <w:rPr>
          <w:rFonts w:eastAsia="Tahoma" w:cs="Tahoma"/>
          <w:kern w:val="1"/>
          <w:sz w:val="18"/>
          <w:szCs w:val="18"/>
        </w:rPr>
      </w:pPr>
      <w:r>
        <w:rPr>
          <w:rFonts w:eastAsia="Tahoma" w:cs="Tahoma"/>
          <w:kern w:val="1"/>
          <w:sz w:val="18"/>
          <w:szCs w:val="18"/>
        </w:rPr>
        <w:t>Leinsamen</w:t>
      </w:r>
    </w:p>
    <w:p>
      <w:pPr>
        <w:spacing w:after="0" w:line="240" w:lineRule="auto"/>
        <w:jc w:val="left"/>
        <w:rPr>
          <w:rFonts w:eastAsia="Tahoma" w:cs="Tahoma"/>
          <w:kern w:val="1"/>
          <w:sz w:val="18"/>
          <w:szCs w:val="18"/>
        </w:rPr>
      </w:pPr>
      <w:r>
        <w:rPr>
          <w:rFonts w:eastAsia="Tahoma" w:cs="Tahoma"/>
          <w:kern w:val="1"/>
          <w:sz w:val="18"/>
          <w:szCs w:val="18"/>
        </w:rPr>
        <w:t>Mandeln mit Haut</w:t>
      </w:r>
    </w:p>
    <w:p>
      <w:pPr>
        <w:spacing w:after="0" w:line="240" w:lineRule="auto"/>
        <w:jc w:val="left"/>
        <w:rPr>
          <w:rFonts w:eastAsia="Tahoma" w:cs="Tahoma"/>
          <w:kern w:val="1"/>
          <w:sz w:val="18"/>
          <w:szCs w:val="18"/>
        </w:rPr>
      </w:pPr>
      <w:r>
        <w:rPr>
          <w:rFonts w:eastAsia="Tahoma" w:cs="Tahoma"/>
          <w:kern w:val="1"/>
          <w:sz w:val="18"/>
          <w:szCs w:val="18"/>
        </w:rPr>
        <w:t>Schwarzkümmelsamen</w:t>
      </w:r>
    </w:p>
    <w:p>
      <w:pPr>
        <w:spacing w:after="0" w:line="240" w:lineRule="auto"/>
        <w:jc w:val="left"/>
        <w:rPr>
          <w:rFonts w:eastAsia="Tahoma" w:cs="Tahoma"/>
          <w:kern w:val="1"/>
          <w:sz w:val="18"/>
          <w:szCs w:val="18"/>
        </w:rPr>
      </w:pPr>
      <w:r>
        <w:rPr>
          <w:rFonts w:eastAsia="Tahoma" w:cs="Tahoma"/>
          <w:kern w:val="1"/>
          <w:sz w:val="18"/>
          <w:szCs w:val="18"/>
        </w:rPr>
        <w:t>Sesam</w:t>
      </w:r>
    </w:p>
    <w:p>
      <w:pPr>
        <w:spacing w:after="0" w:line="240" w:lineRule="auto"/>
        <w:jc w:val="left"/>
        <w:rPr>
          <w:rFonts w:eastAsia="Tahoma" w:cs="Tahoma"/>
          <w:kern w:val="1"/>
          <w:sz w:val="18"/>
          <w:szCs w:val="18"/>
        </w:rPr>
      </w:pPr>
      <w:r>
        <w:rPr>
          <w:rFonts w:eastAsia="Tahoma" w:cs="Tahoma"/>
          <w:kern w:val="1"/>
          <w:sz w:val="18"/>
          <w:szCs w:val="18"/>
        </w:rPr>
        <w:t>Sonnenblumenkerne</w:t>
      </w:r>
    </w:p>
    <w:p>
      <w:pPr>
        <w:spacing w:after="0" w:line="240" w:lineRule="auto"/>
        <w:jc w:val="left"/>
        <w:rPr>
          <w:rFonts w:eastAsia="Tahoma" w:cs="Tahoma"/>
          <w:kern w:val="1"/>
          <w:sz w:val="18"/>
          <w:szCs w:val="18"/>
        </w:rPr>
      </w:pPr>
      <w:r>
        <w:rPr>
          <w:rFonts w:eastAsia="Tahoma" w:cs="Tahoma"/>
          <w:kern w:val="1"/>
          <w:sz w:val="18"/>
          <w:szCs w:val="18"/>
        </w:rPr>
        <w:t>Nussmus und Nussmehle aus lektinreichen Nüssen</w:t>
      </w:r>
    </w:p>
    <w:p>
      <w:pPr>
        <w:spacing w:after="0" w:line="240" w:lineRule="auto"/>
        <w:jc w:val="left"/>
        <w:rPr>
          <w:rFonts w:eastAsia="Tahoma" w:cs="Tahoma"/>
          <w:kern w:val="1"/>
          <w:sz w:val="18"/>
          <w:szCs w:val="18"/>
        </w:rPr>
      </w:pPr>
      <w:r>
        <w:rPr>
          <w:rFonts w:eastAsia="Tahoma" w:cs="Tahoma"/>
          <w:kern w:val="1"/>
          <w:sz w:val="18"/>
          <w:szCs w:val="18"/>
        </w:rPr>
      </w:r>
    </w:p>
    <w:p>
      <w:pPr>
        <w:spacing w:after="0" w:line="240" w:lineRule="auto"/>
        <w:jc w:val="left"/>
        <w:rPr>
          <w:rFonts w:eastAsia="Tahoma" w:cs="Tahoma"/>
          <w:b/>
          <w:bCs/>
          <w:color w:val="0000ff"/>
          <w:kern w:val="1"/>
          <w:sz w:val="18"/>
          <w:szCs w:val="18"/>
        </w:rPr>
      </w:pPr>
      <w:r>
        <w:rPr>
          <w:rFonts w:eastAsia="Tahoma" w:cs="Tahoma"/>
          <w:b/>
          <w:bCs/>
          <w:color w:val="0000ff"/>
          <w:kern w:val="1"/>
          <w:sz w:val="18"/>
          <w:szCs w:val="18"/>
        </w:rPr>
        <w:t>Gemüse</w:t>
      </w:r>
    </w:p>
    <w:p>
      <w:pPr>
        <w:spacing w:after="0" w:line="240" w:lineRule="auto"/>
        <w:jc w:val="left"/>
        <w:rPr>
          <w:rFonts w:eastAsia="Tahoma" w:cs="Tahoma"/>
          <w:kern w:val="1"/>
          <w:sz w:val="18"/>
          <w:szCs w:val="18"/>
        </w:rPr>
      </w:pPr>
      <w:r>
        <w:rPr>
          <w:rFonts w:eastAsia="Tahoma" w:cs="Tahoma"/>
          <w:kern w:val="1"/>
          <w:sz w:val="18"/>
          <w:szCs w:val="18"/>
        </w:rPr>
        <w:t>Auberginen</w:t>
      </w:r>
    </w:p>
    <w:p>
      <w:pPr>
        <w:spacing w:after="0" w:line="240" w:lineRule="auto"/>
        <w:jc w:val="left"/>
        <w:rPr>
          <w:rFonts w:eastAsia="Tahoma" w:cs="Tahoma"/>
          <w:kern w:val="1"/>
          <w:sz w:val="18"/>
          <w:szCs w:val="18"/>
        </w:rPr>
      </w:pPr>
      <w:r>
        <w:rPr>
          <w:rFonts w:eastAsia="Tahoma" w:cs="Tahoma"/>
          <w:kern w:val="1"/>
          <w:sz w:val="18"/>
          <w:szCs w:val="18"/>
        </w:rPr>
        <w:t>Austernpilze</w:t>
      </w:r>
    </w:p>
    <w:p>
      <w:pPr>
        <w:spacing w:after="0" w:line="240" w:lineRule="auto"/>
        <w:jc w:val="left"/>
        <w:rPr>
          <w:rFonts w:eastAsia="Tahoma" w:cs="Tahoma"/>
          <w:kern w:val="1"/>
          <w:sz w:val="18"/>
          <w:szCs w:val="18"/>
        </w:rPr>
      </w:pPr>
      <w:r>
        <w:rPr>
          <w:rFonts w:eastAsia="Tahoma" w:cs="Tahoma"/>
          <w:kern w:val="1"/>
          <w:sz w:val="18"/>
          <w:szCs w:val="18"/>
        </w:rPr>
        <w:t>Butternut Kürbis</w:t>
      </w:r>
    </w:p>
    <w:p>
      <w:pPr>
        <w:spacing w:after="0" w:line="240" w:lineRule="auto"/>
        <w:jc w:val="left"/>
        <w:rPr>
          <w:rFonts w:eastAsia="Tahoma" w:cs="Tahoma"/>
          <w:kern w:val="1"/>
          <w:sz w:val="18"/>
          <w:szCs w:val="18"/>
        </w:rPr>
      </w:pPr>
      <w:r>
        <w:rPr>
          <w:rFonts w:eastAsia="Tahoma" w:cs="Tahoma"/>
          <w:kern w:val="1"/>
          <w:sz w:val="18"/>
          <w:szCs w:val="18"/>
        </w:rPr>
        <w:t>Champignon, weiß</w:t>
      </w:r>
    </w:p>
    <w:p>
      <w:pPr>
        <w:spacing w:after="0" w:line="240" w:lineRule="auto"/>
        <w:jc w:val="left"/>
        <w:rPr>
          <w:rFonts w:eastAsia="Tahoma" w:cs="Tahoma"/>
          <w:kern w:val="1"/>
          <w:sz w:val="18"/>
          <w:szCs w:val="18"/>
        </w:rPr>
      </w:pPr>
      <w:r>
        <w:rPr>
          <w:rFonts w:eastAsia="Tahoma" w:cs="Tahoma"/>
          <w:kern w:val="1"/>
          <w:sz w:val="18"/>
          <w:szCs w:val="18"/>
        </w:rPr>
        <w:fldChar w:fldCharType="begin"/>
        <w:instrText xml:space="preserve">XE "Chili" \G </w:instrText>
        <w:fldChar w:fldCharType="end"/>
        <w:t>Chili</w:t>
      </w:r>
    </w:p>
    <w:p>
      <w:pPr>
        <w:spacing w:after="0" w:line="240" w:lineRule="auto"/>
        <w:jc w:val="left"/>
        <w:rPr>
          <w:rFonts w:eastAsia="Tahoma" w:cs="Tahoma"/>
          <w:kern w:val="1"/>
          <w:sz w:val="18"/>
          <w:szCs w:val="18"/>
        </w:rPr>
      </w:pPr>
      <w:r>
        <w:rPr>
          <w:rFonts w:eastAsia="Tahoma" w:cs="Tahoma"/>
          <w:kern w:val="1"/>
          <w:sz w:val="18"/>
          <w:szCs w:val="18"/>
        </w:rPr>
        <w:t>Gurken</w:t>
      </w:r>
    </w:p>
    <w:p>
      <w:pPr>
        <w:spacing w:after="0" w:line="240" w:lineRule="auto"/>
        <w:jc w:val="left"/>
        <w:rPr>
          <w:rFonts w:eastAsia="Tahoma" w:cs="Tahoma"/>
          <w:kern w:val="1"/>
          <w:sz w:val="18"/>
          <w:szCs w:val="18"/>
        </w:rPr>
      </w:pPr>
      <w:r>
        <w:rPr>
          <w:rFonts w:eastAsia="Tahoma" w:cs="Tahoma"/>
          <w:kern w:val="1"/>
          <w:sz w:val="18"/>
          <w:szCs w:val="18"/>
        </w:rPr>
        <w:t>Hokkaido Kürbis</w:t>
      </w:r>
    </w:p>
    <w:p>
      <w:pPr>
        <w:spacing w:after="0" w:line="240" w:lineRule="auto"/>
        <w:jc w:val="left"/>
        <w:rPr>
          <w:rFonts w:eastAsia="Tahoma" w:cs="Tahoma"/>
          <w:kern w:val="1"/>
          <w:sz w:val="18"/>
          <w:szCs w:val="18"/>
        </w:rPr>
      </w:pPr>
      <w:r>
        <w:rPr>
          <w:rFonts w:eastAsia="Tahoma" w:cs="Tahoma"/>
          <w:kern w:val="1"/>
          <w:sz w:val="18"/>
          <w:szCs w:val="18"/>
        </w:rPr>
        <w:fldChar w:fldCharType="begin"/>
        <w:instrText xml:space="preserve">XE "Knoblauch" \G </w:instrText>
        <w:fldChar w:fldCharType="end"/>
        <w:t>Knoblauch</w:t>
      </w:r>
    </w:p>
    <w:p>
      <w:pPr>
        <w:spacing w:after="0" w:line="240" w:lineRule="auto"/>
        <w:jc w:val="left"/>
        <w:rPr>
          <w:rFonts w:eastAsia="Tahoma" w:cs="Tahoma"/>
          <w:kern w:val="1"/>
          <w:sz w:val="18"/>
          <w:szCs w:val="18"/>
        </w:rPr>
      </w:pPr>
      <w:r>
        <w:rPr>
          <w:rFonts w:eastAsia="Tahoma" w:cs="Tahoma"/>
          <w:kern w:val="1"/>
          <w:sz w:val="18"/>
          <w:szCs w:val="18"/>
        </w:rPr>
        <w:t>Kartoffeln</w:t>
      </w:r>
    </w:p>
    <w:p>
      <w:pPr>
        <w:spacing w:after="0" w:line="240" w:lineRule="auto"/>
        <w:jc w:val="left"/>
        <w:rPr>
          <w:rFonts w:eastAsia="Tahoma" w:cs="Tahoma"/>
          <w:kern w:val="1"/>
          <w:sz w:val="18"/>
          <w:szCs w:val="18"/>
        </w:rPr>
      </w:pPr>
      <w:r>
        <w:rPr>
          <w:rFonts w:eastAsia="Tahoma" w:cs="Tahoma"/>
          <w:kern w:val="1"/>
          <w:sz w:val="18"/>
          <w:szCs w:val="18"/>
        </w:rPr>
        <w:t>Kürbis, alle Arten</w:t>
      </w:r>
    </w:p>
    <w:p>
      <w:pPr>
        <w:spacing w:after="0" w:line="240" w:lineRule="auto"/>
        <w:jc w:val="left"/>
        <w:rPr>
          <w:rFonts w:eastAsia="Tahoma" w:cs="Tahoma"/>
          <w:kern w:val="1"/>
          <w:sz w:val="18"/>
          <w:szCs w:val="18"/>
        </w:rPr>
      </w:pPr>
      <w:r>
        <w:rPr>
          <w:rFonts w:eastAsia="Tahoma" w:cs="Tahoma"/>
          <w:kern w:val="1"/>
          <w:sz w:val="18"/>
          <w:szCs w:val="18"/>
        </w:rPr>
        <w:t>Mais</w:t>
      </w:r>
    </w:p>
    <w:p>
      <w:pPr>
        <w:spacing w:after="0" w:line="240" w:lineRule="auto"/>
        <w:jc w:val="left"/>
        <w:rPr>
          <w:rFonts w:eastAsia="Tahoma" w:cs="Tahoma"/>
          <w:kern w:val="1"/>
          <w:sz w:val="18"/>
          <w:szCs w:val="18"/>
        </w:rPr>
      </w:pPr>
      <w:r>
        <w:rPr>
          <w:rFonts w:eastAsia="Tahoma" w:cs="Tahoma"/>
          <w:kern w:val="1"/>
          <w:sz w:val="18"/>
          <w:szCs w:val="18"/>
        </w:rPr>
        <w:t>Paprika</w:t>
      </w:r>
    </w:p>
    <w:p>
      <w:pPr>
        <w:spacing w:after="0" w:line="240" w:lineRule="auto"/>
        <w:jc w:val="left"/>
        <w:rPr>
          <w:rFonts w:eastAsia="Tahoma" w:cs="Tahoma"/>
          <w:kern w:val="1"/>
          <w:sz w:val="18"/>
          <w:szCs w:val="18"/>
        </w:rPr>
      </w:pPr>
      <w:r>
        <w:rPr>
          <w:rFonts w:eastAsia="Tahoma" w:cs="Tahoma"/>
          <w:kern w:val="1"/>
          <w:sz w:val="18"/>
          <w:szCs w:val="18"/>
        </w:rPr>
        <w:t>Rübe</w:t>
      </w:r>
    </w:p>
    <w:p>
      <w:pPr>
        <w:spacing w:after="0" w:line="240" w:lineRule="auto"/>
        <w:jc w:val="left"/>
        <w:rPr>
          <w:rFonts w:eastAsia="Tahoma" w:cs="Tahoma"/>
          <w:kern w:val="1"/>
          <w:sz w:val="18"/>
          <w:szCs w:val="18"/>
        </w:rPr>
      </w:pPr>
      <w:r>
        <w:rPr>
          <w:rFonts w:eastAsia="Tahoma" w:cs="Tahoma"/>
          <w:kern w:val="1"/>
          <w:sz w:val="18"/>
          <w:szCs w:val="18"/>
        </w:rPr>
        <w:t>Tomaten</w:t>
      </w:r>
    </w:p>
    <w:p>
      <w:pPr>
        <w:spacing w:after="0" w:line="240" w:lineRule="auto"/>
        <w:jc w:val="left"/>
        <w:rPr>
          <w:rFonts w:eastAsia="Tahoma" w:cs="Tahoma"/>
          <w:kern w:val="1"/>
          <w:sz w:val="18"/>
          <w:szCs w:val="18"/>
        </w:rPr>
      </w:pPr>
      <w:r>
        <w:rPr>
          <w:rFonts w:eastAsia="Tahoma" w:cs="Tahoma"/>
          <w:kern w:val="1"/>
          <w:sz w:val="18"/>
          <w:szCs w:val="18"/>
        </w:rPr>
        <w:t>Zwiebeln</w:t>
      </w:r>
    </w:p>
    <w:p>
      <w:pPr>
        <w:spacing w:after="0" w:line="240" w:lineRule="auto"/>
        <w:jc w:val="left"/>
        <w:rPr>
          <w:rFonts w:eastAsia="Tahoma" w:cs="Tahoma"/>
          <w:kern w:val="1"/>
          <w:sz w:val="18"/>
          <w:szCs w:val="18"/>
        </w:rPr>
      </w:pPr>
      <w:r>
        <w:rPr>
          <w:rFonts w:eastAsia="Tahoma" w:cs="Tahoma"/>
          <w:kern w:val="1"/>
          <w:sz w:val="18"/>
          <w:szCs w:val="18"/>
        </w:rPr>
        <w:t>Zuckerschoten</w:t>
      </w:r>
    </w:p>
    <w:p>
      <w:pPr>
        <w:spacing w:after="0" w:line="240" w:lineRule="auto"/>
        <w:jc w:val="left"/>
        <w:rPr>
          <w:rFonts w:eastAsia="Tahoma" w:cs="Tahoma"/>
          <w:kern w:val="1"/>
          <w:sz w:val="18"/>
          <w:szCs w:val="18"/>
        </w:rPr>
      </w:pPr>
      <w:r>
        <w:rPr>
          <w:rFonts w:eastAsia="Tahoma" w:cs="Tahoma"/>
          <w:kern w:val="1"/>
          <w:sz w:val="18"/>
          <w:szCs w:val="18"/>
        </w:rPr>
        <w:t>Zucchini</w:t>
      </w:r>
    </w:p>
    <w:p>
      <w:pPr>
        <w:spacing w:line="240" w:lineRule="auto"/>
        <w:jc w:val="left"/>
        <w:rPr>
          <w:rFonts w:eastAsia="Tahoma" w:cs="Tahoma"/>
          <w:kern w:val="1"/>
        </w:rPr>
      </w:pPr>
      <w:r>
        <w:rPr>
          <w:rFonts w:eastAsia="Tahoma" w:cs="Tahoma"/>
          <w:kern w:val="1"/>
        </w:rPr>
      </w:r>
    </w:p>
    <w:p>
      <w:pPr>
        <w:spacing w:line="240" w:lineRule="auto"/>
        <w:jc w:val="left"/>
        <w:rPr>
          <w:rFonts w:eastAsia="Tahoma" w:cs="Tahoma"/>
          <w:kern w:val="1"/>
        </w:rPr>
      </w:pPr>
      <w:r>
        <w:rPr>
          <w:rFonts w:eastAsia="Tahoma" w:cs="Tahoma"/>
          <w:kern w:val="1"/>
        </w:rPr>
      </w:r>
    </w:p>
    <w:p>
      <w:pPr>
        <w:spacing w:line="240" w:lineRule="auto"/>
        <w:jc w:val="left"/>
        <w:rPr>
          <w:rFonts w:eastAsia="Tahoma" w:cs="Tahoma"/>
          <w:kern w:val="1"/>
        </w:rPr>
      </w:pPr>
      <w:r>
        <w:rPr>
          <w:rFonts w:eastAsia="Tahoma" w:cs="Tahoma"/>
          <w:kern w:val="1"/>
        </w:rPr>
      </w:r>
    </w:p>
    <w:p>
      <w:pPr>
        <w:spacing w:after="120" w:line="240" w:lineRule="atLeast"/>
        <w:rPr>
          <w:sz w:val="18"/>
          <w:szCs w:val="18"/>
        </w:rPr>
      </w:pPr>
      <w:r>
        <w:rPr>
          <w:sz w:val="18"/>
          <w:szCs w:val="18"/>
        </w:rPr>
      </w:r>
      <w:r>
        <w:rPr>
          <w:rFonts w:eastAsia="Tahoma" w:cs="Tahoma"/>
          <w:kern w:val="1"/>
        </w:rPr>
        <w:fldChar w:fldCharType="end"/>
      </w:r>
      <w:r>
        <w:rPr>
          <w:rFonts w:eastAsia="Tahoma" w:cs="Tahoma"/>
          <w:kern w:val="1"/>
        </w:rPr>
      </w:r>
      <w:r/>
      <w:bookmarkEnd w:id="40"/>
      <w:r/>
      <w:r>
        <w:rPr>
          <w:rFonts w:eastAsia="Tahoma" w:cs="Tahoma"/>
          <w:b/>
          <w:bCs/>
          <w:color w:val="7f0000"/>
          <w:kern w:val="1"/>
          <w:sz w:val="18"/>
          <w:szCs w:val="18"/>
        </w:rPr>
      </w:r>
    </w:p>
    <w:p>
      <w:pPr>
        <w:spacing/>
        <w:jc w:val="left"/>
        <w:rPr>
          <w:rFonts w:eastAsia="Tahoma" w:cs="Tahoma"/>
          <w:kern w:val="1"/>
        </w:rPr>
      </w:pPr>
      <w:r>
        <w:rPr>
          <w:rFonts w:eastAsia="Tahoma" w:cs="Tahoma"/>
          <w:kern w:val="1"/>
        </w:rPr>
      </w:r>
    </w:p>
    <w:p>
      <w:pPr>
        <w:pStyle w:val="para3"/>
        <w:numPr>
          <w:ilvl w:val="2"/>
          <w:numId w:val="1"/>
        </w:numPr>
        <w:ind w:left="720" w:hanging="720"/>
      </w:pPr>
      <w:bookmarkStart w:id="41" w:name="_TOC000058"/>
      <w:r>
        <w:fldChar w:fldCharType="begin"/>
        <w:instrText xml:space="preserve">XE "Phytinsäure" \G </w:instrText>
        <w:fldChar w:fldCharType="end"/>
        <w:t xml:space="preserve">Phytinsäure im Getreide verringert </w:t>
        <w:fldChar w:fldCharType="begin"/>
        <w:instrText xml:space="preserve">XE "Vitamine" \G </w:instrText>
        <w:fldChar w:fldCharType="end"/>
        <w:t>Vitamine und Mineral</w:t>
      </w:r>
      <w:bookmarkEnd w:id="41"/>
      <w:r>
        <w:t>ien</w:t>
      </w:r>
    </w:p>
    <w:p>
      <w:r>
        <w:t xml:space="preserve">Neben Lektinen enthält Getreide hohe Konzentrationen an </w:t>
        <w:fldChar w:fldCharType="begin"/>
        <w:instrText xml:space="preserve">XE "Phytinsäure" \G </w:instrText>
        <w:fldChar w:fldCharType="end"/>
        <w:t>Phytinsäure. Diese bindet sich an Mineralien und macht sie für den Körper unbrauchbar.</w:t>
      </w:r>
    </w:p>
    <w:p>
      <w:r>
        <w:t xml:space="preserve">Das Einweichen von Hülsenfrüchten sowie Getreidekörnern für 24 Stunden in Wasser reduziert den Gehalt an </w:t>
        <w:fldChar w:fldCharType="begin"/>
        <w:instrText xml:space="preserve">XE "Phytinsäure" \G </w:instrText>
        <w:fldChar w:fldCharType="end"/>
        <w:t xml:space="preserve">Phytinsäure um 20 bis 25%. Dabei wird das Enzym Phytase aktiviert, welches die </w:t>
        <w:fldChar w:fldCharType="begin"/>
        <w:instrText xml:space="preserve">XE "Phytinsäure" \G </w:instrText>
        <w:fldChar w:fldCharType="end"/>
        <w:t>Phytinsäure spaltet.</w:t>
      </w:r>
    </w:p>
    <w:p>
      <w:r>
        <w:t>Auch lange Teigführung bei Sauerteig ist effektiv.</w:t>
      </w:r>
    </w:p>
    <w:p>
      <w:r>
        <w:t xml:space="preserve">Deshalb empfehlen wir speziell Athleten mit Eisenproblemen - wenn sie schon Brot essen - nur Brot auf Sauerteigbasis zu nehmen. Aufgrund der </w:t>
        <w:fldChar w:fldCharType="begin"/>
        <w:instrText xml:space="preserve">XE "Lektine" \G </w:instrText>
        <w:fldChar w:fldCharType="end"/>
        <w:t>Lektine sollte das Sauerteigbrot in der Regel keinen Weizen und keinen Roggen enthalten. Ein Sauerteigbrot mit Dinkel und Hafer liefert dem Körper mehr Mineralien und wäre deutlich besser.</w:t>
      </w:r>
    </w:p>
    <w:p>
      <w:r/>
    </w:p>
    <w:p>
      <w:pPr>
        <w:pStyle w:val="para4"/>
        <w:numPr>
          <w:ilvl w:val="3"/>
          <w:numId w:val="1"/>
        </w:numPr>
        <w:ind w:left="1077" w:hanging="1077"/>
      </w:pPr>
      <w:r>
        <w:br w:type="page"/>
      </w:r>
      <w:bookmarkStart w:id="42" w:name="_TOC000213"/>
      <w:r>
        <w:t xml:space="preserve">Lebensmittel mit </w:t>
        <w:fldChar w:fldCharType="begin"/>
        <w:instrText xml:space="preserve">XE "Phytinsäure" \G </w:instrText>
        <w:fldChar w:fldCharType="end"/>
        <w:t>Phytinsäure</w:t>
      </w:r>
      <w:bookmarkEnd w:id="34"/>
      <w:r/>
      <w:bookmarkEnd w:id="42"/>
      <w:r/>
    </w:p>
    <w:tbl>
      <w:tblPr>
        <w:tblStyle w:val="TableGrid"/>
        <w:name w:val="Tabelle1"/>
        <w:tabOrder w:val="0"/>
        <w:jc w:val="left"/>
        <w:tblInd w:w="850" w:type="dxa"/>
        <w:tblW w:w="6918" w:type="dxa"/>
        <w:pPr>
          <w:ind w:left="850"/>
          <w:spacing w:after="0" w:line="240" w:lineRule="auto"/>
          <w:jc w:val="left"/>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Pr>
        <w:tblLook w:val="04A0" w:firstRow="1" w:lastRow="0" w:firstColumn="1" w:lastColumn="0" w:noHBand="0" w:noVBand="1"/>
      </w:tblPr>
      <w:tblGrid>
        <w:gridCol w:w="4167"/>
        <w:gridCol w:w="2751"/>
      </w:tblGrid>
      <w:tr>
        <w:trPr>
          <w:tblHeader w:val="0"/>
          <w:cantSplit w:val="0"/>
          <w:trHeight w:val="0" w:hRule="auto"/>
        </w:trPr>
        <w:tc>
          <w:tcPr>
            <w:tcW w:w="4167" w:type="dxa"/>
            <w:shd w:val="solid" w:color="E6E6E6" tmshd="1677721856, 0, 15132390"/>
            <w:tcMar>
              <w:top w:w="57" w:type="dxa"/>
              <w:left w:w="57" w:type="dxa"/>
              <w:bottom w:w="57" w:type="dxa"/>
              <w:right w:w="57" w:type="dxa"/>
            </w:tcMar>
            <w:tcBorders>
              <w:bottom w:val="nil" w:sz="0" w:space="0" w:color="000000" tmln="20, 20, 20, 0, 0"/>
            </w:tcBorders>
            <w:tmTcPr id="1766737683" protected="0"/>
          </w:tcPr>
          <w:p>
            <w:pPr>
              <w:rPr>
                <w:rFonts w:eastAsia="Tahoma" w:cs="Tahoma"/>
                <w:color w:val="0000ff"/>
                <w:sz w:val="32"/>
                <w:szCs w:val="32"/>
              </w:rPr>
            </w:pPr>
            <w:r>
              <w:rPr>
                <w:rFonts w:eastAsia="Tahoma" w:cs="Tahoma"/>
                <w:color w:val="0000ff"/>
                <w:sz w:val="32"/>
                <w:szCs w:val="32"/>
              </w:rPr>
              <w:t>Lebensmittel</w:t>
            </w:r>
          </w:p>
        </w:tc>
        <w:tc>
          <w:tcPr>
            <w:tcW w:w="2751" w:type="dxa"/>
            <w:shd w:val="solid" w:color="E6E6E6" tmshd="1677721856, 0, 15132390"/>
            <w:tcMar>
              <w:top w:w="57" w:type="dxa"/>
              <w:left w:w="57" w:type="dxa"/>
              <w:bottom w:w="57" w:type="dxa"/>
              <w:right w:w="57" w:type="dxa"/>
            </w:tcMar>
            <w:tcBorders>
              <w:bottom w:val="nil" w:sz="0" w:space="0" w:color="000000" tmln="20, 20, 20, 0, 0"/>
            </w:tcBorders>
            <w:tmTcPr id="1766737683" protected="0"/>
          </w:tcPr>
          <w:p>
            <w:pPr>
              <w:spacing/>
              <w:jc w:val="left"/>
              <w:rPr>
                <w:rFonts w:eastAsia="Tahoma" w:cs="Tahoma"/>
              </w:rPr>
            </w:pPr>
            <w:r>
              <w:rPr>
                <w:rFonts w:eastAsia="Tahoma" w:cs="Tahoma"/>
              </w:rPr>
              <w:t xml:space="preserve">Gehalt an </w:t>
              <w:fldChar w:fldCharType="begin"/>
              <w:instrText xml:space="preserve">XE "Phytinsäure" \G </w:instrText>
              <w:fldChar w:fldCharType="end"/>
              <w:t xml:space="preserve">Phytinsäure </w:t>
            </w:r>
          </w:p>
          <w:p>
            <w:pPr>
              <w:spacing/>
              <w:jc w:val="left"/>
              <w:rPr>
                <w:rFonts w:eastAsia="Tahoma" w:cs="Tahoma"/>
              </w:rPr>
            </w:pPr>
            <w:r>
              <w:rPr>
                <w:rFonts w:eastAsia="Tahoma" w:cs="Tahoma"/>
              </w:rPr>
              <w:t>pro 100 g Trockenmasse</w:t>
            </w:r>
          </w:p>
        </w:tc>
      </w:tr>
      <w:tr>
        <w:trPr>
          <w:tblHeader w:val="0"/>
          <w:cantSplit w:val="0"/>
          <w:trHeight w:val="0" w:hRule="auto"/>
        </w:trPr>
        <w:tc>
          <w:tcPr>
            <w:tcW w:w="4167" w:type="dxa"/>
            <w:shd w:val="solid" w:color="F0F0E0" tmshd="1677721856, 0, 14741744"/>
            <w:tcMar>
              <w:top w:w="34" w:type="dxa"/>
              <w:left w:w="34" w:type="dxa"/>
              <w:bottom w:w="34" w:type="dxa"/>
              <w:right w:w="34" w:type="dxa"/>
            </w:tcMar>
            <w:tcBorders>
              <w:bottom w:val="nil" w:sz="0" w:space="0" w:color="000000" tmln="20, 20, 20, 0, 0"/>
            </w:tcBorders>
            <w:tmTcPr id="1766737683" protected="0"/>
          </w:tcPr>
          <w:p>
            <w:pPr>
              <w:rPr>
                <w:rFonts w:eastAsia="Tahoma" w:cs="Tahoma"/>
                <w:color w:val="0000ff"/>
              </w:rPr>
            </w:pPr>
            <w:r>
              <w:rPr>
                <w:rFonts w:eastAsia="Tahoma" w:cs="Tahoma"/>
                <w:color w:val="0000ff"/>
              </w:rPr>
              <w:t>Getreide</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rPr>
                <w:rFonts w:eastAsia="Tahoma" w:cs="Tahoma"/>
                <w:kern w:val="1"/>
              </w:rPr>
            </w:pPr>
            <w:r>
              <w:rPr>
                <w:rFonts w:eastAsia="Tahoma" w:cs="Tahoma"/>
                <w:kern w:val="1"/>
              </w:rPr>
            </w:r>
          </w:p>
        </w:tc>
      </w:tr>
      <w:tr>
        <w:trPr>
          <w:tblHeader w:val="0"/>
          <w:cantSplit w:val="0"/>
          <w:trHeight w:val="0" w:hRule="auto"/>
        </w:trPr>
        <w:tc>
          <w:tcPr>
            <w:tcW w:w="4167" w:type="dxa"/>
            <w:shd w:val="none"/>
            <w:tcMar>
              <w:top w:w="34" w:type="dxa"/>
              <w:left w:w="34" w:type="dxa"/>
              <w:bottom w:w="34" w:type="dxa"/>
              <w:right w:w="34" w:type="dxa"/>
            </w:tcMar>
            <w:tcBorders>
              <w:bottom w:val="nil" w:sz="0" w:space="0" w:color="000000" tmln="20, 20, 20, 0, 0"/>
            </w:tcBorders>
            <w:tmTcPr id="1766737683" protected="0"/>
          </w:tcPr>
          <w:p>
            <w:pPr>
              <w:rPr>
                <w:rFonts w:eastAsia="Tahoma" w:cs="Tahoma"/>
                <w:sz w:val="20"/>
                <w:szCs w:val="20"/>
              </w:rPr>
            </w:pPr>
            <w:r>
              <w:rPr>
                <w:rFonts w:eastAsia="Tahoma" w:cs="Tahoma"/>
                <w:sz w:val="20"/>
                <w:szCs w:val="20"/>
              </w:rPr>
              <w:t>Weizen</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spacing/>
              <w:jc w:val="right"/>
              <w:rPr>
                <w:rFonts w:eastAsia="Tahoma" w:cs="Tahoma"/>
                <w:sz w:val="20"/>
                <w:szCs w:val="20"/>
              </w:rPr>
            </w:pPr>
            <w:r>
              <w:rPr>
                <w:rFonts w:eastAsia="Tahoma" w:cs="Tahoma"/>
                <w:sz w:val="20"/>
                <w:szCs w:val="20"/>
              </w:rPr>
              <w:t>400 – 1400 mg</w:t>
            </w:r>
          </w:p>
        </w:tc>
      </w:tr>
      <w:tr>
        <w:trPr>
          <w:tblHeader w:val="0"/>
          <w:cantSplit w:val="0"/>
          <w:trHeight w:val="0" w:hRule="auto"/>
        </w:trPr>
        <w:tc>
          <w:tcPr>
            <w:tcW w:w="4167" w:type="dxa"/>
            <w:shd w:val="none"/>
            <w:tcMar>
              <w:top w:w="34" w:type="dxa"/>
              <w:left w:w="34" w:type="dxa"/>
              <w:bottom w:w="34" w:type="dxa"/>
              <w:right w:w="34" w:type="dxa"/>
            </w:tcMar>
            <w:tcBorders>
              <w:bottom w:val="nil" w:sz="0" w:space="0" w:color="000000" tmln="20, 20, 20, 0, 0"/>
            </w:tcBorders>
            <w:tmTcPr id="1766737683" protected="0"/>
          </w:tcPr>
          <w:p>
            <w:pPr>
              <w:rPr>
                <w:rFonts w:eastAsia="Tahoma" w:cs="Tahoma"/>
                <w:sz w:val="20"/>
                <w:szCs w:val="20"/>
              </w:rPr>
            </w:pPr>
            <w:r>
              <w:rPr>
                <w:rFonts w:eastAsia="Tahoma" w:cs="Tahoma"/>
                <w:sz w:val="20"/>
                <w:szCs w:val="20"/>
              </w:rPr>
              <w:t>Weizenkleie</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spacing/>
              <w:jc w:val="right"/>
              <w:rPr>
                <w:rFonts w:eastAsia="Tahoma" w:cs="Tahoma"/>
                <w:sz w:val="20"/>
                <w:szCs w:val="20"/>
              </w:rPr>
            </w:pPr>
            <w:r>
              <w:rPr>
                <w:rFonts w:eastAsia="Tahoma" w:cs="Tahoma"/>
                <w:sz w:val="20"/>
                <w:szCs w:val="20"/>
              </w:rPr>
              <w:t>2100 – 7300 mg</w:t>
            </w:r>
          </w:p>
        </w:tc>
      </w:tr>
      <w:tr>
        <w:trPr>
          <w:tblHeader w:val="0"/>
          <w:cantSplit w:val="0"/>
          <w:trHeight w:val="0" w:hRule="auto"/>
        </w:trPr>
        <w:tc>
          <w:tcPr>
            <w:tcW w:w="4167" w:type="dxa"/>
            <w:shd w:val="none"/>
            <w:tcMar>
              <w:top w:w="34" w:type="dxa"/>
              <w:left w:w="34" w:type="dxa"/>
              <w:bottom w:w="34" w:type="dxa"/>
              <w:right w:w="34" w:type="dxa"/>
            </w:tcMar>
            <w:tcBorders>
              <w:bottom w:val="nil" w:sz="0" w:space="0" w:color="000000" tmln="20, 20, 20, 0, 0"/>
            </w:tcBorders>
            <w:tmTcPr id="1766737683" protected="0"/>
          </w:tcPr>
          <w:p>
            <w:pPr>
              <w:rPr>
                <w:rFonts w:eastAsia="Tahoma" w:cs="Tahoma"/>
                <w:sz w:val="20"/>
                <w:szCs w:val="20"/>
              </w:rPr>
            </w:pPr>
            <w:r>
              <w:rPr>
                <w:rFonts w:eastAsia="Tahoma" w:cs="Tahoma"/>
                <w:sz w:val="20"/>
                <w:szCs w:val="20"/>
              </w:rPr>
              <w:t>Vollkornweizenmehl</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spacing/>
              <w:jc w:val="right"/>
              <w:rPr>
                <w:rFonts w:eastAsia="Tahoma" w:cs="Tahoma"/>
                <w:sz w:val="20"/>
                <w:szCs w:val="20"/>
              </w:rPr>
            </w:pPr>
            <w:r>
              <w:rPr>
                <w:rFonts w:eastAsia="Tahoma" w:cs="Tahoma"/>
                <w:sz w:val="20"/>
                <w:szCs w:val="20"/>
              </w:rPr>
              <w:t>2220 mg</w:t>
            </w:r>
          </w:p>
        </w:tc>
      </w:tr>
      <w:tr>
        <w:trPr>
          <w:tblHeader w:val="0"/>
          <w:cantSplit w:val="0"/>
          <w:trHeight w:val="0" w:hRule="auto"/>
        </w:trPr>
        <w:tc>
          <w:tcPr>
            <w:tcW w:w="4167" w:type="dxa"/>
            <w:shd w:val="none"/>
            <w:tcMar>
              <w:top w:w="34" w:type="dxa"/>
              <w:left w:w="34" w:type="dxa"/>
              <w:bottom w:w="34" w:type="dxa"/>
              <w:right w:w="34" w:type="dxa"/>
            </w:tcMar>
            <w:tcBorders>
              <w:bottom w:val="nil" w:sz="0" w:space="0" w:color="000000" tmln="20, 20, 20, 0, 0"/>
            </w:tcBorders>
            <w:tmTcPr id="1766737683" protected="0"/>
          </w:tcPr>
          <w:p>
            <w:pPr>
              <w:rPr>
                <w:rFonts w:eastAsia="Tahoma" w:cs="Tahoma"/>
                <w:sz w:val="20"/>
                <w:szCs w:val="20"/>
              </w:rPr>
            </w:pPr>
            <w:r>
              <w:rPr>
                <w:rFonts w:eastAsia="Tahoma" w:cs="Tahoma"/>
                <w:sz w:val="20"/>
                <w:szCs w:val="20"/>
              </w:rPr>
              <w:t>Auszugsweizenmehl</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spacing/>
              <w:jc w:val="right"/>
              <w:rPr>
                <w:rFonts w:eastAsia="Tahoma" w:cs="Tahoma"/>
                <w:sz w:val="20"/>
                <w:szCs w:val="20"/>
              </w:rPr>
            </w:pPr>
            <w:r>
              <w:rPr>
                <w:rFonts w:eastAsia="Tahoma" w:cs="Tahoma"/>
                <w:sz w:val="20"/>
                <w:szCs w:val="20"/>
              </w:rPr>
              <w:t>400 mg</w:t>
            </w:r>
          </w:p>
        </w:tc>
      </w:tr>
      <w:tr>
        <w:trPr>
          <w:tblHeader w:val="0"/>
          <w:cantSplit w:val="0"/>
          <w:trHeight w:val="0" w:hRule="auto"/>
        </w:trPr>
        <w:tc>
          <w:tcPr>
            <w:tcW w:w="4167" w:type="dxa"/>
            <w:shd w:val="none"/>
            <w:tcMar>
              <w:top w:w="34" w:type="dxa"/>
              <w:left w:w="34" w:type="dxa"/>
              <w:bottom w:w="34" w:type="dxa"/>
              <w:right w:w="34" w:type="dxa"/>
            </w:tcMar>
            <w:tcBorders>
              <w:bottom w:val="nil" w:sz="0" w:space="0" w:color="000000" tmln="20, 20, 20, 0, 0"/>
            </w:tcBorders>
            <w:tmTcPr id="1766737683" protected="0"/>
          </w:tcPr>
          <w:p>
            <w:pPr>
              <w:rPr>
                <w:rFonts w:eastAsia="Tahoma" w:cs="Tahoma"/>
                <w:sz w:val="20"/>
                <w:szCs w:val="20"/>
              </w:rPr>
            </w:pPr>
            <w:r>
              <w:rPr>
                <w:rFonts w:eastAsia="Tahoma" w:cs="Tahoma"/>
                <w:sz w:val="20"/>
                <w:szCs w:val="20"/>
              </w:rPr>
              <w:t>Weizenpasta mit Vollkornanteil, gekocht</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spacing/>
              <w:jc w:val="right"/>
              <w:rPr>
                <w:rFonts w:eastAsia="Tahoma" w:cs="Tahoma"/>
                <w:sz w:val="20"/>
                <w:szCs w:val="20"/>
              </w:rPr>
            </w:pPr>
            <w:r>
              <w:rPr>
                <w:rFonts w:eastAsia="Tahoma" w:cs="Tahoma"/>
                <w:sz w:val="20"/>
                <w:szCs w:val="20"/>
              </w:rPr>
              <w:t>400 mg</w:t>
            </w:r>
          </w:p>
        </w:tc>
      </w:tr>
      <w:tr>
        <w:trPr>
          <w:tblHeader w:val="0"/>
          <w:cantSplit w:val="0"/>
          <w:trHeight w:val="0" w:hRule="auto"/>
        </w:trPr>
        <w:tc>
          <w:tcPr>
            <w:tcW w:w="4167" w:type="dxa"/>
            <w:shd w:val="none"/>
            <w:tcMar>
              <w:top w:w="34" w:type="dxa"/>
              <w:left w:w="34" w:type="dxa"/>
              <w:bottom w:w="34" w:type="dxa"/>
              <w:right w:w="34" w:type="dxa"/>
            </w:tcMar>
            <w:tcBorders>
              <w:bottom w:val="nil" w:sz="0" w:space="0" w:color="000000" tmln="20, 20, 20, 0, 0"/>
            </w:tcBorders>
            <w:tmTcPr id="1766737683" protected="0"/>
          </w:tcPr>
          <w:p>
            <w:pPr>
              <w:rPr>
                <w:rFonts w:eastAsia="Tahoma" w:cs="Tahoma"/>
                <w:sz w:val="20"/>
                <w:szCs w:val="20"/>
              </w:rPr>
            </w:pPr>
            <w:r>
              <w:rPr>
                <w:rFonts w:eastAsia="Tahoma" w:cs="Tahoma"/>
                <w:sz w:val="20"/>
                <w:szCs w:val="20"/>
              </w:rPr>
              <w:t>Mais</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spacing/>
              <w:jc w:val="right"/>
              <w:rPr>
                <w:rFonts w:eastAsia="Tahoma" w:cs="Tahoma"/>
                <w:sz w:val="20"/>
                <w:szCs w:val="20"/>
              </w:rPr>
            </w:pPr>
            <w:r>
              <w:rPr>
                <w:rFonts w:eastAsia="Tahoma" w:cs="Tahoma"/>
                <w:sz w:val="20"/>
                <w:szCs w:val="20"/>
              </w:rPr>
              <w:t>720 – 2220 mg</w:t>
            </w:r>
          </w:p>
        </w:tc>
      </w:tr>
      <w:tr>
        <w:trPr>
          <w:tblHeader w:val="0"/>
          <w:cantSplit w:val="0"/>
          <w:trHeight w:val="0" w:hRule="auto"/>
        </w:trPr>
        <w:tc>
          <w:tcPr>
            <w:tcW w:w="4167" w:type="dxa"/>
            <w:shd w:val="none"/>
            <w:tcMar>
              <w:top w:w="34" w:type="dxa"/>
              <w:left w:w="34" w:type="dxa"/>
              <w:bottom w:w="34" w:type="dxa"/>
              <w:right w:w="34" w:type="dxa"/>
            </w:tcMar>
            <w:tcBorders>
              <w:bottom w:val="nil" w:sz="0" w:space="0" w:color="000000" tmln="20, 20, 20, 0, 0"/>
            </w:tcBorders>
            <w:tmTcPr id="1766737683" protected="0"/>
          </w:tcPr>
          <w:p>
            <w:pPr>
              <w:rPr>
                <w:rFonts w:eastAsia="Tahoma" w:cs="Tahoma"/>
                <w:sz w:val="20"/>
                <w:szCs w:val="20"/>
              </w:rPr>
            </w:pPr>
            <w:r>
              <w:rPr>
                <w:rFonts w:eastAsia="Tahoma" w:cs="Tahoma"/>
                <w:sz w:val="20"/>
                <w:szCs w:val="20"/>
              </w:rPr>
              <w:t>Hirse</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spacing/>
              <w:jc w:val="right"/>
              <w:rPr>
                <w:rFonts w:eastAsia="Tahoma" w:cs="Tahoma"/>
                <w:sz w:val="20"/>
                <w:szCs w:val="20"/>
              </w:rPr>
            </w:pPr>
            <w:r>
              <w:rPr>
                <w:rFonts w:eastAsia="Tahoma" w:cs="Tahoma"/>
                <w:sz w:val="20"/>
                <w:szCs w:val="20"/>
              </w:rPr>
              <w:t>180 – 1670 mg</w:t>
            </w:r>
          </w:p>
        </w:tc>
      </w:tr>
      <w:tr>
        <w:trPr>
          <w:tblHeader w:val="0"/>
          <w:cantSplit w:val="0"/>
          <w:trHeight w:val="0" w:hRule="auto"/>
        </w:trPr>
        <w:tc>
          <w:tcPr>
            <w:tcW w:w="4167" w:type="dxa"/>
            <w:shd w:val="none"/>
            <w:tcMar>
              <w:top w:w="34" w:type="dxa"/>
              <w:left w:w="34" w:type="dxa"/>
              <w:bottom w:w="34" w:type="dxa"/>
              <w:right w:w="34" w:type="dxa"/>
            </w:tcMar>
            <w:tcBorders>
              <w:bottom w:val="nil" w:sz="0" w:space="0" w:color="000000" tmln="20, 20, 20, 0, 0"/>
            </w:tcBorders>
            <w:tmTcPr id="1766737683" protected="0"/>
          </w:tcPr>
          <w:p>
            <w:pPr>
              <w:rPr>
                <w:rFonts w:eastAsia="Tahoma" w:cs="Tahoma"/>
                <w:sz w:val="20"/>
                <w:szCs w:val="20"/>
              </w:rPr>
            </w:pPr>
            <w:r>
              <w:rPr>
                <w:rFonts w:eastAsia="Tahoma" w:cs="Tahoma"/>
                <w:sz w:val="20"/>
                <w:szCs w:val="20"/>
              </w:rPr>
              <w:t>Hafer</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spacing/>
              <w:jc w:val="right"/>
              <w:rPr>
                <w:rFonts w:eastAsia="Tahoma" w:cs="Tahoma"/>
                <w:sz w:val="20"/>
                <w:szCs w:val="20"/>
              </w:rPr>
            </w:pPr>
            <w:r>
              <w:rPr>
                <w:rFonts w:eastAsia="Tahoma" w:cs="Tahoma"/>
                <w:sz w:val="20"/>
                <w:szCs w:val="20"/>
              </w:rPr>
              <w:t>420 – 1160 mg</w:t>
            </w:r>
          </w:p>
        </w:tc>
      </w:tr>
      <w:tr>
        <w:trPr>
          <w:tblHeader w:val="0"/>
          <w:cantSplit w:val="0"/>
          <w:trHeight w:val="0" w:hRule="auto"/>
        </w:trPr>
        <w:tc>
          <w:tcPr>
            <w:tcW w:w="4167" w:type="dxa"/>
            <w:shd w:val="none"/>
            <w:tcMar>
              <w:top w:w="34" w:type="dxa"/>
              <w:left w:w="34" w:type="dxa"/>
              <w:bottom w:w="34" w:type="dxa"/>
              <w:right w:w="34" w:type="dxa"/>
            </w:tcMar>
            <w:tcBorders>
              <w:bottom w:val="nil" w:sz="0" w:space="0" w:color="000000" tmln="20, 20, 20, 0, 0"/>
            </w:tcBorders>
            <w:tmTcPr id="1766737683" protected="0"/>
          </w:tcPr>
          <w:p>
            <w:pPr>
              <w:rPr>
                <w:rFonts w:eastAsia="Tahoma" w:cs="Tahoma"/>
                <w:sz w:val="20"/>
                <w:szCs w:val="20"/>
              </w:rPr>
            </w:pPr>
            <w:r>
              <w:rPr>
                <w:rFonts w:eastAsia="Tahoma" w:cs="Tahoma"/>
                <w:sz w:val="20"/>
                <w:szCs w:val="20"/>
              </w:rPr>
              <w:t>Haferflocken</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spacing/>
              <w:jc w:val="right"/>
              <w:rPr>
                <w:rFonts w:eastAsia="Tahoma" w:cs="Tahoma"/>
                <w:sz w:val="20"/>
                <w:szCs w:val="20"/>
              </w:rPr>
            </w:pPr>
            <w:r>
              <w:rPr>
                <w:rFonts w:eastAsia="Tahoma" w:cs="Tahoma"/>
                <w:sz w:val="20"/>
                <w:szCs w:val="20"/>
              </w:rPr>
              <w:t>640 mg</w:t>
            </w:r>
          </w:p>
        </w:tc>
      </w:tr>
      <w:tr>
        <w:trPr>
          <w:tblHeader w:val="0"/>
          <w:cantSplit w:val="0"/>
          <w:trHeight w:val="0" w:hRule="auto"/>
        </w:trPr>
        <w:tc>
          <w:tcPr>
            <w:tcW w:w="4167" w:type="dxa"/>
            <w:shd w:val="none"/>
            <w:tcMar>
              <w:top w:w="34" w:type="dxa"/>
              <w:left w:w="34" w:type="dxa"/>
              <w:bottom w:w="34" w:type="dxa"/>
              <w:right w:w="34" w:type="dxa"/>
            </w:tcMar>
            <w:tcBorders>
              <w:bottom w:val="nil" w:sz="0" w:space="0" w:color="000000" tmln="20, 20, 20, 0, 0"/>
            </w:tcBorders>
            <w:tmTcPr id="1766737683" protected="0"/>
          </w:tcPr>
          <w:p>
            <w:pPr>
              <w:rPr>
                <w:rFonts w:eastAsia="Tahoma" w:cs="Tahoma"/>
                <w:sz w:val="20"/>
                <w:szCs w:val="20"/>
              </w:rPr>
            </w:pPr>
            <w:r>
              <w:rPr>
                <w:rFonts w:eastAsia="Tahoma" w:cs="Tahoma"/>
                <w:sz w:val="20"/>
                <w:szCs w:val="20"/>
              </w:rPr>
              <w:t>Gerste</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spacing/>
              <w:jc w:val="right"/>
              <w:rPr>
                <w:rFonts w:eastAsia="Tahoma" w:cs="Tahoma"/>
                <w:sz w:val="20"/>
                <w:szCs w:val="20"/>
              </w:rPr>
            </w:pPr>
            <w:r>
              <w:rPr>
                <w:rFonts w:eastAsia="Tahoma" w:cs="Tahoma"/>
                <w:sz w:val="20"/>
                <w:szCs w:val="20"/>
              </w:rPr>
              <w:t>180 – 1160 mg</w:t>
            </w:r>
          </w:p>
        </w:tc>
      </w:tr>
      <w:tr>
        <w:trPr>
          <w:tblHeader w:val="0"/>
          <w:cantSplit w:val="0"/>
          <w:trHeight w:val="0" w:hRule="auto"/>
        </w:trPr>
        <w:tc>
          <w:tcPr>
            <w:tcW w:w="4167" w:type="dxa"/>
            <w:shd w:val="none"/>
            <w:tcMar>
              <w:top w:w="34" w:type="dxa"/>
              <w:left w:w="34" w:type="dxa"/>
              <w:bottom w:w="34" w:type="dxa"/>
              <w:right w:w="34" w:type="dxa"/>
            </w:tcMar>
            <w:tcBorders>
              <w:bottom w:val="nil" w:sz="0" w:space="0" w:color="000000" tmln="20, 20, 20, 0, 0"/>
            </w:tcBorders>
            <w:tmTcPr id="1766737683" protected="0"/>
          </w:tcPr>
          <w:p>
            <w:pPr>
              <w:rPr>
                <w:rFonts w:eastAsia="Tahoma" w:cs="Tahoma"/>
                <w:sz w:val="20"/>
                <w:szCs w:val="20"/>
              </w:rPr>
            </w:pPr>
            <w:r>
              <w:rPr>
                <w:rFonts w:eastAsia="Tahoma" w:cs="Tahoma"/>
                <w:sz w:val="20"/>
                <w:szCs w:val="20"/>
              </w:rPr>
              <w:t>Vollkornreis</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spacing/>
              <w:jc w:val="right"/>
              <w:rPr>
                <w:rFonts w:eastAsia="Tahoma" w:cs="Tahoma"/>
                <w:sz w:val="20"/>
                <w:szCs w:val="20"/>
              </w:rPr>
            </w:pPr>
            <w:r>
              <w:rPr>
                <w:rFonts w:eastAsia="Tahoma" w:cs="Tahoma"/>
                <w:sz w:val="20"/>
                <w:szCs w:val="20"/>
              </w:rPr>
              <w:t>1270 – 2160 mg</w:t>
            </w:r>
          </w:p>
        </w:tc>
      </w:tr>
      <w:tr>
        <w:trPr>
          <w:tblHeader w:val="0"/>
          <w:cantSplit w:val="0"/>
          <w:trHeight w:val="0" w:hRule="auto"/>
        </w:trPr>
        <w:tc>
          <w:tcPr>
            <w:tcW w:w="4167" w:type="dxa"/>
            <w:shd w:val="none"/>
            <w:tcMar>
              <w:top w:w="34" w:type="dxa"/>
              <w:left w:w="34" w:type="dxa"/>
              <w:bottom w:w="34" w:type="dxa"/>
              <w:right w:w="34" w:type="dxa"/>
            </w:tcMar>
            <w:tcBorders>
              <w:bottom w:val="nil" w:sz="0" w:space="0" w:color="000000" tmln="20, 20, 20, 0, 0"/>
            </w:tcBorders>
            <w:tmTcPr id="1766737683" protected="0"/>
          </w:tcPr>
          <w:p>
            <w:pPr>
              <w:rPr>
                <w:rFonts w:eastAsia="Tahoma" w:cs="Tahoma"/>
                <w:sz w:val="20"/>
                <w:szCs w:val="20"/>
              </w:rPr>
            </w:pPr>
            <w:r>
              <w:rPr>
                <w:rFonts w:eastAsia="Tahoma" w:cs="Tahoma"/>
                <w:sz w:val="20"/>
                <w:szCs w:val="20"/>
              </w:rPr>
              <w:t>Polierter Reis</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spacing/>
              <w:jc w:val="right"/>
              <w:rPr>
                <w:rFonts w:eastAsia="Tahoma" w:cs="Tahoma"/>
                <w:sz w:val="20"/>
                <w:szCs w:val="20"/>
              </w:rPr>
            </w:pPr>
            <w:r>
              <w:rPr>
                <w:rFonts w:eastAsia="Tahoma" w:cs="Tahoma"/>
                <w:sz w:val="20"/>
                <w:szCs w:val="20"/>
              </w:rPr>
              <w:t>120 – 370 mg</w:t>
            </w:r>
          </w:p>
        </w:tc>
      </w:tr>
      <w:tr>
        <w:trPr>
          <w:tblHeader w:val="0"/>
          <w:cantSplit w:val="0"/>
          <w:trHeight w:val="0" w:hRule="auto"/>
        </w:trPr>
        <w:tc>
          <w:tcPr>
            <w:tcW w:w="4167" w:type="dxa"/>
            <w:shd w:val="solid" w:color="F0F0E0" tmshd="1677721856, 0, 14741744"/>
            <w:tcMar>
              <w:top w:w="34" w:type="dxa"/>
              <w:left w:w="34" w:type="dxa"/>
              <w:bottom w:w="34" w:type="dxa"/>
              <w:right w:w="34" w:type="dxa"/>
            </w:tcMar>
            <w:tcBorders>
              <w:bottom w:val="nil" w:sz="0" w:space="0" w:color="000000" tmln="20, 20, 20, 0, 0"/>
            </w:tcBorders>
            <w:tmTcPr id="1766737683" protected="0"/>
          </w:tcPr>
          <w:p>
            <w:pPr>
              <w:rPr>
                <w:rFonts w:eastAsia="Tahoma" w:cs="Tahoma"/>
                <w:color w:val="0000ff"/>
              </w:rPr>
            </w:pPr>
            <w:r>
              <w:rPr>
                <w:rFonts w:eastAsia="Tahoma" w:cs="Tahoma"/>
                <w:color w:val="0000ff"/>
              </w:rPr>
              <w:t>Hülsenfrüchte</w:t>
            </w:r>
          </w:p>
        </w:tc>
        <w:tc>
          <w:tcPr>
            <w:tcW w:w="2751" w:type="dxa"/>
            <w:shd w:val="none"/>
            <w:tcMar>
              <w:top w:w="34" w:type="dxa"/>
              <w:left w:w="34" w:type="dxa"/>
              <w:bottom w:w="34" w:type="dxa"/>
              <w:right w:w="34" w:type="dxa"/>
            </w:tcMar>
            <w:tcBorders>
              <w:bottom w:val="nil" w:sz="0" w:space="0" w:color="000000" tmln="20, 20, 20, 0, 0"/>
            </w:tcBorders>
            <w:tmTcPr id="1766737683" protected="0"/>
          </w:tcPr>
          <w:p>
            <w:pPr>
              <w:spacing/>
              <w:jc w:val="right"/>
              <w:rPr>
                <w:rFonts w:eastAsia="Tahoma" w:cs="Tahoma"/>
                <w:kern w:val="1"/>
              </w:rPr>
            </w:pPr>
            <w:r>
              <w:rPr>
                <w:rFonts w:eastAsia="Tahoma" w:cs="Tahoma"/>
                <w:kern w:val="1"/>
              </w:rPr>
            </w:r>
          </w:p>
        </w:tc>
      </w:tr>
      <w:tr>
        <w:trPr>
          <w:tblHeader w:val="0"/>
          <w:cantSplit w:val="0"/>
          <w:trHeight w:val="0" w:hRule="auto"/>
        </w:trPr>
        <w:tc>
          <w:tcPr>
            <w:tcW w:w="4167" w:type="dxa"/>
            <w:shd w:val="none"/>
            <w:tcMar>
              <w:top w:w="34" w:type="dxa"/>
              <w:left w:w="34" w:type="dxa"/>
              <w:bottom w:w="34" w:type="dxa"/>
              <w:right w:w="34" w:type="dxa"/>
            </w:tcMar>
            <w:tcBorders>
              <w:top w:val="nil" w:sz="0" w:space="0" w:color="000000" tmln="2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Erdnuss</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170 – 4470 mg</w:t>
            </w:r>
          </w:p>
        </w:tc>
      </w:tr>
      <w:tr>
        <w:trPr>
          <w:tblHeader w:val="0"/>
          <w:cantSplit w:val="0"/>
          <w:trHeight w:val="0" w:hRule="auto"/>
        </w:trPr>
        <w:tc>
          <w:tcPr>
            <w:tcW w:w="4167"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Bohnen</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610 – 2380 mg</w:t>
            </w:r>
          </w:p>
        </w:tc>
      </w:tr>
      <w:tr>
        <w:trPr>
          <w:tblHeader w:val="0"/>
          <w:cantSplit w:val="0"/>
          <w:trHeight w:val="0" w:hRule="auto"/>
        </w:trPr>
        <w:tc>
          <w:tcPr>
            <w:tcW w:w="4167"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Sojabohnen</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1000 – 2220 mg</w:t>
            </w:r>
          </w:p>
        </w:tc>
      </w:tr>
      <w:tr>
        <w:trPr>
          <w:tblHeader w:val="0"/>
          <w:cantSplit w:val="0"/>
          <w:trHeight w:val="0" w:hRule="auto"/>
        </w:trPr>
        <w:tc>
          <w:tcPr>
            <w:tcW w:w="4167"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Tofu</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100 – 2900 mg</w:t>
            </w:r>
          </w:p>
        </w:tc>
      </w:tr>
      <w:tr>
        <w:trPr>
          <w:tblHeader w:val="0"/>
          <w:cantSplit w:val="0"/>
          <w:trHeight w:val="0" w:hRule="auto"/>
        </w:trPr>
        <w:tc>
          <w:tcPr>
            <w:tcW w:w="4167"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Kichererbsen</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280 – 1600 mg</w:t>
            </w:r>
          </w:p>
        </w:tc>
      </w:tr>
      <w:tr>
        <w:trPr>
          <w:tblHeader w:val="0"/>
          <w:cantSplit w:val="0"/>
          <w:trHeight w:val="0" w:hRule="auto"/>
        </w:trPr>
        <w:tc>
          <w:tcPr>
            <w:tcW w:w="4167"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Linsen</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270 – 1510 mg</w:t>
            </w:r>
          </w:p>
        </w:tc>
      </w:tr>
      <w:tr>
        <w:trPr>
          <w:tblHeader w:val="0"/>
          <w:cantSplit w:val="0"/>
          <w:trHeight w:val="0" w:hRule="auto"/>
        </w:trPr>
        <w:tc>
          <w:tcPr>
            <w:tcW w:w="4167"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Erbsen</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220 – 1220 mg</w:t>
            </w:r>
          </w:p>
        </w:tc>
      </w:tr>
      <w:tr>
        <w:trPr>
          <w:tblHeader w:val="0"/>
          <w:cantSplit w:val="0"/>
          <w:trHeight w:val="0" w:hRule="auto"/>
        </w:trPr>
        <w:tc>
          <w:tcPr>
            <w:tcW w:w="4167" w:type="dxa"/>
            <w:shd w:val="solid" w:color="F0F0E0" tmshd="1677721856, 0, 14741744"/>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66737683" protected="0"/>
          </w:tcPr>
          <w:p>
            <w:pPr>
              <w:rPr>
                <w:rFonts w:eastAsia="Tahoma" w:cs="Tahoma"/>
                <w:color w:val="0000ff"/>
              </w:rPr>
            </w:pPr>
            <w:r>
              <w:rPr>
                <w:rFonts w:eastAsia="Tahoma" w:cs="Tahoma"/>
                <w:color w:val="0000ff"/>
              </w:rPr>
              <w:t>Nüsse und Mandeln</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66737683" protected="0"/>
          </w:tcPr>
          <w:p>
            <w:pPr>
              <w:spacing/>
              <w:jc w:val="right"/>
              <w:rPr>
                <w:rFonts w:eastAsia="Tahoma" w:cs="Tahoma"/>
                <w:kern w:val="1"/>
              </w:rPr>
            </w:pPr>
            <w:r>
              <w:rPr>
                <w:rFonts w:eastAsia="Tahoma" w:cs="Tahoma"/>
                <w:kern w:val="1"/>
              </w:rPr>
            </w:r>
          </w:p>
        </w:tc>
      </w:tr>
      <w:tr>
        <w:trPr>
          <w:tblHeader w:val="0"/>
          <w:cantSplit w:val="0"/>
          <w:trHeight w:val="0" w:hRule="auto"/>
        </w:trPr>
        <w:tc>
          <w:tcPr>
            <w:tcW w:w="4167"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Mandeln</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350 – 9420 mg</w:t>
            </w:r>
          </w:p>
        </w:tc>
      </w:tr>
      <w:tr>
        <w:trPr>
          <w:tblHeader w:val="0"/>
          <w:cantSplit w:val="0"/>
          <w:trHeight w:val="0" w:hRule="auto"/>
        </w:trPr>
        <w:tc>
          <w:tcPr>
            <w:tcW w:w="4167"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Walnüsse</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200 – 6690 mg</w:t>
            </w:r>
          </w:p>
        </w:tc>
      </w:tr>
      <w:tr>
        <w:trPr>
          <w:tblHeader w:val="0"/>
          <w:cantSplit w:val="0"/>
          <w:trHeight w:val="0" w:hRule="auto"/>
        </w:trPr>
        <w:tc>
          <w:tcPr>
            <w:tcW w:w="4167"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Cashews</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190 – 4980 mg</w:t>
            </w:r>
          </w:p>
        </w:tc>
      </w:tr>
      <w:tr>
        <w:trPr>
          <w:tblHeader w:val="0"/>
          <w:cantSplit w:val="0"/>
          <w:trHeight w:val="0" w:hRule="auto"/>
        </w:trPr>
        <w:tc>
          <w:tcPr>
            <w:tcW w:w="4167"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Haselnüsse</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230 – 920 mg</w:t>
            </w:r>
          </w:p>
        </w:tc>
      </w:tr>
      <w:tr>
        <w:trPr>
          <w:tblHeader w:val="0"/>
          <w:cantSplit w:val="0"/>
          <w:trHeight w:val="0" w:hRule="auto"/>
        </w:trPr>
        <w:tc>
          <w:tcPr>
            <w:tcW w:w="4167" w:type="dxa"/>
            <w:shd w:val="solid" w:color="F0F0E0" tmshd="1677721856, 0, 14741744"/>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66737683" protected="0"/>
          </w:tcPr>
          <w:p>
            <w:pPr>
              <w:rPr>
                <w:rFonts w:eastAsia="Tahoma" w:cs="Tahoma"/>
                <w:color w:val="0000ff"/>
              </w:rPr>
            </w:pPr>
            <w:r>
              <w:rPr>
                <w:rFonts w:eastAsia="Tahoma" w:cs="Tahoma"/>
                <w:color w:val="0000ff"/>
              </w:rPr>
              <w:t>Ölsaaten</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66737683" protected="0"/>
          </w:tcPr>
          <w:p>
            <w:pPr>
              <w:spacing/>
              <w:jc w:val="right"/>
              <w:rPr>
                <w:rFonts w:eastAsia="Tahoma" w:cs="Tahoma"/>
                <w:kern w:val="1"/>
              </w:rPr>
            </w:pPr>
            <w:r>
              <w:rPr>
                <w:rFonts w:eastAsia="Tahoma" w:cs="Tahoma"/>
                <w:kern w:val="1"/>
              </w:rPr>
            </w:r>
          </w:p>
        </w:tc>
      </w:tr>
      <w:tr>
        <w:trPr>
          <w:tblHeader w:val="0"/>
          <w:cantSplit w:val="0"/>
          <w:trHeight w:val="0" w:hRule="auto"/>
        </w:trPr>
        <w:tc>
          <w:tcPr>
            <w:tcW w:w="4167"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Sesamsamen</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1640 – 5360 mg</w:t>
            </w:r>
          </w:p>
        </w:tc>
      </w:tr>
      <w:tr>
        <w:trPr>
          <w:tblHeader w:val="0"/>
          <w:cantSplit w:val="0"/>
          <w:trHeight w:val="0" w:hRule="auto"/>
        </w:trPr>
        <w:tc>
          <w:tcPr>
            <w:tcW w:w="4167"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Leinsamen</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2150 – 3690 mg</w:t>
            </w:r>
          </w:p>
        </w:tc>
      </w:tr>
      <w:tr>
        <w:trPr>
          <w:tblHeader w:val="0"/>
          <w:cantSplit w:val="0"/>
          <w:trHeight w:val="0" w:hRule="auto"/>
        </w:trPr>
        <w:tc>
          <w:tcPr>
            <w:tcW w:w="4167"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rPr>
                <w:rFonts w:eastAsia="Tahoma" w:cs="Tahoma"/>
                <w:sz w:val="20"/>
                <w:szCs w:val="20"/>
              </w:rPr>
            </w:pPr>
            <w:r>
              <w:rPr>
                <w:rFonts w:eastAsia="Tahoma" w:cs="Tahoma"/>
                <w:sz w:val="20"/>
                <w:szCs w:val="20"/>
              </w:rPr>
              <w:t>Rapssamen</w:t>
            </w:r>
          </w:p>
        </w:tc>
        <w:tc>
          <w:tcPr>
            <w:tcW w:w="2751" w:type="dxa"/>
            <w:shd w:val="none"/>
            <w:tcMar>
              <w:top w:w="34" w:type="dxa"/>
              <w:left w:w="34" w:type="dxa"/>
              <w:bottom w:w="34" w:type="dxa"/>
              <w:right w:w="34"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66737683" protected="0"/>
          </w:tcPr>
          <w:p>
            <w:pPr>
              <w:spacing/>
              <w:jc w:val="right"/>
              <w:rPr>
                <w:rFonts w:eastAsia="Tahoma" w:cs="Tahoma"/>
                <w:sz w:val="20"/>
                <w:szCs w:val="20"/>
              </w:rPr>
            </w:pPr>
            <w:r>
              <w:rPr>
                <w:rFonts w:eastAsia="Tahoma" w:cs="Tahoma"/>
                <w:sz w:val="20"/>
                <w:szCs w:val="20"/>
              </w:rPr>
              <w:t>2500 mg</w:t>
            </w:r>
          </w:p>
        </w:tc>
      </w:tr>
    </w:tbl>
    <w:p>
      <w:pPr>
        <w:spacing w:after="0" w:line="240" w:lineRule="auto"/>
        <w:jc w:val="left"/>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404040"/>
          <w:kern w:val="1"/>
          <w:sz w:val="14"/>
          <w:szCs w:val="14"/>
        </w:rPr>
      </w:pPr>
      <w:r>
        <w:rPr>
          <w:rFonts w:eastAsia="Tahoma" w:cs="Tahoma"/>
          <w:color w:val="404040"/>
          <w:kern w:val="1"/>
          <w:sz w:val="14"/>
          <w:szCs w:val="14"/>
        </w:rPr>
      </w:r>
    </w:p>
    <w:p>
      <w:pPr>
        <w:spacing w:after="0" w:line="240" w:lineRule="auto"/>
        <w:jc w:val="left"/>
        <w:tabs defTabSz="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404040"/>
          <w:kern w:val="1"/>
          <w:sz w:val="18"/>
          <w:szCs w:val="18"/>
        </w:rPr>
      </w:pPr>
      <w:r>
        <w:rPr>
          <w:rFonts w:eastAsia="Tahoma" w:cs="Tahoma"/>
          <w:color w:val="404040"/>
          <w:kern w:val="1"/>
          <w:sz w:val="18"/>
          <w:szCs w:val="18"/>
        </w:rPr>
        <w:t xml:space="preserve">Hinweis: Der Gehalt an </w:t>
        <w:fldChar w:fldCharType="begin"/>
        <w:instrText xml:space="preserve">XE "Phytinsäure" \G </w:instrText>
        <w:fldChar w:fldCharType="end"/>
        <w:t>Phytinsäure bezieht sich in obiger Tabelle auf die Trockenmasse der Lebensmittel. Würde man den Wassergehalt berücksichtigen, also den Gehalt pro Gesamtmasse angeben, dann wäre der Phytinsäuregehalt etwas geringer. Da die genannten Lebensmittel im Allgemeinen keinen hohen Wassergehalt aufweisen, ist dies jedoch nur eine geringfügige Änderung.</w:t>
      </w:r>
      <w:r>
        <w:rPr>
          <w:rFonts w:eastAsia="Tahoma" w:cs="Tahoma"/>
          <w:color w:val="404040"/>
          <w:kern w:val="1"/>
          <w:sz w:val="18"/>
          <w:szCs w:val="18"/>
        </w:rPr>
      </w:r>
    </w:p>
    <w:p>
      <w:pPr>
        <w:rPr>
          <w:sz w:val="18"/>
          <w:szCs w:val="18"/>
          <w:u w:color="auto" w:val="single"/>
        </w:rPr>
      </w:pPr>
      <w:r>
        <w:t xml:space="preserve">Quelle: </w:t>
      </w:r>
      <w:hyperlink r:id="rId43" w:history="1">
        <w:r>
          <w:rPr>
            <w:rStyle w:val="char20"/>
            <w:sz w:val="18"/>
            <w:szCs w:val="18"/>
          </w:rPr>
          <w:t>www.zentrum-der-gesundheit.de/ernaehrung/lebensmittel/inhaltsstoffe/phytinsaeure</w:t>
        </w:r>
        <w:r>
          <w:rPr>
            <w:rStyle w:val="char20"/>
            <w:color w:val="auto"/>
            <w:sz w:val="18"/>
            <w:szCs w:val="18"/>
          </w:rPr>
          <w:t>, 05.09.2025</w:t>
        </w:r>
      </w:hyperlink>
    </w:p>
    <w:p>
      <w:bookmarkStart w:id="43" w:name="_TOC000308"/>
      <w:r/>
      <w:bookmarkStart w:id="44" w:name="_TOC000059"/>
      <w:r/>
      <w:bookmarkStart w:id="45" w:name="_TOC000217"/>
      <w:r/>
    </w:p>
    <w:p>
      <w:pPr>
        <w:pStyle w:val="para3"/>
        <w:numPr>
          <w:ilvl w:val="2"/>
          <w:numId w:val="1"/>
        </w:numPr>
        <w:ind w:left="720" w:hanging="720"/>
      </w:pPr>
      <w:r>
        <w:br w:type="page"/>
      </w:r>
      <w:bookmarkStart w:id="46" w:name="_TOC000362"/>
      <w:r>
        <w:fldChar w:fldCharType="begin"/>
        <w:instrText xml:space="preserve">XE "Gluten" \G </w:instrText>
        <w:fldChar w:fldCharType="end"/>
        <w:t>Gluten im Getreide greift die Darmschleimhäute an</w:t>
      </w:r>
      <w:bookmarkEnd w:id="44"/>
      <w:r/>
      <w:bookmarkEnd w:id="45"/>
      <w:r/>
      <w:bookmarkEnd w:id="43"/>
      <w:r/>
      <w:bookmarkEnd w:id="46"/>
      <w:r/>
    </w:p>
    <w:p>
      <w:r>
        <w:fldChar w:fldCharType="begin"/>
        <w:instrText xml:space="preserve">XE "Gluten" \G </w:instrText>
        <w:fldChar w:fldCharType="end"/>
        <w:t>Gluten, ein Speicherprotein in Getreide wie Weizen, Gerste und Roggen, wird im Darm durch körpereigene Enzyme (Proteasen) in kleinere Peptide zerlegt. Ein Peptid ist eine Kette aus Aminosäuren. Aminosäuren sind die grundlegenden Bausteine von Proteinen (Eiweißen).</w:t>
      </w:r>
    </w:p>
    <w:p>
      <w:r>
        <w:t xml:space="preserve">Der Abbau von </w:t>
        <w:fldChar w:fldCharType="begin"/>
        <w:instrText xml:space="preserve">XE "Gluten" \G </w:instrText>
        <w:fldChar w:fldCharType="end"/>
        <w:t xml:space="preserve">Gluten im Darm ist bei gesunden Menschen weitgehend vollständig. Bei Betroffenen mit Zöliakie kann der Körper Glutenproteine nicht vollständig zerlegen, was zu schädlichen Peptiden führt und eine Entzündungsreaktion auslöst, die die Darmschleimhaut schädigt. </w:t>
      </w:r>
    </w:p>
    <w:p>
      <w:r>
        <w:t>Die moderne Weizenzüchtung führte einerseits zu immer höheren Glutenwerten, andererseits auch zu zusätzlichen Glutenbegleitstoffen wie Amylase-Trypsin-Inhibitoren (ATI), das gezielt hineingezüchtet wurde, um das Korn resistenter gegen Schädlinge zu machen. ATI triggern Entzündungen, was chronisch-entzündliche Krankheiten wie Rheuma oder Morbus Crohn (Entzündung es Dünndarms) verschlechtern kann. Der heutige Weizen wirkt deshalb viel aggressiver als der Weizen vor 50 Jahren.</w:t>
      </w:r>
    </w:p>
    <w:p>
      <w:pPr>
        <w:pStyle w:val="para5"/>
        <w:numPr>
          <w:ilvl w:val="4"/>
          <w:numId w:val="1"/>
        </w:numPr>
        <w:ind w:left="1134" w:hanging="1134"/>
      </w:pPr>
      <w:bookmarkStart w:id="47" w:name="_TOC000225"/>
      <w:r>
        <w:t>Liste Glutengehalt von Lebensmitteln</w:t>
      </w:r>
      <w:bookmarkEnd w:id="47"/>
      <w:r/>
    </w:p>
    <w:p>
      <w:pPr>
        <w:spacing w:after="0" w:line="240" w:lineRule="auto"/>
        <w:rPr>
          <w:sz w:val="12"/>
          <w:szCs w:val="12"/>
        </w:rPr>
      </w:pPr>
      <w:r>
        <w:rPr>
          <w:sz w:val="12"/>
          <w:szCs w:val="12"/>
        </w:rPr>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spacing w:after="0" w:line="240" w:lineRule="auto"/>
        <w:jc w:val="left"/>
        <w:rPr>
          <w:sz w:val="12"/>
          <w:szCs w:val="12"/>
        </w:rPr>
      </w:pPr>
      <w:r>
        <w:rPr>
          <w:sz w:val="12"/>
          <w:szCs w:val="12"/>
        </w:rPr>
      </w:r>
    </w:p>
    <w:tbl>
      <w:tblPr>
        <w:tblStyle w:val="TableGrid"/>
        <w:name w:val="Tabelle68"/>
        <w:tabOrder w:val="0"/>
        <w:jc w:val="left"/>
        <w:tblInd w:w="0" w:type="dxa"/>
        <w:tblW w:w="4535" w:type="dxa"/>
        <w:pPr>
          <w:spacing/>
          <w:jc w:val="left"/>
        </w:pPr>
        <w:tblLook w:val="04A0" w:firstRow="1" w:lastRow="0" w:firstColumn="1" w:lastColumn="0" w:noHBand="0" w:noVBand="1"/>
      </w:tblPr>
      <w:tblGrid>
        <w:gridCol w:w="3288"/>
        <w:gridCol w:w="1247"/>
      </w:tblGrid>
      <w:tr>
        <w:trPr>
          <w:tblHeader w:val="0"/>
          <w:cantSplit w:val="0"/>
          <w:trHeight w:val="0" w:hRule="auto"/>
        </w:trPr>
        <w:tc>
          <w:tcPr>
            <w:tcW w:w="3288" w:type="dxa"/>
            <w:shd w:val="solid" w:color="E6E6E6" tmshd="1677721856, 0, 15132390"/>
            <w:tcMar>
              <w:top w:w="57" w:type="dxa"/>
              <w:left w:w="57" w:type="dxa"/>
              <w:bottom w:w="57" w:type="dxa"/>
              <w:right w:w="57" w:type="dxa"/>
            </w:tcMar>
            <w:tmTcPr id="1766737683" protected="0"/>
          </w:tcPr>
          <w:p>
            <w:pPr>
              <w:spacing w:after="0" w:line="240" w:lineRule="auto"/>
              <w:jc w:val="left"/>
              <w:rPr>
                <w:rFonts w:eastAsia="Tahoma" w:cs="Tahoma"/>
                <w:color w:val="0000ff"/>
                <w:sz w:val="32"/>
                <w:szCs w:val="32"/>
              </w:rPr>
            </w:pPr>
            <w:r>
              <w:rPr>
                <w:rFonts w:eastAsia="Tahoma" w:cs="Tahoma"/>
                <w:color w:val="0000ff"/>
                <w:sz w:val="32"/>
                <w:szCs w:val="32"/>
              </w:rPr>
              <w:t>LEBENSMITTEL</w:t>
            </w:r>
          </w:p>
        </w:tc>
        <w:tc>
          <w:tcPr>
            <w:tcW w:w="1247" w:type="dxa"/>
            <w:shd w:val="solid" w:color="E6E6E6" tmshd="1677721856, 0, 15132390"/>
            <w:tcMar>
              <w:top w:w="57" w:type="dxa"/>
              <w:left w:w="57" w:type="dxa"/>
              <w:bottom w:w="57" w:type="dxa"/>
              <w:right w:w="57" w:type="dxa"/>
            </w:tcMar>
            <w:tmTcPr id="1766737683" protected="0"/>
          </w:tcPr>
          <w:p>
            <w:pPr>
              <w:spacing w:after="0" w:line="240" w:lineRule="auto"/>
              <w:jc w:val="left"/>
              <w:rPr>
                <w:rFonts w:eastAsia="Tahoma" w:cs="Tahoma"/>
                <w:kern w:val="1"/>
              </w:rPr>
            </w:pPr>
            <w:r>
              <w:rPr>
                <w:rFonts w:eastAsia="Tahoma" w:cs="Tahoma"/>
                <w:kern w:val="1"/>
              </w:rPr>
              <w:t>Glutengehalt in mg/100g</w:t>
            </w:r>
          </w:p>
        </w:tc>
      </w:tr>
      <w:tr>
        <w:trPr>
          <w:tblHeader w:val="0"/>
          <w:cantSplit w:val="0"/>
          <w:trHeight w:val="0" w:hRule="auto"/>
        </w:trPr>
        <w:tc>
          <w:tcPr>
            <w:tcW w:w="3288" w:type="dxa"/>
            <w:shd w:val="solid" w:color="F0F0E0" tmshd="6553856, 14741744, 16777215"/>
            <w:tcMar>
              <w:top w:w="57" w:type="dxa"/>
              <w:left w:w="57" w:type="dxa"/>
              <w:bottom w:w="57" w:type="dxa"/>
              <w:right w:w="57" w:type="dxa"/>
            </w:tcMar>
            <w:tmTcPr id="1766737683" protected="0"/>
          </w:tcPr>
          <w:p>
            <w:pPr>
              <w:spacing w:after="0" w:line="240" w:lineRule="auto"/>
              <w:jc w:val="left"/>
              <w:rPr>
                <w:rFonts w:eastAsia="Tahoma" w:cs="Tahoma"/>
                <w:color w:val="0000ff"/>
                <w:kern w:val="1"/>
                <w:sz w:val="20"/>
                <w:szCs w:val="20"/>
              </w:rPr>
            </w:pPr>
            <w:r>
              <w:rPr>
                <w:rFonts w:eastAsia="Tahoma" w:cs="Tahoma"/>
                <w:color w:val="0000ff"/>
                <w:kern w:val="1"/>
                <w:sz w:val="20"/>
                <w:szCs w:val="20"/>
              </w:rPr>
              <w:t>Mehlprodukte</w:t>
            </w:r>
          </w:p>
        </w:tc>
        <w:tc>
          <w:tcPr>
            <w:tcW w:w="1247" w:type="dxa"/>
            <w:tcMar>
              <w:top w:w="57" w:type="dxa"/>
              <w:left w:w="57" w:type="dxa"/>
              <w:bottom w:w="57" w:type="dxa"/>
              <w:right w:w="57" w:type="dxa"/>
            </w:tcMar>
            <w:tmTcPr id="1766737683" protected="0"/>
          </w:tcPr>
          <w:p>
            <w:pPr>
              <w:rPr>
                <w:sz w:val="20"/>
                <w:szCs w:val="20"/>
              </w:rPr>
            </w:pPr>
            <w:r>
              <w:rPr>
                <w:sz w:val="20"/>
                <w:szCs w:val="20"/>
              </w:rPr>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Roggen (ganzes Korn)</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3.117</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Roggenmehl Type 997</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3.180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Roggenmehl Type 815</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3.200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Roggenmehl Type 1370</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3.300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Roggenschrot (Vollkorn)</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3.450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Roggenmehl Type 1150</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3.483</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Hafer (ganzes Korn, entspelzt)</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4.557</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Weizenkleie</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4.660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Hafermehl (Vollkorn)</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5.600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Gerste (ganzes Korn, entspelzt)</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5.624</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Grünkern (ganzes Korn)</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7.100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Weizenmehl Type 550</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7.520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Weizen (ganzes Korn)</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7.700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Weizenmehl Vollkorn</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8.300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Weizenmehl Type 405</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8.660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Weizengrieß</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8.680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Weizenmehl Type 1050</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8.740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Grünkernmehl Vollkorn</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8.975</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Weizenmehl Type 630</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9.359</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Weizenmehl Type 812</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9.420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Dinkelmehl Vollkorn</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9.460</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Dinkel (ganzes Korn)</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9.894</w:t>
            </w:r>
          </w:p>
        </w:tc>
      </w:tr>
      <w:tr>
        <w:trPr>
          <w:tblHeader w:val="0"/>
          <w:cantSplit w:val="0"/>
          <w:trHeight w:val="0" w:hRule="auto"/>
        </w:trPr>
        <w:tc>
          <w:tcPr>
            <w:tcW w:w="328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Dinkelmehl Type 630</w:t>
            </w:r>
          </w:p>
        </w:tc>
        <w:tc>
          <w:tcPr>
            <w:tcW w:w="1247"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10.300</w:t>
            </w:r>
          </w:p>
        </w:tc>
      </w:tr>
    </w:tbl>
    <w:p>
      <w:pPr>
        <w:spacing w:after="0" w:line="240" w:lineRule="auto"/>
        <w:rPr>
          <w:sz w:val="12"/>
          <w:szCs w:val="12"/>
        </w:rPr>
      </w:pPr>
      <w:bookmarkStart w:id="48" w:name="_TOC000060"/>
      <w:r>
        <w:rPr>
          <w:sz w:val="12"/>
          <w:szCs w:val="12"/>
        </w:rPr>
      </w:r>
    </w:p>
    <w:p>
      <w:pPr>
        <w:spacing w:after="0" w:line="240" w:lineRule="auto"/>
        <w:rPr>
          <w:sz w:val="12"/>
          <w:szCs w:val="12"/>
        </w:rPr>
      </w:pPr>
      <w:r>
        <w:br w:type="column"/>
      </w:r>
      <w:r>
        <w:rPr>
          <w:sz w:val="12"/>
          <w:szCs w:val="12"/>
        </w:rPr>
      </w:r>
    </w:p>
    <w:tbl>
      <w:tblPr>
        <w:tblStyle w:val="TableGrid"/>
        <w:name w:val="Tabelle67"/>
        <w:tabOrder w:val="0"/>
        <w:jc w:val="left"/>
        <w:tblInd w:w="0" w:type="dxa"/>
        <w:tblW w:w="4638" w:type="dxa"/>
        <w:pPr>
          <w:spacing/>
          <w:jc w:val="left"/>
        </w:pPr>
        <w:tblLook w:val="04A0" w:firstRow="1" w:lastRow="0" w:firstColumn="1" w:lastColumn="0" w:noHBand="0" w:noVBand="1"/>
      </w:tblPr>
      <w:tblGrid>
        <w:gridCol w:w="3328"/>
        <w:gridCol w:w="1310"/>
      </w:tblGrid>
      <w:tr>
        <w:trPr>
          <w:tblHeader w:val="0"/>
          <w:cantSplit w:val="0"/>
          <w:trHeight w:val="0" w:hRule="auto"/>
        </w:trPr>
        <w:tc>
          <w:tcPr>
            <w:tcW w:w="3328" w:type="dxa"/>
            <w:shd w:val="solid" w:color="E6E6E6" tmshd="1677721856, 0, 15132390"/>
            <w:tcMar>
              <w:top w:w="57" w:type="dxa"/>
              <w:left w:w="57" w:type="dxa"/>
              <w:bottom w:w="57" w:type="dxa"/>
              <w:right w:w="57" w:type="dxa"/>
            </w:tcMar>
            <w:tmTcPr id="1766737683" protected="0"/>
          </w:tcPr>
          <w:p>
            <w:pPr>
              <w:spacing w:after="0" w:line="240" w:lineRule="auto"/>
              <w:jc w:val="left"/>
              <w:rPr>
                <w:rFonts w:eastAsia="Tahoma" w:cs="Tahoma"/>
                <w:color w:val="0000ff"/>
                <w:sz w:val="32"/>
                <w:szCs w:val="32"/>
              </w:rPr>
            </w:pPr>
            <w:r>
              <w:rPr>
                <w:rFonts w:eastAsia="Tahoma" w:cs="Tahoma"/>
                <w:color w:val="0000ff"/>
                <w:sz w:val="32"/>
                <w:szCs w:val="32"/>
              </w:rPr>
              <w:t>LEBENSMITTEL</w:t>
            </w:r>
          </w:p>
        </w:tc>
        <w:tc>
          <w:tcPr>
            <w:tcW w:w="1310" w:type="dxa"/>
            <w:shd w:val="solid" w:color="E6E6E6" tmshd="1677721856, 0, 15132390"/>
            <w:tcMar>
              <w:top w:w="57" w:type="dxa"/>
              <w:left w:w="57" w:type="dxa"/>
              <w:bottom w:w="57" w:type="dxa"/>
              <w:right w:w="57" w:type="dxa"/>
            </w:tcMar>
            <w:tmTcPr id="1766737683" protected="0"/>
          </w:tcPr>
          <w:p>
            <w:pPr>
              <w:spacing w:after="0" w:line="240" w:lineRule="auto"/>
              <w:jc w:val="left"/>
              <w:rPr>
                <w:rFonts w:eastAsia="Tahoma" w:cs="Tahoma"/>
                <w:kern w:val="1"/>
              </w:rPr>
            </w:pPr>
            <w:r>
              <w:rPr>
                <w:rFonts w:eastAsia="Tahoma" w:cs="Tahoma"/>
                <w:kern w:val="1"/>
              </w:rPr>
              <w:t>Glutengehalt in mg/100g</w:t>
            </w:r>
          </w:p>
        </w:tc>
      </w:tr>
      <w:tr>
        <w:trPr>
          <w:tblHeader w:val="0"/>
          <w:cantSplit w:val="0"/>
          <w:trHeight w:val="0" w:hRule="auto"/>
        </w:trPr>
        <w:tc>
          <w:tcPr>
            <w:tcW w:w="3328" w:type="dxa"/>
            <w:shd w:val="solid" w:color="F0F0E0" tmshd="6553856, 14741744, 16777215"/>
            <w:tcMar>
              <w:top w:w="57" w:type="dxa"/>
              <w:left w:w="57" w:type="dxa"/>
              <w:bottom w:w="57" w:type="dxa"/>
              <w:right w:w="57" w:type="dxa"/>
            </w:tcMar>
            <w:tmTcPr id="1766737683" protected="0"/>
          </w:tcPr>
          <w:p>
            <w:pPr>
              <w:spacing w:after="0" w:line="240" w:lineRule="auto"/>
              <w:jc w:val="left"/>
              <w:rPr>
                <w:rFonts w:eastAsia="Tahoma" w:cs="Tahoma"/>
                <w:color w:val="0000ff"/>
                <w:kern w:val="1"/>
                <w:sz w:val="20"/>
                <w:szCs w:val="20"/>
              </w:rPr>
            </w:pPr>
            <w:r>
              <w:rPr>
                <w:rFonts w:eastAsia="Tahoma" w:cs="Tahoma"/>
                <w:color w:val="0000ff"/>
                <w:kern w:val="1"/>
                <w:sz w:val="20"/>
                <w:szCs w:val="20"/>
              </w:rPr>
              <w:t>Mehlprodukte</w:t>
            </w:r>
          </w:p>
        </w:tc>
        <w:tc>
          <w:tcPr>
            <w:tcW w:w="1310" w:type="dxa"/>
            <w:tcMar>
              <w:top w:w="57" w:type="dxa"/>
              <w:left w:w="57" w:type="dxa"/>
              <w:bottom w:w="57" w:type="dxa"/>
              <w:right w:w="57" w:type="dxa"/>
            </w:tcMar>
            <w:tmTcPr id="1766737683" protected="0"/>
          </w:tcPr>
          <w:p>
            <w:pPr>
              <w:rPr>
                <w:sz w:val="20"/>
                <w:szCs w:val="20"/>
              </w:rPr>
            </w:pPr>
            <w:r>
              <w:rPr>
                <w:sz w:val="20"/>
                <w:szCs w:val="20"/>
              </w:rPr>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Roggenbrot</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1.200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Roggenvollkornbrot</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1.580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Tortenboden</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2.160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Roggenmischbrot</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3.300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Knäckebrot</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3.600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Weizenmischbrot</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3.840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Eierteigwaren gekocht</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4.300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Gerstengraupen</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4.700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Hafergrütze</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4.850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Butterkeks</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5.240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Haferflocken</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5.660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Weizenmehlbrot (Weißbrot)</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5.780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Weizenvollkornbrot</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6.500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Weizentoastbrot</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6.900</w:t>
            </w:r>
          </w:p>
        </w:tc>
      </w:tr>
      <w:tr>
        <w:trPr>
          <w:tblHeader w:val="0"/>
          <w:cantSplit w:val="0"/>
          <w:trHeight w:val="0" w:hRule="auto"/>
        </w:trPr>
        <w:tc>
          <w:tcPr>
            <w:tcW w:w="3328" w:type="dxa"/>
            <w:tcMar>
              <w:top w:w="40" w:type="dxa"/>
              <w:left w:w="45" w:type="dxa"/>
              <w:bottom w:w="40"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Brötchen (helle Semmel)</w:t>
            </w:r>
          </w:p>
        </w:tc>
        <w:tc>
          <w:tcPr>
            <w:tcW w:w="1310" w:type="dxa"/>
            <w:tcMar>
              <w:top w:w="40" w:type="dxa"/>
              <w:left w:w="45" w:type="dxa"/>
              <w:bottom w:w="40"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9.183</w:t>
            </w:r>
          </w:p>
        </w:tc>
      </w:tr>
      <w:tr>
        <w:trPr>
          <w:tblHeader w:val="0"/>
          <w:cantSplit w:val="0"/>
          <w:trHeight w:val="0" w:hRule="auto"/>
        </w:trPr>
        <w:tc>
          <w:tcPr>
            <w:tcW w:w="3328" w:type="dxa"/>
            <w:shd w:val="solid" w:color="F0F0E0" tmshd="6553856, 14741744, 16777215"/>
            <w:tcMar>
              <w:top w:w="57" w:type="dxa"/>
              <w:left w:w="57" w:type="dxa"/>
              <w:bottom w:w="57" w:type="dxa"/>
              <w:right w:w="57" w:type="dxa"/>
            </w:tcMar>
            <w:tmTcPr id="1766737683" protected="0"/>
          </w:tcPr>
          <w:p>
            <w:pPr>
              <w:spacing w:after="0" w:line="240" w:lineRule="auto"/>
              <w:jc w:val="left"/>
              <w:rPr>
                <w:rFonts w:eastAsia="Tahoma" w:cs="Tahoma"/>
                <w:color w:val="0000ff"/>
                <w:kern w:val="1"/>
                <w:sz w:val="20"/>
                <w:szCs w:val="20"/>
              </w:rPr>
            </w:pPr>
            <w:r>
              <w:rPr>
                <w:rFonts w:eastAsia="Tahoma" w:cs="Tahoma"/>
                <w:color w:val="0000ff"/>
                <w:kern w:val="1"/>
                <w:sz w:val="20"/>
                <w:szCs w:val="20"/>
              </w:rPr>
              <w:t>Bier</w:t>
            </w:r>
          </w:p>
        </w:tc>
        <w:tc>
          <w:tcPr>
            <w:tcW w:w="1310" w:type="dxa"/>
            <w:tcMar>
              <w:top w:w="57" w:type="dxa"/>
              <w:left w:w="57" w:type="dxa"/>
              <w:bottom w:w="57" w:type="dxa"/>
              <w:right w:w="567" w:type="dxa"/>
            </w:tcMar>
            <w:tmTcPr id="1766737683" protected="0"/>
          </w:tcPr>
          <w:p>
            <w:pPr>
              <w:spacing/>
              <w:jc w:val="right"/>
              <w:rPr>
                <w:sz w:val="20"/>
                <w:szCs w:val="20"/>
              </w:rPr>
            </w:pPr>
            <w:r>
              <w:rPr>
                <w:sz w:val="20"/>
                <w:szCs w:val="20"/>
              </w:rPr>
            </w:r>
          </w:p>
        </w:tc>
      </w:tr>
      <w:tr>
        <w:trPr>
          <w:tblHeader w:val="0"/>
          <w:cantSplit w:val="0"/>
          <w:trHeight w:val="0" w:hRule="auto"/>
        </w:trPr>
        <w:tc>
          <w:tcPr>
            <w:tcW w:w="3328" w:type="dxa"/>
            <w:tcMar>
              <w:top w:w="57" w:type="dxa"/>
              <w:left w:w="57" w:type="dxa"/>
              <w:bottom w:w="57"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Pilsener Lagerbier</w:t>
            </w:r>
          </w:p>
        </w:tc>
        <w:tc>
          <w:tcPr>
            <w:tcW w:w="1310" w:type="dxa"/>
            <w:tcMar>
              <w:top w:w="57" w:type="dxa"/>
              <w:left w:w="57" w:type="dxa"/>
              <w:bottom w:w="57"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1,2</w:t>
            </w:r>
          </w:p>
        </w:tc>
      </w:tr>
      <w:tr>
        <w:trPr>
          <w:tblHeader w:val="0"/>
          <w:cantSplit w:val="0"/>
          <w:trHeight w:val="0" w:hRule="auto"/>
        </w:trPr>
        <w:tc>
          <w:tcPr>
            <w:tcW w:w="3328" w:type="dxa"/>
            <w:tcMar>
              <w:top w:w="57" w:type="dxa"/>
              <w:left w:w="57" w:type="dxa"/>
              <w:bottom w:w="57"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Vollbier hell</w:t>
            </w:r>
          </w:p>
        </w:tc>
        <w:tc>
          <w:tcPr>
            <w:tcW w:w="1310" w:type="dxa"/>
            <w:tcMar>
              <w:top w:w="57" w:type="dxa"/>
              <w:left w:w="57" w:type="dxa"/>
              <w:bottom w:w="57"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2,7</w:t>
            </w:r>
          </w:p>
        </w:tc>
      </w:tr>
      <w:tr>
        <w:trPr>
          <w:tblHeader w:val="0"/>
          <w:cantSplit w:val="0"/>
          <w:trHeight w:val="0" w:hRule="auto"/>
        </w:trPr>
        <w:tc>
          <w:tcPr>
            <w:tcW w:w="3328" w:type="dxa"/>
            <w:tcMar>
              <w:top w:w="57" w:type="dxa"/>
              <w:left w:w="57" w:type="dxa"/>
              <w:bottom w:w="57"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alkoholfreies Bier</w:t>
            </w:r>
          </w:p>
        </w:tc>
        <w:tc>
          <w:tcPr>
            <w:tcW w:w="1310" w:type="dxa"/>
            <w:tcMar>
              <w:top w:w="57" w:type="dxa"/>
              <w:left w:w="57" w:type="dxa"/>
              <w:bottom w:w="57"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3,2</w:t>
            </w:r>
          </w:p>
        </w:tc>
      </w:tr>
      <w:tr>
        <w:trPr>
          <w:tblHeader w:val="0"/>
          <w:cantSplit w:val="0"/>
          <w:trHeight w:val="0" w:hRule="auto"/>
        </w:trPr>
        <w:tc>
          <w:tcPr>
            <w:tcW w:w="3328" w:type="dxa"/>
            <w:tcMar>
              <w:top w:w="57" w:type="dxa"/>
              <w:left w:w="57" w:type="dxa"/>
              <w:bottom w:w="57"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Malzgetränk</w:t>
            </w:r>
          </w:p>
        </w:tc>
        <w:tc>
          <w:tcPr>
            <w:tcW w:w="1310" w:type="dxa"/>
            <w:tcMar>
              <w:top w:w="57" w:type="dxa"/>
              <w:left w:w="57" w:type="dxa"/>
              <w:bottom w:w="57"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3,4</w:t>
            </w:r>
          </w:p>
        </w:tc>
      </w:tr>
      <w:tr>
        <w:trPr>
          <w:tblHeader w:val="0"/>
          <w:cantSplit w:val="0"/>
          <w:trHeight w:val="0" w:hRule="auto"/>
        </w:trPr>
        <w:tc>
          <w:tcPr>
            <w:tcW w:w="3328" w:type="dxa"/>
            <w:tcMar>
              <w:top w:w="57" w:type="dxa"/>
              <w:left w:w="57" w:type="dxa"/>
              <w:bottom w:w="57"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Vollbier dunkel</w:t>
            </w:r>
          </w:p>
        </w:tc>
        <w:tc>
          <w:tcPr>
            <w:tcW w:w="1310" w:type="dxa"/>
            <w:tcMar>
              <w:top w:w="57" w:type="dxa"/>
              <w:left w:w="57" w:type="dxa"/>
              <w:bottom w:w="57"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4,6</w:t>
            </w:r>
          </w:p>
        </w:tc>
      </w:tr>
      <w:tr>
        <w:trPr>
          <w:tblHeader w:val="0"/>
          <w:cantSplit w:val="0"/>
          <w:trHeight w:val="0" w:hRule="auto"/>
        </w:trPr>
        <w:tc>
          <w:tcPr>
            <w:tcW w:w="3328" w:type="dxa"/>
            <w:tcMar>
              <w:top w:w="57" w:type="dxa"/>
              <w:left w:w="57" w:type="dxa"/>
              <w:bottom w:w="57" w:type="dxa"/>
              <w:right w:w="57" w:type="dxa"/>
            </w:tcMar>
            <w:tmTcPr id="1766737683" protected="0"/>
          </w:tcPr>
          <w:p>
            <w:pPr>
              <w:spacing w:after="0" w:line="240" w:lineRule="auto"/>
              <w:jc w:val="left"/>
              <w:rPr>
                <w:rFonts w:eastAsia="Tahoma" w:cs="Tahoma"/>
                <w:kern w:val="1"/>
                <w:sz w:val="18"/>
                <w:szCs w:val="18"/>
              </w:rPr>
            </w:pPr>
            <w:r>
              <w:rPr>
                <w:rFonts w:eastAsia="Tahoma" w:cs="Tahoma"/>
                <w:kern w:val="1"/>
                <w:sz w:val="18"/>
                <w:szCs w:val="18"/>
              </w:rPr>
              <w:t>Weißbier</w:t>
            </w:r>
          </w:p>
        </w:tc>
        <w:tc>
          <w:tcPr>
            <w:tcW w:w="1310" w:type="dxa"/>
            <w:tcMar>
              <w:top w:w="57" w:type="dxa"/>
              <w:left w:w="57" w:type="dxa"/>
              <w:bottom w:w="57" w:type="dxa"/>
              <w:right w:w="567" w:type="dxa"/>
            </w:tcMar>
            <w:tmTcPr id="1766737683" protected="0"/>
          </w:tcPr>
          <w:p>
            <w:pPr>
              <w:spacing w:after="0" w:line="240" w:lineRule="auto"/>
              <w:jc w:val="right"/>
              <w:rPr>
                <w:rFonts w:eastAsia="Tahoma" w:cs="Tahoma"/>
                <w:kern w:val="1"/>
                <w:sz w:val="18"/>
                <w:szCs w:val="18"/>
              </w:rPr>
            </w:pPr>
            <w:r>
              <w:rPr>
                <w:rFonts w:eastAsia="Tahoma" w:cs="Tahoma"/>
                <w:kern w:val="1"/>
                <w:sz w:val="18"/>
                <w:szCs w:val="18"/>
              </w:rPr>
              <w:t>274</w:t>
            </w:r>
          </w:p>
        </w:tc>
      </w:tr>
    </w:tbl>
    <w:p>
      <w:pPr>
        <w:spacing/>
        <w:jc w:val="left"/>
        <w:rPr>
          <w:rFonts w:eastAsia="Tahoma" w:cs="Tahoma"/>
          <w:kern w:val="1"/>
        </w:rPr>
      </w:pPr>
      <w:r>
        <w:rPr>
          <w:rFonts w:eastAsia="Tahoma" w:cs="Tahoma"/>
          <w:kern w:val="1"/>
        </w:rPr>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rPr>
          <w:sz w:val="16"/>
          <w:szCs w:val="16"/>
        </w:rPr>
      </w:pPr>
      <w:r/>
      <w:bookmarkStart w:id="49" w:name="_TOC000094"/>
      <w:r/>
      <w:r>
        <w:rPr>
          <w:rFonts w:eastAsia="Tahoma" w:cs="Tahoma"/>
          <w:kern w:val="1"/>
        </w:rPr>
        <w:t xml:space="preserve">Quelle: </w:t>
      </w:r>
      <w:hyperlink r:id="rId44" w:history="1">
        <w:r>
          <w:rPr>
            <w:rStyle w:val="char20"/>
            <w:rFonts w:eastAsia="Tahoma" w:cs="Tahoma"/>
            <w:kern w:val="1"/>
            <w:sz w:val="16"/>
            <w:szCs w:val="16"/>
          </w:rPr>
          <w:t>https://www.infomedizin.de/fileadmin/user_upload/PDF/info-medizin-glutengehalt-getreide-bier.pdf</w:t>
        </w:r>
      </w:hyperlink>
      <w:r>
        <w:rPr>
          <w:sz w:val="16"/>
          <w:szCs w:val="16"/>
        </w:rPr>
        <w:t>, 05.09.2025</w:t>
      </w:r>
      <w:r>
        <w:rPr>
          <w:sz w:val="16"/>
          <w:szCs w:val="16"/>
        </w:rPr>
      </w:r>
    </w:p>
    <w:p>
      <w:pPr>
        <w:pStyle w:val="para3"/>
        <w:numPr>
          <w:ilvl w:val="2"/>
          <w:numId w:val="1"/>
        </w:numPr>
        <w:ind w:left="720" w:hanging="720"/>
      </w:pPr>
      <w:bookmarkStart w:id="50" w:name="_TOC000363"/>
      <w:r>
        <w:t>Ist Vollkorn gesünder?</w:t>
      </w:r>
      <w:bookmarkEnd w:id="48"/>
      <w:r/>
      <w:bookmarkEnd w:id="49"/>
      <w:r/>
      <w:bookmarkEnd w:id="50"/>
      <w:r/>
    </w:p>
    <w:p>
      <w:r>
        <w:t xml:space="preserve">Lange galten Vollkornprodukte als gesunde Alternative zu Weißmehlprodukten. Positiv zu vermerken wäre hier der höhere Gehalt an Ballaststoffen, Vitaminen und Mineralien sowie die Tatsache, dass der Blutzucker im Vergleich zu Weißmehlprodukten etwas geringer ansteigt. Negativ ist, dass sich in Vollkornprodukten deutlich mehr entzündungsfördernde </w:t>
        <w:fldChar w:fldCharType="begin"/>
        <w:instrText xml:space="preserve">XE "Lektine" \G </w:instrText>
        <w:fldChar w:fldCharType="end"/>
        <w:t>Lektine befinden. Vollkornprodukte sind also nicht immer die gesündere Wahl.</w:t>
      </w:r>
    </w:p>
    <w:p>
      <w:pPr>
        <w:pStyle w:val="para3"/>
        <w:numPr>
          <w:ilvl w:val="2"/>
          <w:numId w:val="1"/>
        </w:numPr>
        <w:ind w:left="720" w:hanging="720"/>
      </w:pPr>
      <w:bookmarkStart w:id="51" w:name="_TOC000005"/>
      <w:r/>
      <w:bookmarkStart w:id="52" w:name="Darf_ich_mir"/>
      <w:r/>
      <w:bookmarkStart w:id="53" w:name="_TOC000061"/>
      <w:r>
        <w:t>Darf ich mir mein Weizenbier noch gönnen?</w:t>
      </w:r>
      <w:bookmarkEnd w:id="53"/>
      <w:r/>
      <w:bookmarkEnd w:id="52"/>
      <w:r/>
      <w:bookmarkEnd w:id="51"/>
      <w:r/>
    </w:p>
    <w:p>
      <w:r>
        <w:t xml:space="preserve">Die Antwort lautet „ja“. Bei der Weizenbierherstellung („Vermälzung“) keimt das Weizenkorn aus. Dies ist der einzige Vorgang, bei dem die schädigenden </w:t>
        <w:fldChar w:fldCharType="begin"/>
        <w:instrText xml:space="preserve">XE "Lektine" \G </w:instrText>
        <w:fldChar w:fldCharType="end"/>
        <w:t>Lektine zerstört werden. Ein Weizenbier kann deshalb nach wie vor in vollen Zügen genossen werden - wir empfehlen natürlich die alkoholfreie Variante. Ebenso sollte die Kohlenhydratmenge von 27g pro 500 ml Bier berücksichtigt werden. Zwei Flaschen wären also zu viel.</w:t>
      </w:r>
    </w:p>
    <w:p>
      <w:pPr>
        <w:pStyle w:val="para3"/>
        <w:numPr>
          <w:ilvl w:val="2"/>
          <w:numId w:val="1"/>
        </w:numPr>
        <w:ind w:left="720" w:hanging="720"/>
      </w:pPr>
      <w:bookmarkStart w:id="54" w:name="_TOC000309"/>
      <w:r>
        <w:t>Fazit</w:t>
      </w:r>
      <w:bookmarkEnd w:id="54"/>
      <w:r/>
    </w:p>
    <w:p>
      <w:pPr>
        <w:pStyle w:val="para17"/>
        <w:numPr>
          <w:ilvl w:val="1"/>
          <w:numId w:val="2"/>
        </w:numPr>
        <w:ind w:left="397" w:hanging="197"/>
      </w:pPr>
      <w:r>
        <w:fldChar w:fldCharType="begin"/>
        <w:instrText xml:space="preserve">XE "Lektine" \G </w:instrText>
        <w:fldChar w:fldCharType="end"/>
        <w:t>Lektine in Pflanzen sind ein Fraßschutz.</w:t>
      </w:r>
    </w:p>
    <w:p>
      <w:pPr>
        <w:ind w:left="737"/>
      </w:pPr>
      <w:r>
        <w:fldChar w:fldCharType="begin"/>
        <w:instrText xml:space="preserve">XE "Lektine" \G </w:instrText>
        <w:fldChar w:fldCharType="end"/>
        <w:t>Lektine können jedoch beim Menschen an Organe und rote Blutkörperchen andocken und diese schädigen.</w:t>
      </w:r>
    </w:p>
    <w:p>
      <w:pPr>
        <w:pStyle w:val="para17"/>
        <w:numPr>
          <w:ilvl w:val="1"/>
          <w:numId w:val="2"/>
        </w:numPr>
        <w:ind w:left="397" w:hanging="197"/>
      </w:pPr>
      <w:r>
        <w:t>Besonders aggressiv und dazu noch hitzestabil sind</w:t>
      </w:r>
    </w:p>
    <w:p>
      <w:pPr>
        <w:pStyle w:val="para28"/>
        <w:numPr>
          <w:ilvl w:val="1"/>
          <w:numId w:val="2"/>
        </w:numPr>
        <w:ind w:left="1020" w:hanging="197"/>
      </w:pPr>
      <w:r>
        <w:t xml:space="preserve">das Weizenlektin, </w:t>
      </w:r>
    </w:p>
    <w:p>
      <w:pPr>
        <w:pStyle w:val="para28"/>
        <w:numPr>
          <w:ilvl w:val="1"/>
          <w:numId w:val="2"/>
        </w:numPr>
        <w:ind w:left="1020" w:hanging="197"/>
      </w:pPr>
      <w:r>
        <w:t xml:space="preserve">das Roggenlektin und </w:t>
      </w:r>
    </w:p>
    <w:p>
      <w:pPr>
        <w:pStyle w:val="para28"/>
        <w:numPr>
          <w:ilvl w:val="1"/>
          <w:numId w:val="2"/>
        </w:numPr>
        <w:ind w:left="1020" w:hanging="197"/>
      </w:pPr>
      <w:r>
        <w:t>das Lektin der Kidneybohne</w:t>
      </w:r>
    </w:p>
    <w:p>
      <w:pPr>
        <w:ind w:left="737"/>
      </w:pPr>
      <w:r>
        <w:t>während viele Gemüselektine völlig harmlos sind und meist durch Kochvorgänge abgebaut werden.</w:t>
      </w:r>
    </w:p>
    <w:p>
      <w:pPr>
        <w:pStyle w:val="para17"/>
        <w:numPr>
          <w:ilvl w:val="1"/>
          <w:numId w:val="2"/>
        </w:numPr>
        <w:ind w:left="397" w:hanging="197"/>
      </w:pPr>
      <w:r>
        <w:fldChar w:fldCharType="begin"/>
        <w:instrText xml:space="preserve">XE "Lektine" \G </w:instrText>
        <w:fldChar w:fldCharType="end"/>
        <w:t>Lektine binden sich an das körpereigene Acetyl-Glucosamin, .Dies  wird zum Aufbau von Knorpel benötigt. Das Acetyl-Glucosamin kann so nicht mehr genutzt werden.</w:t>
      </w:r>
    </w:p>
    <w:p>
      <w:pPr>
        <w:pStyle w:val="para17"/>
        <w:numPr>
          <w:ilvl w:val="1"/>
          <w:numId w:val="2"/>
        </w:numPr>
        <w:ind w:left="397" w:hanging="197"/>
      </w:pPr>
      <w:r>
        <w:fldChar w:fldCharType="begin"/>
        <w:instrText xml:space="preserve">XE "Phytinsäure" \G </w:instrText>
        <w:fldChar w:fldCharType="end"/>
        <w:t>Phytinsäure bindet sich an Mineralien und macht sie für den Körper unbrauchbar.</w:t>
      </w:r>
    </w:p>
    <w:p>
      <w:pPr>
        <w:ind w:left="737"/>
      </w:pPr>
      <w:r>
        <w:t xml:space="preserve">Zum Teil wird die </w:t>
        <w:fldChar w:fldCharType="begin"/>
        <w:instrText xml:space="preserve">XE "Phytinsäure" \G </w:instrText>
        <w:fldChar w:fldCharType="end"/>
        <w:t>Phytinsäure durch Säuerung abgebaut.</w:t>
      </w:r>
    </w:p>
    <w:p>
      <w:pPr>
        <w:pStyle w:val="para17"/>
        <w:numPr>
          <w:ilvl w:val="1"/>
          <w:numId w:val="2"/>
        </w:numPr>
        <w:ind w:left="397" w:hanging="197"/>
      </w:pPr>
      <w:r>
        <w:t>Daraus folgt: Nur Brot auf Sauerteigbasis essen.</w:t>
      </w:r>
    </w:p>
    <w:p>
      <w:pPr>
        <w:ind w:left="737"/>
      </w:pPr>
      <w:r>
        <w:t xml:space="preserve">Aufgrund der </w:t>
        <w:fldChar w:fldCharType="begin"/>
        <w:instrText xml:space="preserve">XE "Lektine" \G </w:instrText>
        <w:fldChar w:fldCharType="end"/>
        <w:t>Lektine sollte das Sauerteigbrot in der Regel keinen Weizen und keinen Roggen enthalten.</w:t>
      </w:r>
    </w:p>
    <w:p>
      <w:pPr>
        <w:ind w:left="737"/>
      </w:pPr>
      <w:r>
        <w:t>Ein Sauerteigbrot mit Dinkel und Hafer liefert dem Körper mehr Mineralien und wäre deutlich besser.</w:t>
      </w:r>
    </w:p>
    <w:p>
      <w:bookmarkStart w:id="55" w:name="_TOC000042"/>
      <w:r/>
      <w:bookmarkStart w:id="56" w:name="_TOC000022"/>
      <w:r/>
      <w:bookmarkEnd w:id="56"/>
      <w:r/>
      <w:bookmarkStart w:id="57" w:name="_TOC000004"/>
      <w:r/>
      <w:bookmarkStart w:id="58" w:name="_TOC000010"/>
      <w:r/>
    </w:p>
    <w:p>
      <w:pPr>
        <w:pStyle w:val="para2"/>
        <w:numPr>
          <w:ilvl w:val="1"/>
          <w:numId w:val="1"/>
        </w:numPr>
        <w:ind w:left="576" w:hanging="576"/>
      </w:pPr>
      <w:r>
        <w:br w:type="page"/>
      </w:r>
      <w:bookmarkStart w:id="59" w:name="_TOC000310"/>
      <w:r>
        <w:t>Protein</w:t>
      </w:r>
      <w:r>
        <w:fldChar w:fldCharType="begin"/>
        <w:instrText xml:space="preserve">XE "Protein"</w:instrText>
        <w:fldChar w:fldCharType="end"/>
      </w:r>
      <w:r>
        <w:t>e</w:t>
      </w:r>
      <w:bookmarkEnd w:id="58"/>
      <w:r/>
      <w:bookmarkEnd w:id="57"/>
      <w:r/>
      <w:bookmarkEnd w:id="55"/>
      <w:r>
        <w:t xml:space="preserve"> (</w:t>
        <w:fldChar w:fldCharType="begin"/>
        <w:instrText xml:space="preserve">XE "Eiweiß" \G </w:instrText>
        <w:fldChar w:fldCharType="end"/>
        <w:t>Eiweiß)</w:t>
      </w:r>
      <w:bookmarkEnd w:id="59"/>
      <w:r/>
    </w:p>
    <w:p>
      <w:r>
        <w:t>Proteine, auch Eiweiße genannt, sind essenzielle Makronährstoffe, die im Körper viele wichtige Funktionen erfüllen.</w:t>
      </w:r>
    </w:p>
    <w:p>
      <w:r>
        <w:t xml:space="preserve">Sie </w:t>
      </w:r>
    </w:p>
    <w:p>
      <w:pPr>
        <w:pStyle w:val="para17"/>
        <w:numPr>
          <w:ilvl w:val="1"/>
          <w:numId w:val="2"/>
        </w:numPr>
        <w:ind w:left="397" w:hanging="197"/>
        <w:spacing w:after="60" w:line="240" w:lineRule="auto"/>
      </w:pPr>
      <w:r>
        <w:t>Proteine sind der Baustein für Zellen, Gewebe und Organe.</w:t>
      </w:r>
    </w:p>
    <w:p>
      <w:pPr>
        <w:pStyle w:val="para17"/>
        <w:numPr>
          <w:ilvl w:val="1"/>
          <w:numId w:val="2"/>
        </w:numPr>
        <w:ind w:left="397" w:hanging="197"/>
        <w:spacing w:after="60" w:line="240" w:lineRule="auto"/>
      </w:pPr>
      <w:r>
        <w:t>Proteine helfen beim Aufbau und der Reparatur von Muskeln, Haut, Haaren und Nägeln.</w:t>
      </w:r>
    </w:p>
    <w:p>
      <w:pPr>
        <w:pStyle w:val="para17"/>
        <w:numPr>
          <w:ilvl w:val="1"/>
          <w:numId w:val="2"/>
        </w:numPr>
        <w:ind w:left="397" w:hanging="197"/>
        <w:spacing w:after="60" w:line="240" w:lineRule="auto"/>
      </w:pPr>
      <w:r>
        <w:t>Proteine sind notwendig, um Enzyme zu bilden, die chemische Reaktionen im Körper katalysieren und den Stoffwechsel regulieren.</w:t>
      </w:r>
    </w:p>
    <w:p>
      <w:pPr>
        <w:pStyle w:val="para17"/>
        <w:numPr>
          <w:ilvl w:val="1"/>
          <w:numId w:val="2"/>
        </w:numPr>
        <w:ind w:left="397" w:hanging="197"/>
        <w:spacing w:after="60" w:line="240" w:lineRule="auto"/>
      </w:pPr>
      <w:r>
        <w:t>Proteine sind an der Produktion von Hormonen beteiligt, die wichtige Körperfunktionen regulieren.</w:t>
      </w:r>
    </w:p>
    <w:p>
      <w:pPr>
        <w:pStyle w:val="para17"/>
        <w:numPr>
          <w:ilvl w:val="1"/>
          <w:numId w:val="2"/>
        </w:numPr>
        <w:ind w:left="397" w:hanging="197"/>
        <w:spacing w:after="60" w:line="240" w:lineRule="auto"/>
      </w:pPr>
      <w:r>
        <w:t>Proteine bilden Antikörper, die das Immunsystem stärken und den Körper vor Infektionen schützen.</w:t>
      </w:r>
    </w:p>
    <w:p>
      <w:pPr>
        <w:pStyle w:val="para17"/>
        <w:numPr>
          <w:ilvl w:val="1"/>
          <w:numId w:val="2"/>
        </w:numPr>
        <w:ind w:left="397" w:hanging="197"/>
        <w:spacing w:after="60" w:line="240" w:lineRule="auto"/>
      </w:pPr>
      <w:r>
        <w:t>Proteine sind besonders wichtig für den Muskelaufbau und die Reparatur von Muskelgewebe, insbesondere bei Sportlern und Personen mit intensivem Muskelaufbau.</w:t>
      </w:r>
    </w:p>
    <w:p>
      <w:pPr>
        <w:pStyle w:val="para17"/>
        <w:numPr>
          <w:ilvl w:val="1"/>
          <w:numId w:val="2"/>
        </w:numPr>
        <w:ind w:left="397" w:hanging="197"/>
        <w:spacing w:after="60" w:line="240" w:lineRule="auto"/>
      </w:pPr>
      <w:r>
        <w:t>Proteine, wie beispielsweise Hämoglobin, sind wichtig für den Sauerstofftransport im Blut.</w:t>
      </w:r>
    </w:p>
    <w:p>
      <w:pPr>
        <w:pStyle w:val="para17"/>
        <w:numPr>
          <w:ilvl w:val="1"/>
          <w:numId w:val="2"/>
        </w:numPr>
        <w:ind w:left="397" w:hanging="197"/>
        <w:spacing w:after="60" w:line="240" w:lineRule="auto"/>
      </w:pPr>
      <w:r>
        <w:t xml:space="preserve">Obwohl </w:t>
        <w:fldChar w:fldCharType="begin"/>
        <w:instrText xml:space="preserve">XE "Kohlenhydrate" \G </w:instrText>
        <w:fldChar w:fldCharType="end"/>
        <w:t>Kohlenhydrate und Fette die primären Energiequellen sind, können Proteine bei Bedarf auch als Energiequelle genutzt werden.</w:t>
      </w:r>
    </w:p>
    <w:p>
      <w:pPr>
        <w:pStyle w:val="para17"/>
        <w:numPr>
          <w:ilvl w:val="1"/>
          <w:numId w:val="2"/>
        </w:numPr>
        <w:ind w:left="397" w:hanging="197"/>
      </w:pPr>
      <w:r>
        <w:t xml:space="preserve">Proteine können das Sättigungsgefühl erhöhen und helfen, den Blutzuckerspiegel zu stabilisieren. </w:t>
      </w:r>
    </w:p>
    <w:p>
      <w:pPr>
        <w:pStyle w:val="para3"/>
        <w:numPr>
          <w:ilvl w:val="2"/>
          <w:numId w:val="1"/>
        </w:numPr>
        <w:ind w:left="720" w:hanging="720"/>
      </w:pPr>
      <w:bookmarkStart w:id="60" w:name="_TOC000317"/>
      <w:r/>
      <w:bookmarkStart w:id="61" w:name="_TOC000011"/>
      <w:r/>
      <w:bookmarkEnd w:id="61"/>
      <w:r/>
      <w:bookmarkStart w:id="62" w:name="_TOC000076"/>
      <w:r>
        <w:t>Hochwertige Eiweißversorgung</w:t>
      </w:r>
      <w:bookmarkEnd w:id="62"/>
      <w:r/>
      <w:bookmarkEnd w:id="60"/>
      <w:r/>
    </w:p>
    <w:p>
      <w:r>
        <w:fldChar w:fldCharType="begin"/>
        <w:instrText xml:space="preserve">XE "Eiweiß" \G </w:instrText>
        <w:fldChar w:fldCharType="end"/>
        <w:t xml:space="preserve">Eiweiß wird oft als Grundstoff allen Lebens bezeichnet. Eiweiße bestehen aus einzelnen Bausteinen, den Aminosäuren, die sich in jeder Zelle deines Körpers befinden und so dafür sorgen, dass die Hormone gebildet werden. Außerdem wird </w:t>
        <w:fldChar w:fldCharType="begin"/>
        <w:instrText xml:space="preserve">XE "Eiweiß" \G </w:instrText>
        <w:fldChar w:fldCharType="end"/>
        <w:t xml:space="preserve">Eiweiß als Baustoff für deine Muskeln, Nerven sowie Knochen benötigt. Von den 20 Aminosäuren sind acht essenziell, das heißt, dass der Körper sie nicht selbst herstellen kann, weswegen sie über die Nahrung aufgenommen werden müssen. Da du </w:t>
        <w:fldChar w:fldCharType="begin"/>
        <w:instrText xml:space="preserve">XE "Eiweiß" \G </w:instrText>
        <w:fldChar w:fldCharType="end"/>
        <w:t>Eiweiß für eine schnelle hormonelle und muskuläre Regeneration, für starke Sehnen, Bänder, Knochen und zur Stärkung des Immunsystems brauchst, hast du als Sportler generell einen höheren Eiweißbedarf als Nichtsportler.</w:t>
      </w:r>
    </w:p>
    <w:p>
      <w:r>
        <w:t xml:space="preserve">Die Deutsche Gesellschaft für Ernährung gibt eine Eiweißempfehlung von 0,8g </w:t>
        <w:fldChar w:fldCharType="begin"/>
        <w:instrText xml:space="preserve">XE "Eiweiß" \G </w:instrText>
        <w:fldChar w:fldCharType="end"/>
        <w:t xml:space="preserve">Eiweiß pro Kilogramm Körpergewicht. Dieser Wert ist selbst für Nichtsportler zu niedrig angesetzt und reicht für dich als Sportler schon gar nicht aus. Unsere Empfehlung für Sportler bis 70 Jahre: 1,5 g </w:t>
        <w:fldChar w:fldCharType="begin"/>
        <w:instrText xml:space="preserve">XE "Eiweiß" \G </w:instrText>
        <w:fldChar w:fldCharType="end"/>
        <w:t xml:space="preserve">Eiweiß je Kilogramm Körpergewicht und für Sportler ab einem Alter von 70 Jahren: 1,88 g </w:t>
        <w:fldChar w:fldCharType="begin"/>
        <w:instrText xml:space="preserve">XE "Eiweiß" \G </w:instrText>
        <w:fldChar w:fldCharType="end"/>
        <w:t>Eiweiß je Kilogramm Körpergewicht.</w:t>
      </w:r>
    </w:p>
    <w:p>
      <w:r>
        <w:t>Ein 35-jähriger, 80 Kilogramm schwerer Sportler, hat damit einen täglichen Eiweißbedarf von 120 g.</w:t>
      </w:r>
    </w:p>
    <w:p>
      <w:r/>
    </w:p>
    <w:p>
      <w:pPr>
        <w:spacing/>
        <w:jc w:val="center"/>
      </w:pPr>
      <w:r>
        <w:rPr>
          <w:noProof/>
        </w:rPr>
        <w:drawing>
          <wp:inline distT="0" distB="0" distL="0" distR="0">
            <wp:extent cx="4812030" cy="6132195"/>
            <wp:effectExtent l="0" t="0" r="0" b="0"/>
            <wp:docPr id="7" name="Grafik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21"/>
                    <pic:cNvPicPr>
                      <a:picLocks noChangeAspect="1"/>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GoWAACQHAAAahYAAJAc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qAgAAB6IAAAAAAAAAAAAAAQAAAAAAAAAAAAAAAQAAAAAAAAAAAAAAmh0AALklAAAAAAAAAAAAAAAAAAAoAAAACAAAAAEAAAABAAAAMAAAABQAAAAAAAAAAAD//wAAAQAAAP//AAABAA=="/>
                        </a:ext>
                      </a:extLst>
                    </pic:cNvPicPr>
                  </pic:nvPicPr>
                  <pic:blipFill>
                    <a:blip r:embed="rId45"/>
                    <a:stretch>
                      <a:fillRect/>
                    </a:stretch>
                  </pic:blipFill>
                  <pic:spPr>
                    <a:xfrm>
                      <a:off x="0" y="0"/>
                      <a:ext cx="4812030" cy="6132195"/>
                    </a:xfrm>
                    <a:prstGeom prst="rect">
                      <a:avLst/>
                    </a:prstGeom>
                    <a:noFill/>
                    <a:ln w="12700">
                      <a:noFill/>
                    </a:ln>
                  </pic:spPr>
                </pic:pic>
              </a:graphicData>
            </a:graphic>
          </wp:inline>
        </w:drawing>
      </w:r>
      <w:r/>
    </w:p>
    <w:p>
      <w:pPr>
        <w:ind w:left="864" w:hanging="864"/>
        <w:spacing/>
        <w:jc w:val="center"/>
      </w:pPr>
      <w:r>
        <w:t>Quelle: Dr. Wolfgang Feil, Friederike Feil: Die F-AS-T Formel, Seite 34</w:t>
      </w:r>
    </w:p>
    <w:p>
      <w:pPr>
        <w:pStyle w:val="para4"/>
        <w:numPr>
          <w:ilvl w:val="3"/>
          <w:numId w:val="1"/>
        </w:numPr>
        <w:ind w:left="1077" w:hanging="1077"/>
      </w:pPr>
      <w:bookmarkStart w:id="63" w:name="_TOC000077"/>
      <w:r>
        <w:t xml:space="preserve">Tierisches </w:t>
        <w:fldChar w:fldCharType="begin"/>
        <w:instrText xml:space="preserve">XE "Eiweiß" \G </w:instrText>
        <w:fldChar w:fldCharType="end"/>
        <w:t>Eiweiß</w:t>
      </w:r>
      <w:bookmarkEnd w:id="63"/>
      <w:r/>
    </w:p>
    <w:p>
      <w:r>
        <w:t xml:space="preserve">Besonders bei tierischen Eiweißquellen spielt die Herkunft eine große Rolle. Das Fleisch von Masttieren ist nicht gut für uns, da es aufgrund hoher Arachidonsäurespitzen Entzündungen in unserem Körper erhöht. Verantwortlich dafür ist die Fütterung mit Mastfutter aus </w:t>
        <w:fldChar w:fldCharType="begin"/>
        <w:instrText xml:space="preserve">XE "Soja" \G </w:instrText>
        <w:fldChar w:fldCharType="end"/>
        <w:t>Soja und Weizen sowie ein hoher Antibiotika-Einsatz. In USA wurden vor kurzem Zahlen veröffentlicht, die zeigen, dass 80% der gesamten Antibiotika-Produktion in die Tiermast geht, weil die Tiere so krank sind, dass sie nur durch Antibiotika die Schlachtreife erreichen.</w:t>
      </w:r>
    </w:p>
    <w:p>
      <w:r>
        <w:t>Fleisch aus artgerechter Haltung ist in jedem Fall besser, da ein Rind, das auf der Weide aufwächst, sich bewegt und hauptsächlich Gras zu fressen bekommt, gesund ist und keine Antibiotika braucht. Dies hat auch zur Folge, dass Fleisch von Tieren aus artgerechter Haltung viel mehr Omega-3-</w:t>
        <w:fldChar w:fldCharType="begin"/>
        <w:instrText xml:space="preserve">XE "Fettsäuren" \G </w:instrText>
        <w:fldChar w:fldCharType="end"/>
        <w:t>Fettsäuren enthält, als von Tieren, die im Stall Heu und Körner bekommen.</w:t>
      </w:r>
    </w:p>
    <w:p>
      <w:r>
        <w:rPr>
          <w:noProof/>
        </w:rPr>
        <w:drawing>
          <wp:inline distT="0" distB="0" distL="0" distR="0">
            <wp:extent cx="5246370" cy="2197735"/>
            <wp:effectExtent l="0" t="0" r="0" b="0"/>
            <wp:docPr id="8" name="Grafik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20"/>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vAgAAB6IAAAAAAAAAAAAAAQAAAAAAAAAAAAAAAQAAAAAAAAAAAAAARiAAAIUNAAAAAAAAAAAAAAAAAAAoAAAACAAAAAEAAAABAAAAMAAAABQAAAAAAAAAAAD//wAAAQAAAP//AAABAA=="/>
                        </a:ext>
                      </a:extLst>
                    </pic:cNvPicPr>
                  </pic:nvPicPr>
                  <pic:blipFill>
                    <a:blip r:embed="rId46"/>
                    <a:stretch>
                      <a:fillRect/>
                    </a:stretch>
                  </pic:blipFill>
                  <pic:spPr>
                    <a:xfrm>
                      <a:off x="0" y="0"/>
                      <a:ext cx="5246370" cy="2197735"/>
                    </a:xfrm>
                    <a:prstGeom prst="rect">
                      <a:avLst/>
                    </a:prstGeom>
                    <a:noFill/>
                    <a:ln w="12700">
                      <a:noFill/>
                    </a:ln>
                  </pic:spPr>
                </pic:pic>
              </a:graphicData>
            </a:graphic>
          </wp:inline>
        </w:drawing>
      </w:r>
      <w:r/>
    </w:p>
    <w:p>
      <w:pPr>
        <w:ind w:left="864" w:hanging="864"/>
        <w:spacing/>
        <w:jc w:val="center"/>
      </w:pPr>
      <w:r>
        <w:t>Quelle: Dr. Wolfgang Feil, Friederike Feil: Die F-AS-T Formel, Seite 31</w:t>
      </w:r>
    </w:p>
    <w:p>
      <w:pPr>
        <w:pStyle w:val="para4"/>
        <w:numPr>
          <w:ilvl w:val="3"/>
          <w:numId w:val="1"/>
        </w:numPr>
        <w:ind w:left="1077" w:hanging="1077"/>
      </w:pPr>
      <w:bookmarkStart w:id="64" w:name="_TOC000078"/>
      <w:r/>
      <w:bookmarkEnd w:id="64"/>
      <w:r/>
      <w:bookmarkStart w:id="65" w:name="_TOC000079"/>
      <w:r>
        <w:t>Eier</w:t>
      </w:r>
      <w:bookmarkEnd w:id="65"/>
      <w:r/>
    </w:p>
    <w:p>
      <w:r>
        <w:t xml:space="preserve">Das Ei ist eine sehr gute Eiweißquelle und gehört zu den am leichtesten verdaulichen </w:t>
        <w:fldChar w:fldCharType="begin"/>
        <w:instrText xml:space="preserve">XE "Eiweiß" \G </w:instrText>
        <w:fldChar w:fldCharType="end"/>
        <w:t xml:space="preserve">Eiweiß- und Fettquellen. Außerdem enthält es viele wertvolle Stoffe, die für den Gesundheits- und Leistungssportler Gold wert sind. Neben natürlichen Karotinoiden, die dein Sehvermögen unterstützen, enthalten Eier den Stoff Cholin. Dieser gehört zur Gruppe der Phospholipide und ist wichtig für die Zellkommunikation im Körper: So gibt Cholin den Zellwänden Struktur und bildet Myelin, die Schutzhüllen für die Nervenbahnen. Eine gute Cholinversorgung verbessert deshalb die Gedächtnisleistung und die Kommunikation zwischen Gehirn und Muskulatur. Außerdem transportiert Cholin </w:t>
        <w:fldChar w:fldCharType="begin"/>
        <w:instrText xml:space="preserve">XE "Fett" \G </w:instrText>
        <w:fldChar w:fldCharType="end"/>
        <w:t>Fett aus der Leber. Hinzu kommt, dass Eier große Mengen an Vitamin B</w:t>
      </w:r>
      <w:r>
        <w:rPr>
          <w:rFonts w:eastAsia="Tahoma" w:cs="Tahoma"/>
          <w:vertAlign w:val="subscript"/>
          <w:lang w:eastAsia="de-de" w:bidi="de-de"/>
        </w:rPr>
        <w:t>12</w:t>
      </w:r>
      <w:r>
        <w:t xml:space="preserve"> enthalten, das für die Blutbildung und Zellteilung unerlässlich ist.</w:t>
      </w:r>
    </w:p>
    <w:p>
      <w:pPr>
        <w:pStyle w:val="para4"/>
        <w:numPr>
          <w:ilvl w:val="3"/>
          <w:numId w:val="1"/>
        </w:numPr>
        <w:ind w:left="1077" w:hanging="1077"/>
      </w:pPr>
      <w:bookmarkStart w:id="66" w:name="_TOC000080"/>
      <w:r>
        <w:fldChar w:fldCharType="begin"/>
        <w:instrText xml:space="preserve">XE "Milchprodukte" \G </w:instrText>
        <w:fldChar w:fldCharType="end"/>
        <w:t>Milchprodukte</w:t>
      </w:r>
      <w:bookmarkEnd w:id="66"/>
      <w:r/>
    </w:p>
    <w:p>
      <w:r>
        <w:rPr>
          <w:noProof/>
        </w:rPr>
        <mc:AlternateContent>
          <mc:Choice Requires="wps">
            <w:drawing>
              <wp:anchor distT="36195" distB="36195" distL="89535" distR="89535" simplePos="0" relativeHeight="251658311" behindDoc="0" locked="0" layoutInCell="0" hidden="0" allowOverlap="1">
                <wp:simplePos x="0" y="0"/>
                <wp:positionH relativeFrom="column">
                  <wp:posOffset>2145665</wp:posOffset>
                </wp:positionH>
                <wp:positionV relativeFrom="paragraph">
                  <wp:posOffset>-35560</wp:posOffset>
                </wp:positionV>
                <wp:extent cx="3646805" cy="1508125"/>
                <wp:effectExtent l="6350" t="6350" r="6350" b="6350"/>
                <wp:wrapSquare wrapText="bothSides"/>
                <wp:docPr id="71" name="Textbox28"/>
                <wp:cNvGraphicFramePr/>
                <a:graphic xmlns:a="http://schemas.openxmlformats.org/drawingml/2006/main">
                  <a:graphicData uri="http://schemas.microsoft.com/office/word/2010/wordprocessingShape">
                    <wps:wsp>
                      <wps:cNvSpPr txBox="1">
                        <a:codePr string="" type="161218559" text="1"/>
                        <a:extLst>
                          <a:ext uri="sm">
                            <sm:smNativeData xmlns:sm="sm" val="SMDATA_15_E0dOa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AA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K4IAAB8LgAAyE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DUCAAAAogAAAAAAAAAAAAABAAAAAgAAADMNAAABAAAAAgAAAMj///9vFgAARwkAACAAAwDzFAAAhCMAACgAAAAIAAAAAQAAAAIAAAAwAAAAFAAAAAAAAAAAAP//AAABAAAA//8AAAEA"/>
                          </a:ext>
                        </a:extLst>
                      </wps:cNvSpPr>
                      <wps:spPr>
                        <a:xfrm>
                          <a:off x="0" y="0"/>
                          <a:ext cx="3646805" cy="1508125"/>
                        </a:xfrm>
                        <a:prstGeom prst="rect">
                          <a:avLst/>
                        </a:prstGeom>
                        <a:noFill/>
                        <a:ln w="6350">
                          <a:solidFill>
                            <a:srgbClr val="000000"/>
                          </a:solidFill>
                        </a:ln>
                      </wps:spPr>
                      <wps:txbx>
                        <w:txbxContent>
                          <w:p>
                            <w:pPr>
                              <w:spacing/>
                              <w:jc w:val="left"/>
                            </w:pPr>
                            <w:r>
                              <w:t xml:space="preserve">Bei der </w:t>
                            </w:r>
                            <w:r>
                              <w:rPr>
                                <w:b/>
                                <w:bCs/>
                              </w:rPr>
                              <w:t>Pasteurisation</w:t>
                            </w:r>
                            <w:r>
                              <w:t xml:space="preserve"> werden die Lebensmittel kurzzeitig auf 70 bis 95°C erwärmt. Dadurch werden lebende Bakterienzellen abgetötet, aber nicht ihre Sporen.</w:t>
                            </w:r>
                          </w:p>
                          <w:p>
                            <w:pPr>
                              <w:spacing/>
                              <w:jc w:val="left"/>
                            </w:pPr>
                            <w:r>
                              <w:t>Bakterielle Sporen sind Dauerformen bestimmter Bakterienarten, die ihnen ermöglichen, ungünstige Umweltbedingungen wie Hitze, Trockenheit oder Nährstoffmangel zu überstehen.</w:t>
                            </w:r>
                          </w:p>
                        </w:txbxContent>
                      </wps:txbx>
                      <wps:bodyPr spcFirstLastPara="1" vertOverflow="clip" horzOverflow="clip" upright="1">
                        <a:prstTxWarp prst="textNoShape">
                          <a:avLst/>
                        </a:prstTxWarp>
                        <a:spAutoFit/>
                      </wps:bodyPr>
                    </wps:wsp>
                  </a:graphicData>
                </a:graphic>
              </wp:anchor>
            </w:drawing>
          </mc:Choice>
          <mc:Fallback>
            <w:pict>
              <v:shape id="Textbox28" o:spid="_x0000_s1029" type="#_x0000_t202" style="position:absolute;margin-left:168.95pt;margin-top:-2.80pt;width:287.15pt;height:118.75pt;z-index:251658311;mso-wrap-distance-left:7.05pt;mso-wrap-distance-top:2.85pt;mso-wrap-distance-right:7.05pt;mso-wrap-distance-bottom:2.85pt;mso-wrap-style:square" strokeweight="0.50pt" filled="f" v:ext="SMDATA_15_E0dOa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AA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K4IAAB8LgAAyE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DUCAAAAogAAAAAAAAAAAAABAAAAAgAAADMNAAABAAAAAgAAAMj///9vFgAARwkAACAAAwDzFAAAhCMAACgAAAAIAAAAAQAAAAIAAAAwAAAAFAAAAAAAAAAAAP//AAABAAAA//8AAAEA" o:insetmode="custom">
                <w10:wrap type="square" anchorx="text" anchory="text"/>
                <v:textbox style="mso-fit-shape-to-text:t" inset="2.8pt,2.8pt,2.8pt,2.8pt">
                  <w:txbxContent>
                    <w:p>
                      <w:pPr>
                        <w:spacing/>
                        <w:jc w:val="left"/>
                      </w:pPr>
                      <w:r>
                        <w:t xml:space="preserve">Bei der </w:t>
                      </w:r>
                      <w:r>
                        <w:rPr>
                          <w:b/>
                          <w:bCs/>
                        </w:rPr>
                        <w:t>Pasteurisation</w:t>
                      </w:r>
                      <w:r>
                        <w:t xml:space="preserve"> werden die Lebensmittel kurzzeitig auf 70 bis 95°C erwärmt. Dadurch werden lebende Bakterienzellen abgetötet, aber nicht ihre Sporen.</w:t>
                      </w:r>
                    </w:p>
                    <w:p>
                      <w:pPr>
                        <w:spacing/>
                        <w:jc w:val="left"/>
                      </w:pPr>
                      <w:r>
                        <w:t>Bakterielle Sporen sind Dauerformen bestimmter Bakterienarten, die ihnen ermöglichen, ungünstige Umweltbedingungen wie Hitze, Trockenheit oder Nährstoffmangel zu überstehen.</w:t>
                      </w:r>
                    </w:p>
                  </w:txbxContent>
                </v:textbox>
              </v:shape>
            </w:pict>
          </mc:Fallback>
        </mc:AlternateContent>
      </w:r>
      <w:r>
        <w:fldChar w:fldCharType="begin"/>
        <w:instrText xml:space="preserve">XE "Milchprodukte" \G </w:instrText>
        <w:fldChar w:fldCharType="end"/>
        <w:t xml:space="preserve">Milchprodukte, wie sie momentan im Supermarkt erhältlich sind, sind für uns nicht optimal. Durch die hohe Bearbeitung gehen viele wertvolle Stoffe der Milch verloren: Die </w:t>
      </w:r>
      <w:r>
        <w:rPr>
          <w:b/>
          <w:bCs/>
        </w:rPr>
        <w:t>Pasteurisierung</w:t>
      </w:r>
      <w:r>
        <w:t xml:space="preserve"> zerstört zahlreiche entzündungssenkende Enzyme und Bakterien, die den Darm stärken und die Verdauung unterstützen. Ebenso wird die Eiweißstruktur bei der Pasteurisierung der Milch verändert, und sie wird schlechter verdaulich. Außerdem sind </w:t>
        <w:fldChar w:fldCharType="begin"/>
        <w:instrText xml:space="preserve">XE "Milchprodukte" \G </w:instrText>
        <w:fldChar w:fldCharType="end"/>
        <w:t>Milchprodukte meist homogenisiert. Hierbei werden die Fetttröpfchen in feinste Partikel zerschlagen, die für den Darm unnatürlich klein sind. Die Kleinstpartikel werden durch die Darmwand aufgenommen und erhöhen das Allergierisiko. Allein die Homogenisierung der Milch erhöht deren Allergenität um den Faktor 20. Diese starke Bearbeitung trägt mit dazu bei, dass immer mehr Menschen keine Milch mehr vertragen.</w:t>
      </w:r>
    </w:p>
    <w:p>
      <w:r>
        <w:t xml:space="preserve">Am besten bezieht man Milch nur von einem lokalen Bauern seines Vertrauens in Rohmilchqualität und kocht diese dann auch nicht ab. Wenn die Kühe regelmäßig auf der Weide sind, verbessert sich die </w:t>
        <w:fldChar w:fldCharType="begin"/>
        <w:instrText xml:space="preserve">XE "Fettsäuren" \G </w:instrText>
        <w:fldChar w:fldCharType="end"/>
        <w:t>Fettsäuren-Zusammensetzung der Milch. Beim Käse solltest du ebenfalls auf Rohmilch-Käse umsteigen. Neben Vitamin K2 enthält er weitere wertvolle stoffwechselaktivierende Enzyme und Bakterien. Wenn kein Rohmilchbezug möglich ist, empfehlen wir, nicht homogenisierte Milch aus dem Bioladen zu kaufen.</w:t>
      </w:r>
    </w:p>
    <w:p>
      <w:r>
        <w:t xml:space="preserve">Eine solche naturnahe Milch ist, moderat getrunken, ein gutes Regenerationsgetränk. Generell enthält Milch eine Kombination von Kohlenhydraten und </w:t>
        <w:fldChar w:fldCharType="begin"/>
        <w:instrText xml:space="preserve">XE "Eiweiß" \G </w:instrText>
        <w:fldChar w:fldCharType="end"/>
        <w:t>Eiweiß und stimuliert im Körper die Bildung von Insulin. Durch den natürlichen Gehalt der Aminosäure Leuzin in der Milch wird die strukturelle Regeneration eingeleitet. Diese Eigenschaften sprechen für die Milch als Regenerationsgetränk. Allerdings sollte dabei auf eine naturnahe Milch (Rohmilch oder nicht homogenisierte Milch) geachtet werden. Aber auch hier gilt der Slogan: „</w:t>
      </w:r>
      <w:r>
        <w:rPr>
          <w:lang w:val="en-gb" w:eastAsia="en-gb" w:bidi="en-gb"/>
        </w:rPr>
        <w:t>everything in moderation</w:t>
      </w:r>
      <w:r>
        <w:t xml:space="preserve">“. Auch Rohmilch oder nicht homogenisierte Milch sollten nicht täglich in größeren Mengen getrunken werden, um eine Allergiegefahr auf dieses Lebensmittel nicht zu erhöhen. Bei strukturell sehr harten Trainingseinheiten braucht man jedoch mehr </w:t>
        <w:fldChar w:fldCharType="begin"/>
        <w:instrText xml:space="preserve">XE "Eiweiß" \G </w:instrText>
        <w:fldChar w:fldCharType="end"/>
        <w:t>Eiweiß. Hier ist ein Molkeneiweiß-Präparat mit einer guten Milch oder mit Kokosmilch angemischt die beste Lösung.</w:t>
      </w:r>
    </w:p>
    <w:p>
      <w:pPr>
        <w:pStyle w:val="para5"/>
        <w:numPr>
          <w:ilvl w:val="4"/>
          <w:numId w:val="1"/>
        </w:numPr>
        <w:ind w:left="1134" w:hanging="1134"/>
      </w:pPr>
      <w:bookmarkStart w:id="67" w:name="_TOC000081"/>
      <w:r>
        <w:t xml:space="preserve">Gesäuerte und ungesäuerte </w:t>
        <w:fldChar w:fldCharType="begin"/>
        <w:instrText xml:space="preserve">XE "Milchprodukte" \G </w:instrText>
        <w:fldChar w:fldCharType="end"/>
        <w:t>Milchprodukte</w:t>
      </w:r>
      <w:bookmarkEnd w:id="67"/>
      <w:r/>
    </w:p>
    <w:p>
      <w:r>
        <w:t xml:space="preserve">In Deutschland sind 15 bis 25 % der erwachsenen Bevölkerung von Laktoseintoleranz betroffen. Dazu gibt es noch andere Formen der Milch-Unverträglichkeit. Viele dieser Menschen könnten </w:t>
        <w:fldChar w:fldCharType="begin"/>
        <w:instrText xml:space="preserve">XE "Milchprodukte" \G </w:instrText>
        <w:fldChar w:fldCharType="end"/>
        <w:t>Milchprodukte besser vertragen, wenn diese gesäuert wären und aus Rohmilch hergestellt würden. Durch die Säuerung entstehen viele gesunde Bakterien und auch Enzyme, die die Verdauung unterstützen und gleichzeitig das Immunsystem stärken. Industriell hergestellte gesäuerte Produkte (Joghurt, Kefir, Quark) werden leider meist wärmebehandelt, pasteurisiert oder nur kurz gesäuert, sodass nur eine geringe Anzahl von darmstärkenden Bakterien im Endprodukt enthalten sind. Wir empfehlen daher, auch Quark und Joghurt selbst herzustellen, besonders wenn diese regelmäßig konsumiert werden. Sie sind dann viel besser verträglich.</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4"/>
        <w:numPr>
          <w:ilvl w:val="3"/>
          <w:numId w:val="1"/>
        </w:numPr>
        <w:ind w:left="1077" w:hanging="1077"/>
      </w:pPr>
      <w:bookmarkStart w:id="68" w:name="_TOC000197"/>
      <w:r/>
      <w:bookmarkStart w:id="69" w:name="_TOC000083"/>
      <w:r/>
      <w:bookmarkStart w:id="70" w:name="_TOC000062"/>
      <w:r>
        <w:fldChar w:fldCharType="begin"/>
        <w:instrText xml:space="preserve">XE "Pflanzliches Eiweiß" \G </w:instrText>
        <w:fldChar w:fldCharType="end"/>
        <w:t xml:space="preserve">Pflanzliches </w:t>
        <w:fldChar w:fldCharType="begin"/>
        <w:instrText xml:space="preserve">XE "Eiweiß" \G </w:instrText>
        <w:fldChar w:fldCharType="end"/>
        <w:t>Eiweiß</w:t>
      </w:r>
      <w:bookmarkEnd w:id="69"/>
      <w:r/>
      <w:bookmarkEnd w:id="70"/>
      <w:r/>
      <w:bookmarkEnd w:id="68"/>
      <w:r/>
    </w:p>
    <w:p>
      <w:r>
        <w:t xml:space="preserve">Pflanzliche Eiweißspender sind vor allem Linsen, Erbsen, Bohnen, Nüsse und Sojaprodukte wie zum Beispiel Tofu, Sojamilch oder Sojawürstchen. Da pflanzliche Eiweißspender arm an der essenziellen Aminosäure Lysin sind, kann </w:t>
        <w:fldChar w:fldCharType="begin"/>
        <w:instrText xml:space="preserve">XE "Pflanzliches Eiweiß" \G </w:instrText>
        <w:fldChar w:fldCharType="end"/>
        <w:t xml:space="preserve">pflanzliches </w:t>
        <w:fldChar w:fldCharType="begin"/>
        <w:instrText xml:space="preserve">XE "Eiweiß" \G </w:instrText>
        <w:fldChar w:fldCharType="end"/>
        <w:t xml:space="preserve">Eiweiß nicht so gut verwertet werden. Die pflanzlichen Eiweißspender </w:t>
        <w:fldChar w:fldCharType="begin"/>
        <w:instrText xml:space="preserve">XE "Soja" \G </w:instrText>
        <w:fldChar w:fldCharType="end"/>
        <w:t xml:space="preserve">Soja und Kidneybohnen enthalten wie Weizenprodukte entzündungsfördernde </w:t>
        <w:fldChar w:fldCharType="begin"/>
        <w:instrText xml:space="preserve">XE "Lektine" \G </w:instrText>
        <w:fldChar w:fldCharType="end"/>
        <w:t xml:space="preserve">Lektine und </w:t>
        <w:fldChar w:fldCharType="begin"/>
        <w:instrText xml:space="preserve">XE "Phytinsäure" \G </w:instrText>
        <w:fldChar w:fldCharType="end"/>
        <w:t xml:space="preserve">Phytinsäure, die zu schlechten </w:t>
        <w:fldChar w:fldCharType="begin"/>
        <w:instrText xml:space="preserve">XE "Zink" \G </w:instrText>
        <w:fldChar w:fldCharType="end"/>
        <w:t>Zink- und Eisenwerten führen.</w:t>
      </w:r>
    </w:p>
    <w:p>
      <w:r>
        <w:t>Die folgenden Beispiele für den Gehalt an Lysin beziehen sich jeweils auf 100 g des Lebensmittels, zusätzlich ist der prozentuale Anteil am Gesamtprotein angegeben:</w:t>
      </w:r>
    </w:p>
    <w:p>
      <w:pPr>
        <w:spacing w:after="200"/>
      </w:pPr>
      <w:r>
        <w:br w:type="column"/>
      </w:r>
      <w:bookmarkStart w:id="71" w:name="_TOC000084"/>
      <w:r/>
    </w:p>
    <w:tbl>
      <w:tblPr>
        <w:tblStyle w:val="TableGrid"/>
        <w:name w:val="Tabelle63"/>
        <w:tabOrder w:val="0"/>
        <w:jc w:val="left"/>
        <w:tblInd w:w="454" w:type="dxa"/>
        <w:tblW w:w="5669" w:type="dxa"/>
        <w:pPr>
          <w:ind w:left="454"/>
          <w:spacing/>
          <w:jc w:val="left"/>
        </w:pPr>
        <w:tblLook w:val="04A0" w:firstRow="1" w:lastRow="0" w:firstColumn="1" w:lastColumn="0" w:noHBand="0" w:noVBand="1"/>
      </w:tblPr>
      <w:tblGrid>
        <w:gridCol w:w="2324"/>
        <w:gridCol w:w="1417"/>
        <w:gridCol w:w="964"/>
        <w:gridCol w:w="964"/>
      </w:tblGrid>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Lebensmittel, 100 g</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Gesamtprotein</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Lysin</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Anteil</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Lachs, roh</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20,42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1,870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9,2 %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Rindfleisch, roh</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21,26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1,797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8,5 %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Hähnchenbrustfilet, roh</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23,09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1,962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8,5 %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 xml:space="preserve">Kuhmilch, 3,7 % </w:t>
              <w:fldChar w:fldCharType="begin"/>
              <w:instrText xml:space="preserve">XE "Fett" \G </w:instrText>
              <w:fldChar w:fldCharType="end"/>
              <w:t>Fett</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3,28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0,260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7,9 %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Hühnerei</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12,58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0,914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7,3 %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Erbsen, getrocknet</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24,55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1,772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7,2 %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Quinoa</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13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0,860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6,6 %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Kürbiskern</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35,49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2,283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6,4 %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Tofu, fest</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15,51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1,000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6,4 %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Gerste</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8–12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0,446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4–6 %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Buchweizen-Mehl</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11,73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0,595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5,1 %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Reis, ungeschält</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7,94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0,303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3,8 %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Walnüsse</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15,23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0,424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2,8 %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Weizen-Vollkornmehl</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13,70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0,378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2,8 %</w:t>
            </w:r>
          </w:p>
        </w:tc>
      </w:tr>
      <w:tr>
        <w:trPr>
          <w:tblHeader w:val="0"/>
          <w:cantSplit w:val="0"/>
          <w:trHeight w:val="0" w:hRule="auto"/>
        </w:trPr>
        <w:tc>
          <w:tcPr>
            <w:tcW w:w="2324" w:type="dxa"/>
            <w:tcMar>
              <w:top w:w="57" w:type="dxa"/>
              <w:left w:w="57" w:type="dxa"/>
              <w:bottom w:w="57" w:type="dxa"/>
              <w:right w:w="57" w:type="dxa"/>
            </w:tcMar>
            <w:tmTcPr id="1766737683" protected="0"/>
          </w:tcPr>
          <w:p>
            <w:pPr>
              <w:pStyle w:val="para0"/>
              <w:numPr>
                <w:ilvl w:val="0"/>
                <w:numId w:val="0"/>
              </w:numPr>
              <w:ind w:left="0" w:firstLine="0"/>
              <w:spacing w:after="0" w:line="240" w:lineRule="auto"/>
              <w:rPr>
                <w:sz w:val="20"/>
                <w:szCs w:val="20"/>
              </w:rPr>
            </w:pPr>
            <w:r>
              <w:rPr>
                <w:sz w:val="20"/>
                <w:szCs w:val="20"/>
              </w:rPr>
              <w:t>Mais-Vollkornmehl</w:t>
            </w:r>
          </w:p>
        </w:tc>
        <w:tc>
          <w:tcPr>
            <w:tcW w:w="1417"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6,93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0,195 g</w:t>
            </w:r>
          </w:p>
        </w:tc>
        <w:tc>
          <w:tcPr>
            <w:tcW w:w="964" w:type="dxa"/>
            <w:tcMar>
              <w:top w:w="57" w:type="dxa"/>
              <w:left w:w="57" w:type="dxa"/>
              <w:bottom w:w="57" w:type="dxa"/>
              <w:right w:w="57" w:type="dxa"/>
            </w:tcMar>
            <w:tmTcPr id="1766737683" protected="0"/>
          </w:tcPr>
          <w:p>
            <w:pPr>
              <w:pStyle w:val="para0"/>
              <w:numPr>
                <w:ilvl w:val="0"/>
                <w:numId w:val="0"/>
              </w:numPr>
              <w:ind w:left="0" w:firstLine="0"/>
              <w:spacing w:after="0" w:line="240" w:lineRule="auto"/>
              <w:jc w:val="center"/>
              <w:rPr>
                <w:sz w:val="20"/>
                <w:szCs w:val="20"/>
              </w:rPr>
            </w:pPr>
            <w:r>
              <w:rPr>
                <w:sz w:val="20"/>
                <w:szCs w:val="20"/>
              </w:rPr>
              <w:t>2,8 %</w:t>
            </w:r>
          </w:p>
        </w:tc>
      </w:tr>
    </w:tbl>
    <w:p>
      <w:pPr>
        <w:ind w:left="454"/>
      </w:pPr>
      <w:r>
        <w:t>Quelle: Wikipedia: Lysin, 13.11.2025</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cols w:num="2" w:equalWidth="0" w:space="0">
            <w:col w:w="2948" w:space="0"/>
            <w:col w:w="6118"/>
          </w:cols>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4"/>
        <w:numPr>
          <w:ilvl w:val="3"/>
          <w:numId w:val="1"/>
        </w:numPr>
        <w:ind w:left="1077" w:hanging="1077"/>
      </w:pPr>
      <w:r>
        <w:br w:type="page"/>
      </w:r>
      <w:bookmarkStart w:id="72" w:name="_TOC000318"/>
      <w:r>
        <w:t xml:space="preserve">Sparsam mit </w:t>
        <w:fldChar w:fldCharType="begin"/>
        <w:instrText xml:space="preserve">XE "Soja" \G </w:instrText>
        <w:fldChar w:fldCharType="end"/>
        <w:t>Soja und Tofu</w:t>
      </w:r>
      <w:bookmarkEnd w:id="71"/>
      <w:r/>
      <w:bookmarkEnd w:id="72"/>
      <w:r/>
    </w:p>
    <w:p>
      <w:pPr>
        <w:rPr>
          <w:sz w:val="18"/>
          <w:szCs w:val="18"/>
        </w:rPr>
      </w:pPr>
      <w:r>
        <w:rPr>
          <w:sz w:val="18"/>
          <w:szCs w:val="18"/>
        </w:rPr>
        <w:t>Quellen: Rundmails von Dr. Feil im Rahmen der Knorpel- und Knochenkur</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Das von vielen, vor allem Vegetariern, hochgelobte </w:t>
        <w:fldChar w:fldCharType="begin"/>
        <w:instrText xml:space="preserve">XE "Soja" \G </w:instrText>
        <w:fldChar w:fldCharType="end"/>
        <w:t>Soja sollten Sie z.B. nicht übermäßig konsumieren.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Den Tofu und Sojaprodukte können die Hormonproduktion im Körper beeinflussen und damit eine Schilddrüsenunterfunktion verursachen.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Das wäre genau kontraproduktiv zu dem, was wir erreichen wollen.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Darüber hinaus enthalten Sojaprodukte oft auch noch einen hohen Anteil an </w:t>
        <w:fldChar w:fldCharType="begin"/>
        <w:instrText xml:space="preserve">XE "Phytinsäure" \G </w:instrText>
        <w:fldChar w:fldCharType="end"/>
        <w:t>Phytinsäure.</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Die </w:t>
        <w:fldChar w:fldCharType="begin"/>
        <w:instrText xml:space="preserve">XE "Phytinsäure" \G </w:instrText>
        <w:fldChar w:fldCharType="end"/>
        <w:t xml:space="preserve">Phytinsäure hemmt die </w:t>
        <w:fldChar w:fldCharType="begin"/>
        <w:instrText xml:space="preserve">XE "Zink" \G </w:instrText>
        <w:fldChar w:fldCharType="end"/>
        <w:t>Zink- und Eisenaufnahme im Darm.</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In der Folge fühlen Sie sich dann schlapp, wenn nicht genügend dieser Spurenelemente zur Verfügung stehen.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Achten Sie also darauf, den </w:t>
        <w:fldChar w:fldCharType="begin"/>
        <w:instrText xml:space="preserve">XE "Soja" \G </w:instrText>
        <w:fldChar w:fldCharType="end"/>
        <w:t>Soja-Anteil in Ihrer Ernährung nicht zu hoch werden zu lassen.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Ein Würzen mit Sojasauce, wie es in der asiatischen Küche üblich ist, ist nicht dramatisch.</w:t>
      </w:r>
    </w:p>
    <w:p>
      <w:pPr>
        <w:pStyle w:val="para3"/>
        <w:numPr>
          <w:ilvl w:val="2"/>
          <w:numId w:val="1"/>
        </w:numPr>
        <w:ind w:left="720" w:hanging="720"/>
      </w:pPr>
      <w:bookmarkStart w:id="73" w:name="_TOC000312"/>
      <w:r>
        <w:t>Fazit</w:t>
      </w:r>
      <w:bookmarkEnd w:id="73"/>
      <w:r/>
    </w:p>
    <w:p>
      <w:r>
        <w:t>Fleisch von Tieren aus artgerechter Haltung enthält viel mehr Omega-3-</w:t>
        <w:fldChar w:fldCharType="begin"/>
        <w:instrText xml:space="preserve">XE "Fettsäuren" \G </w:instrText>
        <w:fldChar w:fldCharType="end"/>
        <w:t>Fettsäuren als Fleisch von Tieren, die im Stall Heu und Körner bekommen.</w:t>
      </w:r>
    </w:p>
    <w:p>
      <w:r>
        <w:t xml:space="preserve">Stress durch Masttierhaltung sowie die Fütterung mit Weizen und </w:t>
        <w:fldChar w:fldCharType="begin"/>
        <w:instrText xml:space="preserve">XE "Soja" \G </w:instrText>
        <w:fldChar w:fldCharType="end"/>
        <w:t xml:space="preserve">Soja erzeugt im Fleisch der Tiere eine viel zu hohe Konzentration an </w:t>
        <w:fldChar w:fldCharType="begin"/>
        <w:instrText xml:space="preserve">XE "Arachidonsäure" \G </w:instrText>
        <w:fldChar w:fldCharType="end"/>
        <w:t>Arachidonsäure.</w:t>
      </w:r>
    </w:p>
    <w:p>
      <w:r>
        <w:t>Diese löst im Körper Entzündungen aus und verlängerte Regenerationszeiten.</w:t>
      </w:r>
    </w:p>
    <w:p>
      <w:pPr>
        <w:pStyle w:val="para2"/>
        <w:numPr>
          <w:ilvl w:val="1"/>
          <w:numId w:val="1"/>
        </w:numPr>
        <w:ind w:left="576" w:hanging="576"/>
      </w:pPr>
      <w:bookmarkStart w:id="74" w:name="_TOC000012"/>
      <w:r/>
      <w:bookmarkStart w:id="75" w:name="_TOC000095"/>
      <w:r>
        <w:t>Fette</w:t>
      </w:r>
      <w:bookmarkEnd w:id="74"/>
      <w:r/>
      <w:bookmarkEnd w:id="75"/>
      <w:r/>
    </w:p>
    <w:p>
      <w:pPr>
        <w:tabs defTabSz="708">
          <w:tab w:val="left" w:pos="1984" w:leader="none"/>
        </w:tabs>
      </w:pPr>
      <w:r>
        <w:rPr>
          <w:b/>
          <w:bCs/>
        </w:rPr>
        <w:t xml:space="preserve">Fette </w:t>
      </w:r>
      <w:r>
        <w:t xml:space="preserve">liefern mit etwa 9 kcal pro Gramm die höchste Energiedichte aller Makronährstoffe. Sie werden zum Aufbau von Zellmembranen benötigt, liefern lebenswichtige </w:t>
        <w:fldChar w:fldCharType="begin"/>
        <w:instrText xml:space="preserve">XE "Fettsäuren" \G </w:instrText>
        <w:fldChar w:fldCharType="end"/>
        <w:t xml:space="preserve">Fettsäuren, die der Körper nicht selbst herstellen kann, und sorgen dafür, dass wir die fettlöslichen </w:t>
        <w:fldChar w:fldCharType="begin"/>
        <w:instrText xml:space="preserve">XE "Vitamine" \G </w:instrText>
        <w:fldChar w:fldCharType="end"/>
        <w:t>Vitamine A, D, E und K aus der Nahrung aufnehmen und verarbeiten können.</w:t>
      </w:r>
    </w:p>
    <w:p>
      <w:pPr>
        <w:tabs defTabSz="708">
          <w:tab w:val="left" w:pos="1984" w:leader="none"/>
        </w:tabs>
      </w:pPr>
      <w:r>
        <w:fldChar w:fldCharType="begin"/>
        <w:instrText xml:space="preserve">XE "Fettsäuren" \G </w:instrText>
        <w:fldChar w:fldCharType="end"/>
        <w:t xml:space="preserve">Fettsäuren sind Bestandteile von Fetten, jedoch nicht das gesamte </w:t>
        <w:fldChar w:fldCharType="begin"/>
        <w:instrText xml:space="preserve">XE "Fett" \G </w:instrText>
        <w:fldChar w:fldCharType="end"/>
        <w:t xml:space="preserve">Fett. Fette sind ein Sammelbegriff für verschiedene Lipide, während </w:t>
        <w:fldChar w:fldCharType="begin"/>
        <w:instrText xml:space="preserve">XE "Fettsäuren" \G </w:instrText>
        <w:fldChar w:fldCharType="end"/>
        <w:t>Fettsäuren die chemischen Bausteine dieser Lipide sind.</w:t>
      </w:r>
    </w:p>
    <w:p>
      <w:pPr>
        <w:tabs defTabSz="708">
          <w:tab w:val="left" w:pos="1984" w:leader="none"/>
        </w:tabs>
        <w:rPr>
          <w:b/>
          <w:bCs/>
        </w:rPr>
      </w:pPr>
      <w:r>
        <w:rPr>
          <w:b/>
          <w:bCs/>
        </w:rPr>
        <w:fldChar w:fldCharType="begin"/>
        <w:instrText xml:space="preserve">XE "Fett" \G </w:instrText>
        <w:fldChar w:fldCharType="end"/>
        <w:t>Fett (Lipide):</w:t>
      </w:r>
    </w:p>
    <w:p>
      <w:pPr>
        <w:ind w:left="454"/>
        <w:tabs defTabSz="708">
          <w:tab w:val="left" w:pos="1984" w:leader="none"/>
        </w:tabs>
      </w:pPr>
      <w:r>
        <w:t>Fette sind eine heterogene Gruppe von Stoffen, die wasserunlöslich sind und im Körper verschiedene Funktionen haben, wie Energiespeicher, Zellmembranbestandteile oder Hormone.</w:t>
      </w:r>
    </w:p>
    <w:p>
      <w:pPr>
        <w:tabs defTabSz="708">
          <w:tab w:val="left" w:pos="1984" w:leader="none"/>
        </w:tabs>
        <w:rPr>
          <w:b/>
          <w:bCs/>
        </w:rPr>
      </w:pPr>
      <w:r>
        <w:rPr>
          <w:b/>
          <w:bCs/>
        </w:rPr>
        <w:fldChar w:fldCharType="begin"/>
        <w:instrText xml:space="preserve">XE "Fettsäuren" \G </w:instrText>
        <w:fldChar w:fldCharType="end"/>
        <w:t>Fettsäuren:</w:t>
      </w:r>
    </w:p>
    <w:p>
      <w:pPr>
        <w:ind w:left="454"/>
        <w:tabs defTabSz="708">
          <w:tab w:val="left" w:pos="1984" w:leader="none"/>
        </w:tabs>
      </w:pPr>
      <w:r>
        <w:fldChar w:fldCharType="begin"/>
        <w:instrText xml:space="preserve">XE "Fettsäuren" \G </w:instrText>
        <w:fldChar w:fldCharType="end"/>
        <w:t>Fettsäuren sind die Bausteine, aus denen Fette aufgebaut sind. Sie sind aliphatische Monocarbonsäuren mit einer langen, meist unverzweigten Kohlenstoffkette.</w:t>
      </w:r>
    </w:p>
    <w:p>
      <w:pPr>
        <w:tabs defTabSz="708">
          <w:tab w:val="left" w:pos="1984" w:leader="none"/>
        </w:tabs>
        <w:rPr>
          <w:b/>
          <w:bCs/>
        </w:rPr>
      </w:pPr>
      <w:r>
        <w:rPr>
          <w:b/>
          <w:bCs/>
        </w:rPr>
        <w:fldChar w:fldCharType="begin"/>
        <w:instrText xml:space="preserve">XE "Triglyceride" \G </w:instrText>
        <w:fldChar w:fldCharType="end"/>
        <w:t>Triglyceride:</w:t>
      </w:r>
    </w:p>
    <w:p>
      <w:pPr>
        <w:ind w:left="454"/>
        <w:tabs defTabSz="708">
          <w:tab w:val="left" w:pos="1984" w:leader="none"/>
        </w:tabs>
      </w:pPr>
      <w:r>
        <w:t xml:space="preserve">Dies sind die häufigsten Fette, die in der Nahrung vorkommen. Sie bestehen aus einem Molekül Glycerin und drei </w:t>
        <w:fldChar w:fldCharType="begin"/>
        <w:instrText xml:space="preserve">XE "Fettsäuren" \G </w:instrText>
        <w:fldChar w:fldCharType="end"/>
        <w:t>Fettsäuren.</w:t>
      </w:r>
    </w:p>
    <w:p>
      <w:pPr>
        <w:ind w:hanging="9"/>
        <w:spacing/>
        <w:jc w:val="center"/>
      </w:pPr>
      <w:r>
        <w:rPr>
          <w:noProof/>
        </w:rPr>
        <w:drawing>
          <wp:inline distT="0" distB="0" distL="0" distR="0">
            <wp:extent cx="5786120" cy="2066290"/>
            <wp:effectExtent l="0" t="0" r="0" b="0"/>
            <wp:docPr id="9" name="Grafik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92"/>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WAgAAB6IAAAAAAAAAAAAAAQAAAAAAAAAAAAAAAQAAAAAAAAAAAAAAmCMAALYMAAAAAAAAAAAAAAAAAAAoAAAACAAAAAEAAAABAAAAMAAAABQAAAAAAAAAAAD//wAAAQAAAP//AAABAA=="/>
                        </a:ext>
                      </a:extLst>
                    </pic:cNvPicPr>
                  </pic:nvPicPr>
                  <pic:blipFill>
                    <a:blip r:embed="rId47"/>
                    <a:stretch>
                      <a:fillRect/>
                    </a:stretch>
                  </pic:blipFill>
                  <pic:spPr>
                    <a:xfrm>
                      <a:off x="0" y="0"/>
                      <a:ext cx="5786120" cy="2066290"/>
                    </a:xfrm>
                    <a:prstGeom prst="rect">
                      <a:avLst/>
                    </a:prstGeom>
                    <a:noFill/>
                    <a:ln w="12700">
                      <a:noFill/>
                    </a:ln>
                  </pic:spPr>
                </pic:pic>
              </a:graphicData>
            </a:graphic>
          </wp:inline>
        </w:drawing>
      </w:r>
      <w:r/>
    </w:p>
    <w:p>
      <w:pPr>
        <w:ind w:hanging="9"/>
        <w:spacing/>
        <w:jc w:val="center"/>
      </w:pPr>
      <w:r/>
    </w:p>
    <w:p>
      <w:pPr>
        <w:pStyle w:val="para3"/>
        <w:numPr>
          <w:ilvl w:val="2"/>
          <w:numId w:val="1"/>
        </w:numPr>
        <w:ind w:left="720" w:hanging="720"/>
      </w:pPr>
      <w:bookmarkStart w:id="76" w:name="_TOC000067"/>
      <w:r>
        <w:fldChar w:fldCharType="begin"/>
        <w:instrText xml:space="preserve">XE "Gesättigte Fettsäuren" \G </w:instrText>
        <w:fldChar w:fldCharType="end"/>
        <w:t xml:space="preserve">Gesättigte </w:t>
        <w:fldChar w:fldCharType="begin"/>
        <w:instrText xml:space="preserve">XE "Fettsäuren" \G </w:instrText>
        <w:fldChar w:fldCharType="end"/>
        <w:t>Fettsäuren</w:t>
      </w:r>
      <w:bookmarkEnd w:id="76"/>
      <w:r/>
    </w:p>
    <w:p>
      <w:r>
        <w:t xml:space="preserve">Lange waren </w:t>
        <w:fldChar w:fldCharType="begin"/>
        <w:instrText xml:space="preserve">XE "Gesättigte Fettsäuren" \G </w:instrText>
        <w:fldChar w:fldCharType="end"/>
        <w:t xml:space="preserve">gesättigte </w:t>
        <w:fldChar w:fldCharType="begin"/>
        <w:instrText xml:space="preserve">XE "Fettsäuren" \G </w:instrText>
        <w:fldChar w:fldCharType="end"/>
        <w:t>Fettsäuren verpönt. So heißt es im Volksmund, dass man "gesättigte Fette reduzieren oder vom Speiseplan streichen muss" oder dass "</w:t>
        <w:fldChar w:fldCharType="begin"/>
        <w:instrText xml:space="preserve">XE "Gesättigte Fettsäuren" \G </w:instrText>
        <w:fldChar w:fldCharType="end"/>
        <w:t xml:space="preserve">gesättigte </w:t>
        <w:fldChar w:fldCharType="begin"/>
        <w:instrText xml:space="preserve">XE "Fettsäuren" \G </w:instrText>
        <w:fldChar w:fldCharType="end"/>
        <w:t>Fettsäuren an der zunehmenden Fettleibigkeit der Deutschen sowie an weiteren Volkskrankheiten wie zu hohe Cholesterinwerte sowie Herzinfarkt Mitschuld tragen würden". Heute wissen wir, dass diese Aussagen wissenschaftlich nicht nachweisbar, vollkommen veraltet und falsch sind.</w:t>
      </w:r>
    </w:p>
    <w:p>
      <w:r>
        <w:fldChar w:fldCharType="begin"/>
        <w:instrText xml:space="preserve">XE "Gesättigte Fettsäuren" \G </w:instrText>
        <w:fldChar w:fldCharType="end"/>
        <w:t xml:space="preserve">Gesättigte </w:t>
        <w:fldChar w:fldCharType="begin"/>
        <w:instrText xml:space="preserve">XE "Fettsäuren" \G </w:instrText>
        <w:fldChar w:fldCharType="end"/>
        <w:t xml:space="preserve">Fettsäuren werden vom Körper vorrangig zur Energiegewinnung genutzt und in den Fettdepots gespeichert. Sie sind außerdem als Botenstoffe für das Nervensystem wichtig und tragen zur Festigkeit der Zellmembranen bei. Der Körper kann sie zwar selbst herstellen, aber sie sind auch in vielen tierischen Lebensmitteln (wie Butter, Käse, rotem Fleisch) und einigen pflanzlichen Fetten (wie Kokos- und </w:t>
        <w:fldChar w:fldCharType="begin"/>
        <w:instrText xml:space="preserve">XE "Palmöl" \G </w:instrText>
        <w:fldChar w:fldCharType="end"/>
        <w:t xml:space="preserve">Palmöl) enthalten. </w:t>
      </w:r>
    </w:p>
    <w:p>
      <w:pPr>
        <w:pStyle w:val="para17"/>
        <w:numPr>
          <w:ilvl w:val="1"/>
          <w:numId w:val="2"/>
        </w:numPr>
        <w:ind w:left="397" w:hanging="197"/>
        <w:tabs defTabSz="708">
          <w:tab w:val="left" w:pos="4365" w:leader="none"/>
        </w:tabs>
      </w:pPr>
      <w:r>
        <w:rPr>
          <w:b/>
          <w:bCs/>
        </w:rPr>
        <w:t xml:space="preserve">Kurzkettige </w:t>
        <w:fldChar w:fldCharType="begin"/>
        <w:instrText xml:space="preserve">XE "Gesättigte Fettsäuren" \G </w:instrText>
        <w:fldChar w:fldCharType="end"/>
        <w:t xml:space="preserve">gesättigte </w:t>
        <w:fldChar w:fldCharType="begin"/>
        <w:instrText xml:space="preserve">XE "Fettsäuren" \G </w:instrText>
        <w:fldChar w:fldCharType="end"/>
        <w:t>Fettsäuren:</w:t>
      </w:r>
      <w:r>
        <w:tab/>
        <w:fldChar w:fldCharType="begin"/>
        <w:instrText xml:space="preserve">XE "Buttersäure" \G </w:instrText>
        <w:fldChar w:fldCharType="end"/>
        <w:t xml:space="preserve">Buttersäure, die den Darm schützt. </w:t>
      </w:r>
    </w:p>
    <w:p>
      <w:pPr>
        <w:pStyle w:val="para17"/>
        <w:numPr>
          <w:ilvl w:val="1"/>
          <w:numId w:val="2"/>
        </w:numPr>
        <w:ind w:left="397" w:hanging="197"/>
        <w:tabs defTabSz="708">
          <w:tab w:val="left" w:pos="4365" w:leader="none"/>
        </w:tabs>
      </w:pPr>
      <w:r>
        <w:rPr>
          <w:b/>
          <w:bCs/>
        </w:rPr>
        <w:t xml:space="preserve">Mittelkettige </w:t>
        <w:fldChar w:fldCharType="begin"/>
        <w:instrText xml:space="preserve">XE "Fettsäuren" \G </w:instrText>
        <w:fldChar w:fldCharType="end"/>
        <w:t>Fettsäuren:</w:t>
      </w:r>
      <w:r>
        <w:tab/>
        <w:fldChar w:fldCharType="begin"/>
        <w:instrText xml:space="preserve">XE "Laurinsäure" \G </w:instrText>
        <w:fldChar w:fldCharType="end"/>
        <w:t xml:space="preserve">Laurinsäure, die das Immunsystem stärkt, </w:t>
        <w:br w:type="textWrapping"/>
        <w:tab/>
        <w:t xml:space="preserve">die Zellmembranen kräftigt und leicht von </w:t>
        <w:br w:type="textWrapping"/>
        <w:tab/>
        <w:t xml:space="preserve">Muskeln zu Energie umgewandelt wird. </w:t>
      </w:r>
    </w:p>
    <w:p>
      <w:pPr>
        <w:pStyle w:val="para17"/>
        <w:numPr>
          <w:ilvl w:val="1"/>
          <w:numId w:val="2"/>
        </w:numPr>
        <w:ind w:left="397" w:hanging="197"/>
        <w:tabs defTabSz="708">
          <w:tab w:val="left" w:pos="4365" w:leader="none"/>
        </w:tabs>
      </w:pPr>
      <w:r>
        <w:rPr>
          <w:b/>
          <w:bCs/>
        </w:rPr>
        <w:t xml:space="preserve">Langkettige </w:t>
        <w:fldChar w:fldCharType="begin"/>
        <w:instrText xml:space="preserve">XE "Gesättigte Fettsäuren" \G </w:instrText>
        <w:fldChar w:fldCharType="end"/>
        <w:t xml:space="preserve">gesättigte </w:t>
        <w:fldChar w:fldCharType="begin"/>
        <w:instrText xml:space="preserve">XE "Fettsäuren" \G </w:instrText>
        <w:fldChar w:fldCharType="end"/>
        <w:t>Fettsäuren:</w:t>
      </w:r>
      <w:r>
        <w:tab/>
        <w:fldChar w:fldCharType="begin"/>
        <w:instrText xml:space="preserve">XE "Palmitinsäure" \G </w:instrText>
        <w:fldChar w:fldCharType="end"/>
        <w:t xml:space="preserve">Palmitinsäure, die das Herz kräftigt, sowie die </w:t>
        <w:br w:type="textWrapping"/>
        <w:tab/>
        <w:fldChar w:fldCharType="begin"/>
        <w:instrText xml:space="preserve">XE "Transpalmitoleinsäure" \G </w:instrText>
        <w:fldChar w:fldCharType="end"/>
        <w:t xml:space="preserve">Transpalmitoleinsäure, die vor Diabetes schützt. </w:t>
      </w:r>
    </w:p>
    <w:p>
      <w:r>
        <w:t xml:space="preserve">Diese wichtigen kurzkettigen, mittelkettigen und langkettigen </w:t>
        <w:fldChar w:fldCharType="begin"/>
        <w:instrText xml:space="preserve">XE "Fettsäuren" \G </w:instrText>
        <w:fldChar w:fldCharType="end"/>
        <w:t>Fettsäuren sind in folgenden Lebensmitteln enthalten:</w:t>
      </w:r>
    </w:p>
    <w:p>
      <w:r>
        <w:t>Aufgeschlüsselt nach Lebensmitteln:</w:t>
      </w:r>
    </w:p>
    <w:p>
      <w:pPr>
        <w:ind w:left="567"/>
        <w:tabs defTabSz="708">
          <w:tab w:val="left" w:pos="1928" w:leader="none"/>
        </w:tabs>
      </w:pPr>
      <w:r>
        <w:rPr>
          <w:b/>
          <w:bCs/>
        </w:rPr>
        <w:fldChar w:fldCharType="begin"/>
        <w:instrText xml:space="preserve">XE "Milchfett" \G </w:instrText>
        <w:fldChar w:fldCharType="end"/>
        <w:t>Milchfett:</w:t>
      </w:r>
      <w:r>
        <w:tab/>
        <w:fldChar w:fldCharType="begin"/>
        <w:instrText xml:space="preserve">XE "Buttersäure" \G </w:instrText>
        <w:fldChar w:fldCharType="end"/>
        <w:t xml:space="preserve">Buttersäure, </w:t>
        <w:fldChar w:fldCharType="begin"/>
        <w:instrText xml:space="preserve">XE "Palmitinsäure" \G </w:instrText>
        <w:fldChar w:fldCharType="end"/>
        <w:t xml:space="preserve">Palmitinsäure, </w:t>
        <w:fldChar w:fldCharType="begin"/>
        <w:instrText xml:space="preserve">XE "Transpalmitoleinsäure" \G </w:instrText>
        <w:fldChar w:fldCharType="end"/>
        <w:t>Transpalmitoleinsäure</w:t>
      </w:r>
    </w:p>
    <w:p>
      <w:pPr>
        <w:ind w:left="567"/>
        <w:tabs defTabSz="708">
          <w:tab w:val="left" w:pos="1928" w:leader="none"/>
        </w:tabs>
      </w:pPr>
      <w:r>
        <w:rPr>
          <w:b/>
          <w:bCs/>
        </w:rPr>
        <w:fldChar w:fldCharType="begin"/>
        <w:instrText xml:space="preserve">XE "Kokosöl" \G </w:instrText>
        <w:fldChar w:fldCharType="end"/>
        <w:t>Kokosöl:</w:t>
      </w:r>
      <w:r>
        <w:tab/>
        <w:fldChar w:fldCharType="begin"/>
        <w:instrText xml:space="preserve">XE "Laurinsäure" \G </w:instrText>
        <w:fldChar w:fldCharType="end"/>
        <w:t xml:space="preserve">Laurinsäure, </w:t>
        <w:fldChar w:fldCharType="begin"/>
        <w:instrText xml:space="preserve">XE "Palmitinsäure" \G </w:instrText>
        <w:fldChar w:fldCharType="end"/>
        <w:t>Palmitinsäure</w:t>
      </w:r>
    </w:p>
    <w:p>
      <w:pPr>
        <w:ind w:left="567"/>
        <w:tabs defTabSz="708">
          <w:tab w:val="left" w:pos="1928" w:leader="none"/>
        </w:tabs>
      </w:pPr>
      <w:r>
        <w:rPr>
          <w:b/>
          <w:bCs/>
        </w:rPr>
        <w:fldChar w:fldCharType="begin"/>
        <w:instrText xml:space="preserve">XE "Palmöl" \G </w:instrText>
        <w:fldChar w:fldCharType="end"/>
        <w:t>Palmöl:</w:t>
      </w:r>
      <w:r>
        <w:tab/>
        <w:fldChar w:fldCharType="begin"/>
        <w:instrText xml:space="preserve">XE "Laurinsäure" \G </w:instrText>
        <w:fldChar w:fldCharType="end"/>
        <w:t>Laurinsäure</w:t>
      </w:r>
    </w:p>
    <w:p>
      <w:pPr>
        <w:ind w:left="567"/>
        <w:tabs defTabSz="708">
          <w:tab w:val="left" w:pos="1928" w:leader="none"/>
        </w:tabs>
      </w:pPr>
      <w:r>
        <w:rPr>
          <w:b/>
          <w:bCs/>
        </w:rPr>
        <w:fldChar w:fldCharType="begin"/>
        <w:instrText xml:space="preserve">XE "Olivenöl" \G </w:instrText>
        <w:fldChar w:fldCharType="end"/>
        <w:t>Olivenöl:</w:t>
      </w:r>
      <w:r>
        <w:tab/>
        <w:fldChar w:fldCharType="begin"/>
        <w:instrText xml:space="preserve">XE "Palmitinsäure" \G </w:instrText>
        <w:fldChar w:fldCharType="end"/>
        <w:t>Palmitinsäure</w:t>
      </w:r>
    </w:p>
    <w:p>
      <w:r>
        <w:t xml:space="preserve">Aufgeschlüsselt nach </w:t>
        <w:fldChar w:fldCharType="begin"/>
        <w:instrText xml:space="preserve">XE "Fettsäuren" \G </w:instrText>
        <w:fldChar w:fldCharType="end"/>
        <w:t>Fettsäuren:</w:t>
      </w:r>
    </w:p>
    <w:p>
      <w:pPr>
        <w:ind w:left="567"/>
        <w:tabs defTabSz="708">
          <w:tab w:val="left" w:pos="3345" w:leader="none"/>
        </w:tabs>
      </w:pPr>
      <w:r>
        <w:rPr>
          <w:b/>
          <w:bCs/>
        </w:rPr>
        <w:fldChar w:fldCharType="begin"/>
        <w:instrText xml:space="preserve">XE "Buttersäure" \G </w:instrText>
        <w:fldChar w:fldCharType="end"/>
        <w:t>Buttersäure:</w:t>
      </w:r>
      <w:r>
        <w:tab/>
        <w:fldChar w:fldCharType="begin"/>
        <w:instrText xml:space="preserve">XE "Milchfett" \G </w:instrText>
        <w:fldChar w:fldCharType="end"/>
        <w:t>Milchfett (Sahne und Butter)</w:t>
      </w:r>
    </w:p>
    <w:p>
      <w:pPr>
        <w:ind w:left="567"/>
        <w:tabs defTabSz="708">
          <w:tab w:val="left" w:pos="3345" w:leader="none"/>
        </w:tabs>
      </w:pPr>
      <w:r>
        <w:rPr>
          <w:b/>
          <w:bCs/>
        </w:rPr>
        <w:fldChar w:fldCharType="begin"/>
        <w:instrText xml:space="preserve">XE "Laurinsäure" \G </w:instrText>
        <w:fldChar w:fldCharType="end"/>
        <w:t>Laurinsäure:</w:t>
      </w:r>
      <w:r>
        <w:tab/>
        <w:fldChar w:fldCharType="begin"/>
        <w:instrText xml:space="preserve">XE "Kokosöl" \G </w:instrText>
        <w:fldChar w:fldCharType="end"/>
        <w:t xml:space="preserve">Kokosöl und </w:t>
        <w:fldChar w:fldCharType="begin"/>
        <w:instrText xml:space="preserve">XE "Palmöl" \G </w:instrText>
        <w:fldChar w:fldCharType="end"/>
        <w:t>Palmöl</w:t>
      </w:r>
    </w:p>
    <w:p>
      <w:pPr>
        <w:ind w:left="567"/>
        <w:tabs defTabSz="708">
          <w:tab w:val="left" w:pos="3345" w:leader="none"/>
        </w:tabs>
      </w:pPr>
      <w:r>
        <w:rPr>
          <w:b/>
          <w:bCs/>
        </w:rPr>
        <w:fldChar w:fldCharType="begin"/>
        <w:instrText xml:space="preserve">XE "Palmitinsäure" \G </w:instrText>
        <w:fldChar w:fldCharType="end"/>
        <w:t>Palmitinsäure:</w:t>
      </w:r>
      <w:r>
        <w:tab/>
        <w:t xml:space="preserve">Kokos- und </w:t>
        <w:fldChar w:fldCharType="begin"/>
        <w:instrText xml:space="preserve">XE "Olivenöl" \G </w:instrText>
        <w:fldChar w:fldCharType="end"/>
        <w:t xml:space="preserve">Olivenöl, </w:t>
        <w:fldChar w:fldCharType="begin"/>
        <w:instrText xml:space="preserve">XE "Milchfett" \G </w:instrText>
        <w:fldChar w:fldCharType="end"/>
        <w:t>Milchfett</w:t>
      </w:r>
    </w:p>
    <w:p>
      <w:pPr>
        <w:ind w:left="567"/>
        <w:tabs defTabSz="708">
          <w:tab w:val="left" w:pos="3345" w:leader="none"/>
        </w:tabs>
      </w:pPr>
      <w:r>
        <w:rPr>
          <w:b/>
          <w:bCs/>
        </w:rPr>
        <w:fldChar w:fldCharType="begin"/>
        <w:instrText xml:space="preserve">XE "Transpalmitoleinsäure" \G </w:instrText>
        <w:fldChar w:fldCharType="end"/>
        <w:t>Transpalmitoleinsäure:</w:t>
      </w:r>
      <w:r>
        <w:tab/>
        <w:fldChar w:fldCharType="begin"/>
        <w:instrText xml:space="preserve">XE "Milchfett" \G </w:instrText>
        <w:fldChar w:fldCharType="end"/>
        <w:t>Milchfett</w:t>
      </w:r>
    </w:p>
    <w:p>
      <w:pPr>
        <w:pStyle w:val="para4"/>
        <w:numPr>
          <w:ilvl w:val="3"/>
          <w:numId w:val="1"/>
        </w:numPr>
        <w:ind w:left="1077" w:hanging="1077"/>
      </w:pPr>
      <w:bookmarkStart w:id="77" w:name="_TOC000068"/>
      <w:r>
        <w:fldChar w:fldCharType="begin"/>
        <w:instrText xml:space="preserve">XE "Milchfett" \G </w:instrText>
        <w:fldChar w:fldCharType="end"/>
        <w:t>Milchfett: Butter und Sahne</w:t>
      </w:r>
      <w:bookmarkEnd w:id="77"/>
      <w:r/>
    </w:p>
    <w:p>
      <w:r>
        <w:t xml:space="preserve">Gegenüber früherer Meinung ist </w:t>
        <w:fldChar w:fldCharType="begin"/>
        <w:instrText xml:space="preserve">XE "Milchfett" \G </w:instrText>
        <w:fldChar w:fldCharType="end"/>
        <w:t xml:space="preserve">Milchfett aufgrund der angesprochenen </w:t>
        <w:fldChar w:fldCharType="begin"/>
        <w:instrText xml:space="preserve">XE "Buttersäure" \G </w:instrText>
        <w:fldChar w:fldCharType="end"/>
        <w:t xml:space="preserve">Buttersäure, der </w:t>
        <w:fldChar w:fldCharType="begin"/>
        <w:instrText xml:space="preserve">XE "Transpalmitoleinsäure" \G </w:instrText>
        <w:fldChar w:fldCharType="end"/>
        <w:t xml:space="preserve">Transpalmitoleinsäure sowie der Ölsäure, die wir bei den einfach ungesättigten </w:t>
        <w:fldChar w:fldCharType="begin"/>
        <w:instrText xml:space="preserve">XE "Fettsäuren" \G </w:instrText>
        <w:fldChar w:fldCharType="end"/>
        <w:t xml:space="preserve">Fettsäuren kennenlernen werden, gut für uns und sollte daher in großen Mengen verwendet werden. </w:t>
        <w:fldChar w:fldCharType="begin"/>
        <w:instrText xml:space="preserve">XE "Buttersäure" \G </w:instrText>
        <w:fldChar w:fldCharType="end"/>
        <w:t xml:space="preserve">Buttersäure kräftigt das Immunsystem, Myristinsäure und </w:t>
        <w:fldChar w:fldCharType="begin"/>
        <w:instrText xml:space="preserve">XE "Laurinsäure" \G </w:instrText>
        <w:fldChar w:fldCharType="end"/>
        <w:t>Laurinsäure die Membrane. Ölsäure hält die Fließfähigkeit in den Zellwänden aufrecht.</w:t>
      </w:r>
    </w:p>
    <w:p>
      <w:pPr>
        <w:pStyle w:val="para17"/>
        <w:numPr>
          <w:ilvl w:val="1"/>
          <w:numId w:val="2"/>
        </w:numPr>
        <w:ind w:left="397" w:hanging="197"/>
      </w:pPr>
      <w:r>
        <w:t>Daher sollte man auch bei Milchprodukten auf Vollfettvarianten zurückgreifen.</w:t>
      </w:r>
    </w:p>
    <w:p>
      <w:pPr>
        <w:pStyle w:val="para17"/>
        <w:numPr>
          <w:ilvl w:val="1"/>
          <w:numId w:val="2"/>
        </w:numPr>
        <w:ind w:left="397" w:hanging="197"/>
      </w:pPr>
      <w:r>
        <w:t>Magerstufen bei Käse, Joghurt, Quark und Milch sollten nur selten verwendet werden.</w:t>
      </w:r>
    </w:p>
    <w:p>
      <w:r>
        <w:t>Fette sind Geschmacksträger. So können Zusatzstoffe wie Geschmacksverstärker und Zucker vermieden werden, die oft in Low-Fat-Produkten enthalten sind.</w:t>
      </w:r>
    </w:p>
    <w:p>
      <w:pPr>
        <w:pStyle w:val="para4"/>
        <w:numPr>
          <w:ilvl w:val="3"/>
          <w:numId w:val="1"/>
        </w:numPr>
        <w:ind w:left="1077" w:hanging="1077"/>
      </w:pPr>
      <w:bookmarkStart w:id="78" w:name="_TOC000069"/>
      <w:r>
        <w:t>Kokosnuss-Öl</w:t>
      </w:r>
      <w:bookmarkEnd w:id="78"/>
      <w:r/>
    </w:p>
    <w:p>
      <w:r>
        <w:t xml:space="preserve">Wie alle Fette sollte auch Kokosnussöl nicht raffiniert, sondern nativ sein, denn bei der Raffination von pflanzlichen Ölen gehen die gesundheitsfördernden Begleitstoffe verloren. Weiter darf das Kokosnussfett nicht gehärtet sein, </w:t>
      </w:r>
    </w:p>
    <w:p>
      <w:pPr>
        <w:pStyle w:val="para17"/>
        <w:numPr>
          <w:ilvl w:val="1"/>
          <w:numId w:val="2"/>
        </w:numPr>
        <w:ind w:left="397" w:hanging="197"/>
      </w:pPr>
      <w:r>
        <w:t xml:space="preserve">weil durch die Härtung </w:t>
        <w:fldChar w:fldCharType="begin"/>
        <w:instrText xml:space="preserve">XE "Transfettsäuren" \G </w:instrText>
        <w:fldChar w:fldCharType="end"/>
        <w:t xml:space="preserve">Transfettsäuren entstehen, die stark entzündungsfördernd wirken. </w:t>
      </w:r>
    </w:p>
    <w:p>
      <w:pPr>
        <w:pStyle w:val="para17"/>
        <w:numPr>
          <w:ilvl w:val="1"/>
          <w:numId w:val="2"/>
        </w:numPr>
        <w:ind w:left="397" w:hanging="197"/>
      </w:pPr>
      <w:r>
        <w:t xml:space="preserve">Gehärtetes Kokosfett erkennst du an der Zutatendeklarierung „teilweise gehärtet“. </w:t>
      </w:r>
    </w:p>
    <w:p>
      <w:r>
        <w:t xml:space="preserve">Verwende zum Anbraten deshalb ausschließlich natives, nicht raffiniertes und nicht gehärtetes </w:t>
        <w:fldChar w:fldCharType="begin"/>
        <w:instrText xml:space="preserve">XE "Kokosöl" \G </w:instrText>
        <w:fldChar w:fldCharType="end"/>
        <w:t>Kokosöl. Unsere Empfehlung: Nimm Bio-</w:t>
        <w:fldChar w:fldCharType="begin"/>
        <w:instrText xml:space="preserve">XE "Kokosöl" \G </w:instrText>
        <w:fldChar w:fldCharType="end"/>
        <w:t>Kokosöl aus fairem Handel.</w:t>
      </w:r>
    </w:p>
    <w:p>
      <w:r>
        <w:t xml:space="preserve">Die gesundheitlichen Auswirkungen von Kokosnussöl werden in der wissenschaftlichen Literatur ambivalent gesehen. Die American Heart Association schließt deswegen aus einer Auswertung von über 100 Studien, dass negative Effekte auf die menschliche Gesundheit überwiegen, da Kokosnussöl signifikant den LDL-Wert (gemein bekannt als „schlechtes Cholesterin“) erhöht und damit ein Auslöser von tödlichen kardiovaskulären Erkrankungen sein kann.[22] Die Autoren empfehlen als gesündere Alternative eine mediterrane Ernährung, also Raps- oder </w:t>
        <w:fldChar w:fldCharType="begin"/>
        <w:instrText xml:space="preserve">XE "Olivenöl" \G </w:instrText>
        <w:fldChar w:fldCharType="end"/>
        <w:t>Olivenöl.</w:t>
      </w:r>
    </w:p>
    <w:p>
      <w:pPr>
        <w:pStyle w:val="para4"/>
        <w:numPr>
          <w:ilvl w:val="3"/>
          <w:numId w:val="1"/>
        </w:numPr>
        <w:ind w:left="1077" w:hanging="1077"/>
      </w:pPr>
      <w:bookmarkStart w:id="79" w:name="_TOC000070"/>
      <w:r>
        <w:fldChar w:fldCharType="begin"/>
        <w:instrText xml:space="preserve">XE "Palmöl" \G </w:instrText>
        <w:fldChar w:fldCharType="end"/>
        <w:t>Palmöl</w:t>
      </w:r>
      <w:bookmarkEnd w:id="79"/>
      <w:r/>
    </w:p>
    <w:p>
      <w:r>
        <w:fldChar w:fldCharType="begin"/>
        <w:instrText xml:space="preserve">XE "Palmöl" \G </w:instrText>
        <w:fldChar w:fldCharType="end"/>
        <w:t xml:space="preserve">Palmöl besteht zu etwa 50 % aus gesättigten </w:t>
        <w:fldChar w:fldCharType="begin"/>
        <w:instrText xml:space="preserve">XE "Fettsäuren" \G </w:instrText>
        <w:fldChar w:fldCharType="end"/>
        <w:t xml:space="preserve">Fettsäuren, deren Hauptbestandteil ebenfalls die </w:t>
        <w:fldChar w:fldCharType="begin"/>
        <w:instrText xml:space="preserve">XE "Laurinsäure" \G </w:instrText>
        <w:fldChar w:fldCharType="end"/>
        <w:t xml:space="preserve">Laurinsäure ist. </w:t>
      </w:r>
    </w:p>
    <w:p>
      <w:pPr>
        <w:pStyle w:val="para17"/>
        <w:numPr>
          <w:ilvl w:val="1"/>
          <w:numId w:val="2"/>
        </w:numPr>
        <w:ind w:left="397" w:hanging="197"/>
      </w:pPr>
      <w:r>
        <w:t xml:space="preserve">Es enthält zusätzlich wertvolles Vitamin E in Form von Tocotrienolen, die eine hohe entzündungssenkende Wirkung haben. Dadurch kann </w:t>
        <w:fldChar w:fldCharType="begin"/>
        <w:instrText xml:space="preserve">XE "Palmöl" \G </w:instrText>
        <w:fldChar w:fldCharType="end"/>
        <w:t xml:space="preserve">Palmöl die Regeneration verbessern. </w:t>
      </w:r>
    </w:p>
    <w:p>
      <w:pPr>
        <w:pStyle w:val="para17"/>
        <w:numPr>
          <w:ilvl w:val="1"/>
          <w:numId w:val="2"/>
        </w:numPr>
        <w:ind w:left="397" w:hanging="197"/>
      </w:pPr>
      <w:r>
        <w:fldChar w:fldCharType="begin"/>
        <w:instrText xml:space="preserve">XE "Palmöl" \G </w:instrText>
        <w:fldChar w:fldCharType="end"/>
        <w:t>Palmöl eignet sich ebenso zum Anbraten, allerdings nur bei mittlerer Temperatur.</w:t>
      </w:r>
    </w:p>
    <w:p>
      <w:r>
        <w:fldChar w:fldCharType="begin"/>
        <w:instrText xml:space="preserve">XE "Palmöl" \G </w:instrText>
        <w:fldChar w:fldCharType="end"/>
        <w:t>Palmöl ist ein Lebensmittel. Was jedoch kaum einer weiß:</w:t>
      </w:r>
    </w:p>
    <w:p>
      <w:pPr>
        <w:ind w:left="567"/>
        <w:spacing w:after="20"/>
      </w:pPr>
      <w:r>
        <w:rPr>
          <w:noProof/>
        </w:rPr>
        <mc:AlternateContent>
          <mc:Choice Requires="wps">
            <w:drawing>
              <wp:anchor distT="89535" distB="89535" distL="107950" distR="0" simplePos="0" relativeHeight="251658306" behindDoc="0" locked="0" layoutInCell="0" hidden="0" allowOverlap="1">
                <wp:simplePos x="0" y="0"/>
                <wp:positionH relativeFrom="column">
                  <wp:posOffset>2555875</wp:posOffset>
                </wp:positionH>
                <wp:positionV relativeFrom="paragraph">
                  <wp:posOffset>46355</wp:posOffset>
                </wp:positionV>
                <wp:extent cx="3215640" cy="1838960"/>
                <wp:effectExtent l="6350" t="6350" r="6350" b="6350"/>
                <wp:wrapSquare wrapText="bothSides"/>
                <wp:docPr id="66" name="Textbox16"/>
                <wp:cNvGraphicFramePr/>
                <a:graphic xmlns:a="http://schemas.openxmlformats.org/drawingml/2006/main">
                  <a:graphicData uri="http://schemas.microsoft.com/office/word/2010/wordprocessingShape">
                    <wps:wsp>
                      <wps:cNvSpPr txBox="1">
                        <a:codePr string="" type="161218559" text="1"/>
                        <a:extLst>
                          <a:ext uri="sm">
                            <sm:smNativeData xmlns:sm="sm" val="SMDATA_15_E0dOaRMAAAAlAAAAEgAAAA0AAAAAqgAAAKoAAABxAAAAqg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AA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gKAAB8LgAAyE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HoCAAAAogAAAAAAAAAAAAABAAAAAgAAALkPAAABAAAAAgAAAEkAAADIEwAAUAsAACQAAwB5FwAAmzIAACgAAAAIAAAAAQAAAAIAAAAwAAAAFAAAAAAAAAAAAP//AAABAAAA//8AAAEA"/>
                          </a:ext>
                        </a:extLst>
                      </wps:cNvSpPr>
                      <wps:spPr>
                        <a:xfrm>
                          <a:off x="0" y="0"/>
                          <a:ext cx="3215640" cy="1838960"/>
                        </a:xfrm>
                        <a:prstGeom prst="rect">
                          <a:avLst/>
                        </a:prstGeom>
                        <a:noFill/>
                        <a:ln w="6350">
                          <a:solidFill>
                            <a:srgbClr val="000000"/>
                          </a:solidFill>
                        </a:ln>
                      </wps:spPr>
                      <wps:txbx>
                        <w:txbxContent>
                          <w:p>
                            <w:r>
                              <w:t xml:space="preserve">Aus den Früchten der Ölpalme wird das </w:t>
                            </w:r>
                            <w:r>
                              <w:rPr>
                                <w:b/>
                                <w:bCs/>
                              </w:rPr>
                              <w:fldChar w:fldCharType="begin"/>
                              <w:instrText xml:space="preserve">XE "Palmöl" \G </w:instrText>
                              <w:fldChar w:fldCharType="end"/>
                              <w:t>Palmöl</w:t>
                            </w:r>
                            <w:r>
                              <w:t xml:space="preserve"> gewonnen, aus den Kernen der Früchte stammt das sogenannte Palmkernöl.</w:t>
                            </w:r>
                          </w:p>
                          <w:p>
                            <w:r>
                              <w:fldChar w:fldCharType="begin"/>
                              <w:instrText xml:space="preserve">XE "Palmöl" \G </w:instrText>
                              <w:fldChar w:fldCharType="end"/>
                              <w:t xml:space="preserve">Palmöl, das ca. 90 Prozent der gesamten Ölmenge ausmacht, wird vor allem in der Nahrungsmittelindustrie verwendet. </w:t>
                            </w:r>
                          </w:p>
                          <w:p>
                            <w:pPr>
                              <w:spacing w:after="0"/>
                            </w:pPr>
                            <w:r>
                              <w:rPr>
                                <w:b/>
                                <w:bCs/>
                              </w:rPr>
                              <w:t>Palmkernöl</w:t>
                            </w:r>
                            <w:r>
                              <w:t xml:space="preserve"> ist vor allem ein wichtiger Rohstoff für Tenside.</w:t>
                            </w:r>
                          </w:p>
                        </w:txbxContent>
                      </wps:txbx>
                      <wps:bodyPr spcFirstLastPara="1" vertOverflow="clip" horzOverflow="clip" lIns="107950" tIns="107950" rIns="71755" bIns="107950" upright="1">
                        <a:prstTxWarp prst="textNoShape">
                          <a:avLst/>
                        </a:prstTxWarp>
                        <a:spAutoFit/>
                      </wps:bodyPr>
                    </wps:wsp>
                  </a:graphicData>
                </a:graphic>
              </wp:anchor>
            </w:drawing>
          </mc:Choice>
          <mc:Fallback>
            <w:pict>
              <v:shape id="Textbox16" o:spid="_x0000_s1030" type="#_x0000_t202" style="position:absolute;margin-left:201.25pt;margin-top:3.65pt;width:253.20pt;height:144.80pt;z-index:251658306;mso-wrap-distance-left:8.50pt;mso-wrap-distance-top:7.05pt;mso-wrap-distance-right:0.00pt;mso-wrap-distance-bottom:7.05pt;mso-wrap-style:square" strokeweight="0.50pt" filled="f" v:ext="SMDATA_15_E0dOaRMAAAAlAAAAEgAAAA0AAAAAqgAAAKoAAABxAAAAqg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AA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gKAAB8LgAAyE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HoCAAAAogAAAAAAAAAAAAABAAAAAgAAALkPAAABAAAAAgAAAEkAAADIEwAAUAsAACQAAwB5FwAAmzIAACgAAAAIAAAAAQAAAAIAAAAwAAAAFAAAAAAAAAAAAP//AAABAAAA//8AAAEA" o:insetmode="custom">
                <w10:wrap type="square" anchorx="text" anchory="text"/>
                <v:textbox style="mso-fit-shape-to-text:t" inset="8.5pt,8.5pt,5.7pt,8.5pt">
                  <w:txbxContent>
                    <w:p>
                      <w:r>
                        <w:t xml:space="preserve">Aus den Früchten der Ölpalme wird das </w:t>
                      </w:r>
                      <w:r>
                        <w:rPr>
                          <w:b/>
                          <w:bCs/>
                        </w:rPr>
                        <w:fldChar w:fldCharType="begin"/>
                        <w:instrText xml:space="preserve">XE "Palmöl" \G </w:instrText>
                        <w:fldChar w:fldCharType="end"/>
                        <w:t>Palmöl</w:t>
                      </w:r>
                      <w:r>
                        <w:t xml:space="preserve"> gewonnen, aus den Kernen der Früchte stammt das sogenannte Palmkernöl.</w:t>
                      </w:r>
                    </w:p>
                    <w:p>
                      <w:r>
                        <w:fldChar w:fldCharType="begin"/>
                        <w:instrText xml:space="preserve">XE "Palmöl" \G </w:instrText>
                        <w:fldChar w:fldCharType="end"/>
                        <w:t xml:space="preserve">Palmöl, das ca. 90 Prozent der gesamten Ölmenge ausmacht, wird vor allem in der Nahrungsmittelindustrie verwendet. </w:t>
                      </w:r>
                    </w:p>
                    <w:p>
                      <w:pPr>
                        <w:spacing w:after="0"/>
                      </w:pPr>
                      <w:r>
                        <w:rPr>
                          <w:b/>
                          <w:bCs/>
                        </w:rPr>
                        <w:t>Palmkernöl</w:t>
                      </w:r>
                      <w:r>
                        <w:t xml:space="preserve"> ist vor allem ein wichtiger Rohstoff für Tenside.</w:t>
                      </w:r>
                    </w:p>
                  </w:txbxContent>
                </v:textbox>
              </v:shape>
            </w:pict>
          </mc:Fallback>
        </mc:AlternateContent>
      </w:r>
      <w:r>
        <w:t>2018 gingen in der EU 61 % des Palmöls in die Energieerzeugung:</w:t>
      </w:r>
    </w:p>
    <w:p>
      <w:pPr>
        <w:ind w:left="567"/>
        <w:spacing w:after="20"/>
      </w:pPr>
      <w:r>
        <w:t xml:space="preserve">51 % (4,3 Millionen Tonnen) für die Produktion von Biodiesel sowie </w:t>
      </w:r>
    </w:p>
    <w:p>
      <w:pPr>
        <w:ind w:left="567"/>
      </w:pPr>
      <w:r>
        <w:t>10 % (0,8 Millionen Tonnen) in Kraftwerke für die Strom- und Wärmeerzeugung.</w:t>
      </w:r>
    </w:p>
    <w:p>
      <w:pPr>
        <w:ind w:left="567"/>
        <w:spacing w:after="20"/>
      </w:pPr>
      <w:r>
        <w:t xml:space="preserve">Deutschland importierte 1,4 Millionen Tonnen </w:t>
        <w:fldChar w:fldCharType="begin"/>
        <w:instrText xml:space="preserve">XE "Palmöl" \G </w:instrText>
        <w:fldChar w:fldCharType="end"/>
        <w:t>Palmöl und Palmkernöl:</w:t>
      </w:r>
    </w:p>
    <w:p>
      <w:pPr>
        <w:pStyle w:val="para17"/>
        <w:numPr>
          <w:ilvl w:val="1"/>
          <w:numId w:val="2"/>
        </w:numPr>
        <w:ind w:left="850" w:hanging="197"/>
        <w:spacing w:after="40"/>
      </w:pPr>
      <w:r>
        <w:t>44% der Palmölimporte (618.749 t) wurden für energetische Zwecke eingesetzt,</w:t>
      </w:r>
    </w:p>
    <w:p>
      <w:pPr>
        <w:pStyle w:val="para17"/>
        <w:numPr>
          <w:ilvl w:val="1"/>
          <w:numId w:val="2"/>
        </w:numPr>
        <w:ind w:left="850" w:hanging="197"/>
        <w:spacing w:after="40"/>
      </w:pPr>
      <w:r>
        <w:t xml:space="preserve">davon 445.319 t (72 %) </w:t>
        <w:fldChar w:fldCharType="begin"/>
        <w:instrText xml:space="preserve">XE "Palmöl" \G </w:instrText>
        <w:fldChar w:fldCharType="end"/>
        <w:t>Palmöl für die Produktion von Biodiesel</w:t>
      </w:r>
    </w:p>
    <w:p>
      <w:pPr>
        <w:pStyle w:val="para17"/>
        <w:numPr>
          <w:ilvl w:val="1"/>
          <w:numId w:val="2"/>
        </w:numPr>
        <w:ind w:left="850" w:hanging="197"/>
      </w:pPr>
      <w:r>
        <w:t>sowie 173.430 t (28 %) für die Strom- und Wärmeerzeugung.</w:t>
      </w:r>
    </w:p>
    <w:p>
      <w:pPr>
        <w:ind w:left="567"/>
        <w:spacing/>
        <w:jc w:val="left"/>
        <w:rPr>
          <w:sz w:val="18"/>
          <w:szCs w:val="18"/>
        </w:rPr>
      </w:pPr>
      <w:r>
        <w:rPr>
          <w:sz w:val="18"/>
          <w:szCs w:val="18"/>
        </w:rPr>
        <w:t xml:space="preserve">Quelle: </w:t>
      </w:r>
      <w:hyperlink r:id="rId48" w:history="1">
        <w:r>
          <w:rPr>
            <w:rStyle w:val="char20"/>
            <w:sz w:val="18"/>
            <w:szCs w:val="18"/>
          </w:rPr>
          <w:t>https://www.regenwald.org/themen/palmoel</w:t>
        </w:r>
      </w:hyperlink>
      <w:r>
        <w:rPr>
          <w:sz w:val="18"/>
          <w:szCs w:val="18"/>
        </w:rPr>
        <w:t>, 16.08.2025</w:t>
      </w:r>
      <w:r>
        <w:rPr>
          <w:sz w:val="18"/>
          <w:szCs w:val="18"/>
        </w:rPr>
      </w:r>
    </w:p>
    <w:p>
      <w:pPr>
        <w:pStyle w:val="para3"/>
        <w:numPr>
          <w:ilvl w:val="2"/>
          <w:numId w:val="1"/>
        </w:numPr>
        <w:ind w:left="720" w:hanging="720"/>
      </w:pPr>
      <w:bookmarkStart w:id="80" w:name="_TOC000335"/>
      <w:r/>
      <w:bookmarkStart w:id="81" w:name="_TOC000023"/>
      <w:r/>
      <w:bookmarkStart w:id="82" w:name="_TOC000325"/>
      <w:r>
        <w:t>Gehärtete Fette</w:t>
      </w:r>
      <w:bookmarkEnd w:id="81"/>
      <w:r/>
      <w:bookmarkEnd w:id="82"/>
      <w:r/>
      <w:bookmarkEnd w:id="80"/>
      <w:r/>
    </w:p>
    <w:p>
      <w:r>
        <w:t xml:space="preserve">Gehärtete Fette sind Fette, die durch einen chemischen Prozess namens Hydrierung aus flüssigen Pflanzenölen hergestellt werden, um sie fester und haltbarer zu machen. Man unterscheidet hauptsächlich zwischen teilweise gehärteten Fetten und vollständig gehärteten Fetten. </w:t>
      </w:r>
    </w:p>
    <w:p>
      <w:pPr>
        <w:rPr>
          <w:b/>
          <w:bCs/>
        </w:rPr>
      </w:pPr>
      <w:r>
        <w:rPr>
          <w:b/>
          <w:bCs/>
        </w:rPr>
        <w:t>Arten von gehärteten Fetten</w:t>
      </w:r>
    </w:p>
    <w:p>
      <w:pPr>
        <w:rPr>
          <w:b/>
          <w:bCs/>
        </w:rPr>
      </w:pPr>
      <w:r>
        <w:rPr>
          <w:b/>
          <w:bCs/>
        </w:rPr>
        <w:t xml:space="preserve">Teilweise gehärtete Fette (auch teilhydriert oder "pflanzliches </w:t>
        <w:fldChar w:fldCharType="begin"/>
        <w:instrText xml:space="preserve">XE "Fett" \G </w:instrText>
        <w:fldChar w:fldCharType="end"/>
        <w:t>Fett, z. T. gehärtet"):</w:t>
      </w:r>
    </w:p>
    <w:p>
      <w:r>
        <w:t>Bei diesem Prozess entstehen die gesundheitlich bedenklichen Transfette. Sie werden verwendet, um Lebensmitteln eine streichfähige Konsistenz und längere Haltbarkeit zu verleihen, wie zum Beispiel in einigen älteren Margarinesorten. Aufgrund der Gesundheitsrisiken (erhöhtes Risiko für Herzerkrankungen) wird ihre Verwendung heutzutage stark reduziert oder ist in einigen Ländern reguliert.</w:t>
      </w:r>
    </w:p>
    <w:p>
      <w:pPr>
        <w:rPr>
          <w:b/>
          <w:bCs/>
        </w:rPr>
      </w:pPr>
      <w:r>
        <w:rPr>
          <w:b/>
          <w:bCs/>
        </w:rPr>
        <w:t>Vollständig gehärtete Fette (auch vollständig hydriert oder "umgeesterte Öle"):</w:t>
      </w:r>
    </w:p>
    <w:p>
      <w:r>
        <w:t xml:space="preserve">Diese Fette sind fast frei von Transfetten, da der Härtungsprozess abgeschlossen ist. Sie bestehen hauptsächlich aus gesättigten </w:t>
        <w:fldChar w:fldCharType="begin"/>
        <w:instrText xml:space="preserve">XE "Fettsäuren" \G </w:instrText>
        <w:fldChar w:fldCharType="end"/>
        <w:t>Fettsäuren und sind bei Raumtemperatur fest. Beispiele für von Natur aus gesättigte Fette, die ähnliche Eigenschaften haben, sind Kokos- oder Palmfett. Vollständig gehärtete Fette werden oft in Kombination mit anderen Fetten verwendet, um die gewünschte Konsistenz in Margarine oder Backwaren zu erreichen, ohne bedenkliche Transfette zu erzeugen.</w:t>
      </w:r>
    </w:p>
    <w:p>
      <w:pPr>
        <w:pStyle w:val="para3"/>
        <w:numPr>
          <w:ilvl w:val="2"/>
          <w:numId w:val="1"/>
        </w:numPr>
        <w:ind w:left="720" w:hanging="720"/>
      </w:pPr>
      <w:bookmarkStart w:id="83" w:name="_TOC000320"/>
      <w:r>
        <w:fldChar w:fldCharType="begin"/>
        <w:instrText xml:space="preserve">XE "Transfettsäuren" \G </w:instrText>
        <w:fldChar w:fldCharType="end"/>
        <w:t>Transfettsäuren - der Feind Ihrer Vitalität</w:t>
      </w:r>
      <w:bookmarkEnd w:id="83"/>
      <w:r/>
    </w:p>
    <w:p>
      <w:r>
        <w:fldChar w:fldCharType="begin"/>
        <w:instrText xml:space="preserve">XE "Transfettsäuren" \G </w:instrText>
        <w:fldChar w:fldCharType="end"/>
        <w:t xml:space="preserve">Transfettsäuren entstehen bei der teilweisen Härtung von pflanzlichen Ölen. Damit werden pflanzliche Öle streichbar. Ebenso wird eine längere Haltbarkeit erreicht. </w:t>
      </w:r>
    </w:p>
    <w:p>
      <w:pPr>
        <w:pStyle w:val="para17"/>
        <w:numPr>
          <w:ilvl w:val="1"/>
          <w:numId w:val="2"/>
        </w:numPr>
        <w:ind w:left="397" w:hanging="197"/>
      </w:pPr>
      <w:r>
        <w:t xml:space="preserve">Diese künstlichen </w:t>
        <w:fldChar w:fldCharType="begin"/>
        <w:instrText xml:space="preserve">XE "Transfettsäuren" \G </w:instrText>
        <w:fldChar w:fldCharType="end"/>
        <w:t>Transfettsäuren erhöhen das Risiko für Herz- und Darmerkrankungen wie z.B. Morbus Crohn, einer chronische Entzündung des Magen-Darm-Traktes.</w:t>
      </w:r>
    </w:p>
    <w:p>
      <w:pPr>
        <w:pStyle w:val="para17"/>
        <w:numPr>
          <w:ilvl w:val="1"/>
          <w:numId w:val="2"/>
        </w:numPr>
        <w:ind w:left="397" w:hanging="197"/>
      </w:pPr>
      <w:r>
        <w:t xml:space="preserve">Hohe Dosen an </w:t>
        <w:fldChar w:fldCharType="begin"/>
        <w:instrText xml:space="preserve">XE "Transfettsäuren" \G </w:instrText>
        <w:fldChar w:fldCharType="end"/>
        <w:t xml:space="preserve">Transfettsäuren erhöhen den (schlechten) LDL- Cholesterinspiegel und senken den (guten) HDL-Cholesterinspiegel im Blut. Daher sollten nicht mehr als 1 % der Nahrungsenergie als </w:t>
        <w:fldChar w:fldCharType="begin"/>
        <w:instrText xml:space="preserve">XE "Transfettsäuren" \G </w:instrText>
        <w:fldChar w:fldCharType="end"/>
        <w:t>Transfettsäuren aufgenommen werden.</w:t>
      </w:r>
    </w:p>
    <w:p>
      <w:r>
        <w:t xml:space="preserve">Ein Lebensmittel mit </w:t>
        <w:fldChar w:fldCharType="begin"/>
        <w:instrText xml:space="preserve">XE "Transfettsäuren" \G </w:instrText>
        <w:fldChar w:fldCharType="end"/>
        <w:t>Transfettsäuren ist an der Zutat »pflanzliches Öl, teilweise gehärtet« einfach zu erkennen (sehen Sie in der Zutatenliste nach - es besteht Kennzeichnungspflicht).</w:t>
      </w:r>
      <w:bookmarkStart w:id="84" w:name="_TOC000037"/>
      <w:r/>
      <w:bookmarkStart w:id="85" w:name="_TOC000072"/>
      <w:r/>
    </w:p>
    <w:p>
      <w:bookmarkStart w:id="86" w:name="_TOC000306"/>
      <w:r/>
    </w:p>
    <w:p>
      <w:pPr>
        <w:pStyle w:val="para4"/>
        <w:numPr>
          <w:ilvl w:val="3"/>
          <w:numId w:val="1"/>
        </w:numPr>
        <w:ind w:left="1077" w:hanging="1077"/>
      </w:pPr>
      <w:r>
        <w:br w:type="page"/>
      </w:r>
      <w:bookmarkStart w:id="87" w:name="_TOC000336"/>
      <w:r>
        <w:t>Beispiele für Lebensmittel mit gehärteten Fetten</w:t>
      </w:r>
      <w:bookmarkEnd w:id="86"/>
      <w:r/>
      <w:bookmarkEnd w:id="87"/>
      <w:r/>
    </w:p>
    <w:p>
      <w:pPr>
        <w:rPr>
          <w:b/>
          <w:bCs/>
        </w:rPr>
      </w:pPr>
      <w:r>
        <w:rPr>
          <w:b/>
          <w:bCs/>
        </w:rPr>
        <w:t>Margarine:</w:t>
      </w:r>
    </w:p>
    <w:p>
      <w:r>
        <w:t xml:space="preserve">Viele Margarinen enthalten gehärtete Fette, um eine streichfähige Konsistenz zu erreichen. </w:t>
      </w:r>
    </w:p>
    <w:p>
      <w:pPr>
        <w:rPr>
          <w:b/>
          <w:bCs/>
        </w:rPr>
      </w:pPr>
      <w:r>
        <w:rPr>
          <w:b/>
          <w:bCs/>
        </w:rPr>
        <w:t>Backwaren:</w:t>
      </w:r>
    </w:p>
    <w:p>
      <w:r>
        <w:t xml:space="preserve">Kekse, Kuchen, Blätterteig, Croissants, Donuts und andere Backwaren enthalten oft gehärtete Fette, um ihre Haltbarkeit und Textur zu verbessern. </w:t>
      </w:r>
    </w:p>
    <w:p>
      <w:pPr>
        <w:rPr>
          <w:b/>
          <w:bCs/>
        </w:rPr>
      </w:pPr>
      <w:r>
        <w:rPr>
          <w:b/>
          <w:bCs/>
        </w:rPr>
        <w:t>Snacks:</w:t>
      </w:r>
    </w:p>
    <w:p>
      <w:r>
        <w:t xml:space="preserve">Chips, Popcorn, Cracker und andere Knabbereien können gehärtete Fette enthalten. </w:t>
      </w:r>
    </w:p>
    <w:p>
      <w:pPr>
        <w:rPr>
          <w:b/>
          <w:bCs/>
        </w:rPr>
      </w:pPr>
      <w:r>
        <w:rPr>
          <w:b/>
          <w:bCs/>
        </w:rPr>
        <w:t>Frittierte Lebensmittel:</w:t>
      </w:r>
    </w:p>
    <w:p>
      <w:r>
        <w:t xml:space="preserve">Pommes Frites, Donuts, paniertes Fleisch und Fisch werden oft mit gehärteten Fetten frittiert. </w:t>
      </w:r>
    </w:p>
    <w:p>
      <w:pPr>
        <w:rPr>
          <w:b/>
          <w:bCs/>
        </w:rPr>
      </w:pPr>
      <w:r>
        <w:rPr>
          <w:b/>
          <w:bCs/>
        </w:rPr>
        <w:t>Fertiggerichte:</w:t>
      </w:r>
    </w:p>
    <w:p>
      <w:r>
        <w:t xml:space="preserve">Viele Fertiggerichte, wie z.B. Pizza, Lasagne oder Tiefkühlkost, können gehärtete Fette enthalten. </w:t>
      </w:r>
    </w:p>
    <w:p>
      <w:pPr>
        <w:rPr>
          <w:b/>
          <w:bCs/>
        </w:rPr>
      </w:pPr>
      <w:r>
        <w:rPr>
          <w:b/>
          <w:bCs/>
        </w:rPr>
        <w:t>Süßwaren:</w:t>
      </w:r>
    </w:p>
    <w:p>
      <w:r>
        <w:t xml:space="preserve">Schokolade, Pralinen und andere Süßigkeiten können ebenfalls gehärtete Fette enthalten. </w:t>
      </w:r>
    </w:p>
    <w:p>
      <w:pPr>
        <w:rPr>
          <w:b/>
          <w:bCs/>
        </w:rPr>
      </w:pPr>
      <w:r>
        <w:rPr>
          <w:b/>
          <w:bCs/>
        </w:rPr>
        <w:t>Brotaufstriche:</w:t>
      </w:r>
    </w:p>
    <w:p>
      <w:r>
        <w:t xml:space="preserve">Auch in einigen Brotaufstrichen, wie z.B. Erdnussbutter, können gehärtete Fette enthalten sein. </w:t>
      </w:r>
    </w:p>
    <w:p>
      <w:pPr>
        <w:rPr>
          <w:sz w:val="28"/>
          <w:szCs w:val="28"/>
        </w:rPr>
      </w:pPr>
      <w:r>
        <w:rPr>
          <w:sz w:val="28"/>
          <w:szCs w:val="28"/>
        </w:rPr>
        <w:t>Warum werden gehärtete Fette verwendet?</w:t>
      </w:r>
    </w:p>
    <w:p>
      <w:pPr>
        <w:pStyle w:val="para17"/>
        <w:numPr>
          <w:ilvl w:val="1"/>
          <w:numId w:val="2"/>
        </w:numPr>
        <w:ind w:left="397" w:hanging="197"/>
      </w:pPr>
      <w:r>
        <w:rPr>
          <w:b/>
          <w:bCs/>
        </w:rPr>
        <w:t>Verlängerung der Haltbarkeit:</w:t>
      </w:r>
      <w:r>
        <w:t xml:space="preserve"> Gehärtete Fette machen Lebensmittel länger haltbar. </w:t>
      </w:r>
    </w:p>
    <w:p>
      <w:pPr>
        <w:pStyle w:val="para17"/>
        <w:numPr>
          <w:ilvl w:val="1"/>
          <w:numId w:val="2"/>
        </w:numPr>
        <w:ind w:left="397" w:hanging="197"/>
      </w:pPr>
      <w:r>
        <w:rPr>
          <w:b/>
          <w:bCs/>
        </w:rPr>
        <w:t>Verbesserung der Textur:</w:t>
      </w:r>
      <w:r>
        <w:t xml:space="preserve"> Sie können die Konsistenz von Lebensmitteln verändern und sie fester oder cremiger machen. </w:t>
      </w:r>
    </w:p>
    <w:p>
      <w:pPr>
        <w:pStyle w:val="para17"/>
        <w:numPr>
          <w:ilvl w:val="1"/>
          <w:numId w:val="2"/>
        </w:numPr>
        <w:ind w:left="397" w:hanging="197"/>
      </w:pPr>
      <w:r>
        <w:rPr>
          <w:b/>
          <w:bCs/>
        </w:rPr>
        <w:t>Reduzierung von Kosten:</w:t>
      </w:r>
      <w:r>
        <w:t xml:space="preserve"> Gehärtete Fette sind oft günstiger als andere Fette. </w:t>
      </w:r>
    </w:p>
    <w:p>
      <w:pPr>
        <w:rPr>
          <w:sz w:val="28"/>
          <w:szCs w:val="28"/>
        </w:rPr>
      </w:pPr>
      <w:r>
        <w:rPr>
          <w:sz w:val="28"/>
          <w:szCs w:val="28"/>
        </w:rPr>
        <w:t>Gesundheitliche Aspekte:</w:t>
      </w:r>
    </w:p>
    <w:p>
      <w:pPr>
        <w:pStyle w:val="para17"/>
        <w:numPr>
          <w:ilvl w:val="1"/>
          <w:numId w:val="2"/>
        </w:numPr>
        <w:ind w:left="397" w:hanging="197"/>
      </w:pPr>
      <w:r>
        <w:t>Gehärtete Fette, insbesondere Transfette, können den LDL-Cholesterinspiegel erhöhen und den HDL-Cholesterinspiegel senken, was das Risiko für Herzerkrankungen erhöhen kann.</w:t>
      </w:r>
    </w:p>
    <w:p>
      <w:pPr>
        <w:pStyle w:val="para17"/>
        <w:numPr>
          <w:ilvl w:val="1"/>
          <w:numId w:val="2"/>
        </w:numPr>
        <w:ind w:left="397" w:hanging="197"/>
      </w:pPr>
      <w:r>
        <w:t xml:space="preserve">In vielen Ländern gibt es Beschränkungen für den Gehalt an Transfetten in Lebensmitteln, um die Aufnahme zu reduzieren, erklärt die Webseite Utopia.de. </w:t>
      </w:r>
    </w:p>
    <w:p>
      <w:pPr>
        <w:rPr>
          <w:sz w:val="28"/>
          <w:szCs w:val="28"/>
        </w:rPr>
      </w:pPr>
      <w:r>
        <w:rPr>
          <w:sz w:val="28"/>
          <w:szCs w:val="28"/>
        </w:rPr>
        <w:t>Tipps zur Vermeidung von gehärteten Fetten:</w:t>
      </w:r>
    </w:p>
    <w:p>
      <w:pPr>
        <w:pStyle w:val="para17"/>
        <w:numPr>
          <w:ilvl w:val="1"/>
          <w:numId w:val="2"/>
        </w:numPr>
        <w:ind w:left="397" w:hanging="197"/>
      </w:pPr>
      <w:r>
        <w:t>Verzichte auf stark verarbeitete Lebensmittel und Fertiggerichte.</w:t>
      </w:r>
    </w:p>
    <w:p>
      <w:pPr>
        <w:pStyle w:val="para17"/>
        <w:numPr>
          <w:ilvl w:val="1"/>
          <w:numId w:val="2"/>
        </w:numPr>
        <w:ind w:left="397" w:hanging="197"/>
      </w:pPr>
      <w:r>
        <w:t>Lies die Zutatenliste aufmerksam und meide Produkte, die gehärtete Fette oder Transfette enthalten.</w:t>
      </w:r>
    </w:p>
    <w:p>
      <w:pPr>
        <w:pStyle w:val="para17"/>
        <w:numPr>
          <w:ilvl w:val="1"/>
          <w:numId w:val="2"/>
        </w:numPr>
        <w:ind w:left="397" w:hanging="197"/>
      </w:pPr>
      <w:r>
        <w:t>Bevorzuge frische, unverarbeitete Lebensmittel.</w:t>
      </w:r>
    </w:p>
    <w:p>
      <w:pPr>
        <w:pStyle w:val="para17"/>
        <w:numPr>
          <w:ilvl w:val="1"/>
          <w:numId w:val="2"/>
        </w:numPr>
        <w:ind w:left="397" w:hanging="197"/>
      </w:pPr>
      <w:r>
        <w:t xml:space="preserve">Wähle hochwertige, ungesättigte Fette wie Leinöl, </w:t>
        <w:fldChar w:fldCharType="begin"/>
        <w:instrText xml:space="preserve">XE "Olivenöl" \G </w:instrText>
        <w:fldChar w:fldCharType="end"/>
        <w:t>Olivenöl, oder Rapsöl.</w:t>
      </w:r>
    </w:p>
    <w:p>
      <w:bookmarkStart w:id="88" w:name="_TOC000063"/>
      <w:r/>
    </w:p>
    <w:p>
      <w:r>
        <w:t>Die Transfettmengen in Lebensmittel sind in den letzten Jahren massiv gesunken. Beispielsweise enthielt Margarine 1995 im Schnitt circa 17 – 22% Transfette (Anteil vom gesamten Fettgehalt), während es 2008 bereits unter 2% waren. Diese Reduktion wurde durch eine vollständige Durchhärtung der Öle erreicht (EFSA 2010, Hulshof et al. 1999).</w:t>
      </w:r>
    </w:p>
    <w:p>
      <w:pPr>
        <w:rPr>
          <w:sz w:val="20"/>
          <w:szCs w:val="20"/>
        </w:rPr>
      </w:pPr>
      <w:r>
        <w:rPr>
          <w:sz w:val="20"/>
          <w:szCs w:val="20"/>
        </w:rPr>
        <w:t xml:space="preserve">Quelle: </w:t>
      </w:r>
      <w:hyperlink r:id="rId49" w:history="1">
        <w:r>
          <w:rPr>
            <w:rStyle w:val="char20"/>
            <w:sz w:val="20"/>
            <w:szCs w:val="20"/>
          </w:rPr>
          <w:t>https://www.4yourfitness.com/blog/transfette-erkennen-und-vermeiden</w:t>
        </w:r>
      </w:hyperlink>
      <w:r>
        <w:rPr>
          <w:sz w:val="20"/>
          <w:szCs w:val="20"/>
        </w:rPr>
        <w:t>, 24.11.2025</w:t>
      </w:r>
      <w:r>
        <w:rPr>
          <w:sz w:val="20"/>
          <w:szCs w:val="20"/>
        </w:rPr>
      </w:r>
    </w:p>
    <w:p>
      <w:r>
        <w:t>In Dänemark wurden Transfette bereits 2003 reglementiert: Hier dürfen nicht mehr als zwei Prozent Transfette in Lebensmitteln enthalten sein. In den USA sind diese Fette seit 2018 verboten. Die EU zieht nach und seit Januar 2021 sind Transfette ebenfalls nur noch bis maximal zwei Prozent erlaubt.</w:t>
      </w:r>
    </w:p>
    <w:p>
      <w:r>
        <w:t xml:space="preserve">Quelle: </w:t>
      </w:r>
      <w:hyperlink r:id="rId50" w:history="1">
        <w:r>
          <w:rPr>
            <w:rStyle w:val="char20"/>
          </w:rPr>
          <w:t>https://www.deli-reform.de/magazin/gehaertete-fette-1#c27046</w:t>
        </w:r>
      </w:hyperlink>
      <w:r>
        <w:t>, 24.11.2025</w:t>
      </w:r>
    </w:p>
    <w:p>
      <w:pPr>
        <w:pStyle w:val="para3"/>
        <w:numPr>
          <w:ilvl w:val="2"/>
          <w:numId w:val="1"/>
        </w:numPr>
        <w:ind w:left="720" w:hanging="720"/>
      </w:pPr>
      <w:bookmarkStart w:id="89" w:name="_TOC000028"/>
      <w:r>
        <w:fldChar w:fldCharType="begin"/>
        <w:instrText xml:space="preserve">XE "Mehrfach ungesättigte Fettsäuren" \G </w:instrText>
        <w:fldChar w:fldCharType="end"/>
        <w:t xml:space="preserve">Mehrfach ungesättigte </w:t>
        <w:fldChar w:fldCharType="begin"/>
        <w:instrText xml:space="preserve">XE "Fettsäuren" \G </w:instrText>
        <w:fldChar w:fldCharType="end"/>
        <w:t>Fettsäuren</w:t>
      </w:r>
      <w:bookmarkEnd w:id="85"/>
      <w:r/>
      <w:bookmarkEnd w:id="84"/>
      <w:r/>
      <w:bookmarkEnd w:id="88"/>
      <w:r/>
      <w:bookmarkEnd w:id="89"/>
      <w:r/>
    </w:p>
    <w:p>
      <w:r>
        <w:t xml:space="preserve">Mehrfach ungesättigte </w:t>
        <w:fldChar w:fldCharType="begin"/>
        <w:instrText xml:space="preserve">XE "Fettsäuren" \G </w:instrText>
        <w:fldChar w:fldCharType="end"/>
        <w:t xml:space="preserve">Fettsäuren werden für verschiedene Körperfunktionen benötigt, darunter als essenzielle Bausteine für Zellmembranen, für das Gehirn und die Blutgefäße. Sie sind wichtig für die Regulierung von Blutdruck und Blutgerinnung, für das Immunsystem sowie für die </w:t>
        <w:fldChar w:fldCharType="begin"/>
        <w:instrText xml:space="preserve">XE "Fettsäuren" \G </w:instrText>
        <w:fldChar w:fldCharType="end"/>
        <w:t xml:space="preserve">Fettsäuren-Balance, was Entzündungen vorbeugen kann. Zudem sind sie unerlässlich für Wachstum und Entwicklung, insbesondere bei Föten und Kindern. </w:t>
      </w:r>
    </w:p>
    <w:p>
      <w:r>
        <w:t xml:space="preserve">Generell unterscheidet man die mehrfach ungesättigten </w:t>
        <w:fldChar w:fldCharType="begin"/>
        <w:instrText xml:space="preserve">XE "Fettsäuren" \G </w:instrText>
        <w:fldChar w:fldCharType="end"/>
        <w:t>Fettsäuren in Omega-3- und Omega-6-</w:t>
        <w:fldChar w:fldCharType="begin"/>
        <w:instrText xml:space="preserve">XE "Fettsäuren" \G </w:instrText>
        <w:fldChar w:fldCharType="end"/>
        <w:t>Fettsäuren, die beide lebenswichtig sind.</w:t>
      </w:r>
    </w:p>
    <w:p>
      <w:pPr>
        <w:pStyle w:val="para4"/>
        <w:numPr>
          <w:ilvl w:val="3"/>
          <w:numId w:val="1"/>
        </w:numPr>
        <w:ind w:left="1077" w:hanging="1077"/>
      </w:pPr>
      <w:bookmarkStart w:id="90" w:name="_TOC000024"/>
      <w:r>
        <w:t>Omega-3-</w:t>
        <w:fldChar w:fldCharType="begin"/>
        <w:instrText xml:space="preserve">XE "Fettsäuren" \G </w:instrText>
        <w:fldChar w:fldCharType="end"/>
        <w:t>Fettsäuren</w:t>
      </w:r>
      <w:bookmarkEnd w:id="90"/>
      <w:r/>
    </w:p>
    <w:p>
      <w:r>
        <w:t>Omega-3-</w:t>
        <w:fldChar w:fldCharType="begin"/>
        <w:instrText xml:space="preserve">XE "Fettsäuren" \G </w:instrText>
        <w:fldChar w:fldCharType="end"/>
        <w:t xml:space="preserve">Fettsäuren sind für die Zellfunktion unerlässlich, da sie Bestandteil der Zellmembran sind und deren Flexibilität und Durchlässigkeit beeinflussen. Sie helfen den Zellen, Informationen auszutauschen, Nährstoffe aufzunehmen und Abfallstoffe abzusondern. </w:t>
      </w:r>
    </w:p>
    <w:p>
      <w:pPr>
        <w:pStyle w:val="para17"/>
        <w:numPr>
          <w:ilvl w:val="1"/>
          <w:numId w:val="2"/>
        </w:numPr>
        <w:ind w:left="397" w:hanging="197"/>
        <w:spacing w:after="20"/>
      </w:pPr>
      <w:r>
        <w:t>Omega-3-</w:t>
        <w:fldChar w:fldCharType="begin"/>
        <w:instrText xml:space="preserve">XE "Fettsäuren" \G </w:instrText>
        <w:fldChar w:fldCharType="end"/>
        <w:t xml:space="preserve">Fettsäuren, insbesondere EPA und DHA, werden in die Membranen aller Zellen eingebaut, einschließlich der Bindegewebszellen. </w:t>
      </w:r>
    </w:p>
    <w:p>
      <w:pPr>
        <w:pStyle w:val="para17"/>
        <w:numPr>
          <w:ilvl w:val="1"/>
          <w:numId w:val="2"/>
        </w:numPr>
        <w:ind w:left="397" w:hanging="197"/>
        <w:spacing w:after="20"/>
      </w:pPr>
      <w:r>
        <w:t xml:space="preserve">Dieser Einbau macht die Zellmembranen flexibler und elastischer, was die Durchlässigkeit für Stoffe verbessert und den Transport durch den Körper optimiert. </w:t>
      </w:r>
    </w:p>
    <w:p>
      <w:pPr>
        <w:pStyle w:val="para17"/>
        <w:numPr>
          <w:ilvl w:val="1"/>
          <w:numId w:val="2"/>
        </w:numPr>
        <w:ind w:left="397" w:hanging="197"/>
        <w:spacing w:after="20"/>
      </w:pPr>
      <w:r>
        <w:t>Die Flexibilität und Elastizität der Zellen tragen dazu bei, dass die Blutgefäße widerstandsfähiger werden, die Durchblutung verbessert und Entzündungen reduziert werden.</w:t>
      </w:r>
    </w:p>
    <w:p>
      <w:pPr>
        <w:pStyle w:val="para17"/>
        <w:numPr>
          <w:ilvl w:val="1"/>
          <w:numId w:val="2"/>
        </w:numPr>
        <w:ind w:left="397" w:hanging="197"/>
        <w:spacing w:after="20"/>
      </w:pPr>
      <w:r>
        <w:t>Omega-3-</w:t>
        <w:fldChar w:fldCharType="begin"/>
        <w:instrText xml:space="preserve">XE "Fettsäuren" \G </w:instrText>
        <w:fldChar w:fldCharType="end"/>
        <w:t>Fettsäuren liefern dem Körper Energie und werden zur Bildung von Eicosanoiden verwendet, die Signalmoleküle sind und verschiedene Funktionen im Körper regulieren.</w:t>
      </w:r>
    </w:p>
    <w:p>
      <w:pPr>
        <w:pStyle w:val="para17"/>
        <w:numPr>
          <w:ilvl w:val="1"/>
          <w:numId w:val="2"/>
        </w:numPr>
        <w:ind w:left="397" w:hanging="197"/>
        <w:spacing w:after="20"/>
      </w:pPr>
      <w:r>
        <w:t>Omega-3-</w:t>
        <w:fldChar w:fldCharType="begin"/>
        <w:instrText xml:space="preserve">XE "Fettsäuren" \G </w:instrText>
        <w:fldChar w:fldCharType="end"/>
        <w:t>Fettsäuren spielen eine Rolle bei der Zellkommunikation, indem sie die Aktivität membranassoziierter Enzyme und Signalwege beeinflussen.</w:t>
      </w:r>
    </w:p>
    <w:p>
      <w:pPr>
        <w:pStyle w:val="para17"/>
        <w:numPr>
          <w:ilvl w:val="1"/>
          <w:numId w:val="2"/>
        </w:numPr>
        <w:ind w:left="397" w:hanging="197"/>
        <w:spacing w:after="20"/>
      </w:pPr>
      <w:r>
        <w:t>Omega-3-</w:t>
        <w:fldChar w:fldCharType="begin"/>
        <w:instrText xml:space="preserve">XE "Fettsäuren" \G </w:instrText>
        <w:fldChar w:fldCharType="end"/>
        <w:t>Fettsäuren helfen, entzündungsfördernde Stoffe zu reduzieren und entzündungshemmende Stoffe zu produzieren, was für die Gesundheit des Bindegewebes wichtig ist.</w:t>
      </w:r>
    </w:p>
    <w:p>
      <w:r>
        <w:rPr>
          <w:noProof/>
        </w:rPr>
        <mc:AlternateContent>
          <mc:Choice Requires="wps">
            <w:drawing>
              <wp:anchor distT="89535" distB="89535" distL="89535" distR="89535" simplePos="0" relativeHeight="251658307" behindDoc="0" locked="0" layoutInCell="0" hidden="0" allowOverlap="1">
                <wp:simplePos x="0" y="0"/>
                <wp:positionH relativeFrom="column">
                  <wp:posOffset>3994150</wp:posOffset>
                </wp:positionH>
                <wp:positionV relativeFrom="paragraph">
                  <wp:posOffset>956945</wp:posOffset>
                </wp:positionV>
                <wp:extent cx="1733550" cy="1069340"/>
                <wp:effectExtent l="0" t="0" r="0" b="0"/>
                <wp:wrapSquare wrapText="bothSides"/>
                <wp:docPr id="67" name="Textbox17"/>
                <wp:cNvGraphicFramePr/>
                <a:graphic xmlns:a="http://schemas.openxmlformats.org/drawingml/2006/main">
                  <a:graphicData uri="http://schemas.microsoft.com/office/word/2010/wordprocessingShape">
                    <wps:wsp>
                      <wps:cNvSpPr txBox="1">
                        <a:codePr string="" type="161218559" text="1"/>
                        <a:extLst>
                          <a:ext uri="sm">
                            <sm:smNativeData xmlns:sm="sm" val="SMDATA_15_E0dOa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HAGAAB8LgAAyE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LoCAAAAogAAAAAAAAAAAAABAAAAAgAAAJIYAAABAAAAAgAAAOMFAACqCgAAlAYAACgAAwBSIAAAbAsAACgAAAAIAAAAAQAAAAIAAAAwAAAAFAAAAAAAAAAAAP//AAABAAAA//8AAAEA"/>
                          </a:ext>
                        </a:extLst>
                      </wps:cNvSpPr>
                      <wps:spPr>
                        <a:xfrm>
                          <a:off x="0" y="0"/>
                          <a:ext cx="1733550" cy="1069340"/>
                        </a:xfrm>
                        <a:prstGeom prst="rect">
                          <a:avLst/>
                        </a:prstGeom>
                        <a:noFill/>
                        <a:ln w="12700">
                          <a:noFill/>
                        </a:ln>
                      </wps:spPr>
                      <wps:txbx>
                        <w:txbxContent>
                          <w:p>
                            <w:pPr>
                              <w:spacing/>
                              <w:jc w:val="left"/>
                            </w:pPr>
                            <w:r>
                              <w:t>Bild-Quelle:</w:t>
                            </w:r>
                          </w:p>
                          <w:p>
                            <w:pPr>
                              <w:spacing/>
                              <w:jc w:val="left"/>
                            </w:pPr>
                            <w:r>
                              <w:t>Herbert Steffny,</w:t>
                            </w:r>
                          </w:p>
                          <w:p>
                            <w:pPr>
                              <w:spacing/>
                              <w:jc w:val="left"/>
                            </w:pPr>
                            <w:r>
                              <w:t>Dr. Wolfgang Feil:</w:t>
                            </w:r>
                          </w:p>
                          <w:p>
                            <w:pPr>
                              <w:spacing/>
                              <w:jc w:val="left"/>
                            </w:pPr>
                            <w:r>
                              <w:t>Die Lauf-Diät, Seite 29</w:t>
                            </w:r>
                          </w:p>
                        </w:txbxContent>
                      </wps:txbx>
                      <wps:bodyPr spcFirstLastPara="1" vertOverflow="clip" horzOverflow="clip" upright="1">
                        <a:prstTxWarp prst="textNoShape">
                          <a:avLst/>
                        </a:prstTxWarp>
                        <a:spAutoFit/>
                      </wps:bodyPr>
                    </wps:wsp>
                  </a:graphicData>
                </a:graphic>
              </wp:anchor>
            </w:drawing>
          </mc:Choice>
          <mc:Fallback>
            <w:pict>
              <v:shape id="Textbox17" o:spid="_x0000_s1031" type="#_x0000_t202" style="position:absolute;margin-left:314.50pt;margin-top:75.35pt;width:136.50pt;height:84.20pt;z-index:251658307;mso-wrap-distance-left:7.05pt;mso-wrap-distance-top:7.05pt;mso-wrap-distance-right:7.05pt;mso-wrap-distance-bottom:7.05pt;mso-wrap-style:square" stroked="f" filled="f" v:ext="SMDATA_15_E0dOa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HAGAAB8LgAAyE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LoCAAAAogAAAAAAAAAAAAABAAAAAgAAAJIYAAABAAAAAgAAAOMFAACqCgAAlAYAACgAAwBSIAAAbAsAACgAAAAIAAAAAQAAAAIAAAAwAAAAFAAAAAAAAAAAAP//AAABAAAA//8AAAEA" o:insetmode="custom">
                <w10:wrap type="square" anchorx="text" anchory="text"/>
                <v:textbox style="mso-fit-shape-to-text:t" inset="2.8pt,2.8pt,2.8pt,2.8pt">
                  <w:txbxContent>
                    <w:p>
                      <w:pPr>
                        <w:spacing/>
                        <w:jc w:val="left"/>
                      </w:pPr>
                      <w:r>
                        <w:t>Bild-Quelle:</w:t>
                      </w:r>
                    </w:p>
                    <w:p>
                      <w:pPr>
                        <w:spacing/>
                        <w:jc w:val="left"/>
                      </w:pPr>
                      <w:r>
                        <w:t>Herbert Steffny,</w:t>
                      </w:r>
                    </w:p>
                    <w:p>
                      <w:pPr>
                        <w:spacing/>
                        <w:jc w:val="left"/>
                      </w:pPr>
                      <w:r>
                        <w:t>Dr. Wolfgang Feil:</w:t>
                      </w:r>
                    </w:p>
                    <w:p>
                      <w:pPr>
                        <w:spacing/>
                        <w:jc w:val="left"/>
                      </w:pPr>
                      <w:r>
                        <w:t>Die Lauf-Diät, Seite 29</w:t>
                      </w:r>
                    </w:p>
                  </w:txbxContent>
                </v:textbox>
              </v:shape>
            </w:pict>
          </mc:Fallback>
        </mc:AlternateContent>
      </w:r>
      <w:r>
        <w:rPr>
          <w:noProof/>
        </w:rPr>
        <w:drawing>
          <wp:inline distT="0" distB="0" distL="0" distR="0">
            <wp:extent cx="3814445" cy="2477135"/>
            <wp:effectExtent l="0" t="0" r="0" b="0"/>
            <wp:docPr id="10" name="Grafik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13"/>
                    <pic:cNvPicPr>
                      <a:picLocks noChangeAspect="1"/>
                      <a:codePr string="" type="65535"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HcXAAA9DwAAdxcAAD0P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5AgAAB6IAAAAAAAAAAAAAAQAAAAAAAAAAAAAAAQAAAAAAAAAAAAAAdxcAAD0PAAAAAAAAAAAAAAAAAAAoAAAACAAAAAEAAAABAAAAMAAAABQAAAAAAAAAAAD//wAAAQAAAP//AAABAA=="/>
                        </a:ext>
                      </a:extLst>
                    </pic:cNvPicPr>
                  </pic:nvPicPr>
                  <pic:blipFill>
                    <a:blip r:embed="rId51"/>
                    <a:stretch>
                      <a:fillRect/>
                    </a:stretch>
                  </pic:blipFill>
                  <pic:spPr>
                    <a:xfrm>
                      <a:off x="0" y="0"/>
                      <a:ext cx="3814445" cy="2477135"/>
                    </a:xfrm>
                    <a:prstGeom prst="rect">
                      <a:avLst/>
                    </a:prstGeom>
                    <a:noFill/>
                    <a:ln w="12700">
                      <a:noFill/>
                    </a:ln>
                  </pic:spPr>
                </pic:pic>
              </a:graphicData>
            </a:graphic>
          </wp:inline>
        </w:drawing>
      </w:r>
      <w:r/>
    </w:p>
    <w:p>
      <w:pPr>
        <w:pStyle w:val="para5"/>
        <w:numPr>
          <w:ilvl w:val="4"/>
          <w:numId w:val="1"/>
        </w:numPr>
        <w:ind w:left="1134" w:hanging="1134"/>
      </w:pPr>
      <w:bookmarkStart w:id="91" w:name="_TOC000096"/>
      <w:r/>
      <w:bookmarkStart w:id="92" w:name="_TOC000025"/>
      <w:r/>
      <w:bookmarkStart w:id="93" w:name="_TOC000093"/>
      <w:r/>
      <w:bookmarkEnd w:id="92"/>
      <w:r/>
      <w:bookmarkEnd w:id="93"/>
      <w:r/>
      <w:bookmarkEnd w:id="91"/>
      <w:r/>
      <w:bookmarkStart w:id="94" w:name="_TOC000026"/>
      <w:r>
        <w:t>Lebensmittel mit Omega-3-Zusatz</w:t>
      </w:r>
      <w:bookmarkEnd w:id="94"/>
      <w:r/>
    </w:p>
    <w:p>
      <w:pPr>
        <w:rPr>
          <w:rFonts w:ascii="Cambria" w:hAnsi="Cambria"/>
          <w:sz w:val="14"/>
          <w:szCs w:val="14"/>
          <w:vertAlign w:val="superscript"/>
        </w:rPr>
      </w:pPr>
      <w:r>
        <w:rPr>
          <w:sz w:val="14"/>
          <w:szCs w:val="14"/>
        </w:rPr>
        <w:t>Quelle: https://www.ndr.de/ratgeber/gesundheit/Lebenswichtige-Omega-3-Fettsaeuren-Richtige-Dosierung-entscheidend,fettsaeuren100.html</w:t>
      </w:r>
      <w:r>
        <w:rPr>
          <w:rFonts w:ascii="Cambria" w:hAnsi="Cambria"/>
          <w:sz w:val="14"/>
          <w:szCs w:val="14"/>
          <w:vertAlign w:val="superscript"/>
        </w:rPr>
      </w:r>
    </w:p>
    <w:p>
      <w:r>
        <w:t>Die Lebensmittelindustrie hat Omega-3-</w:t>
        <w:fldChar w:fldCharType="begin"/>
        <w:instrText xml:space="preserve">XE "Fettsäuren" \G </w:instrText>
        <w:fldChar w:fldCharType="end"/>
        <w:t>Fettsäuren als Vermarktungsfaktor für sich entdeckt und fügt Algenextrakte (EPA/DHA) inzwischen vielen Nahrungsmitteln hinzu, von Sojamilch über Küchenöle ("Omega-3-Öl") bis zur Panade von Fischstäbchen. Das erhöht den Preis für solche Produkte, es macht aber aus einem ungesunden Lebensmittel kein gesundes. So sind "Omega-Öle" im Verkauf, die hauptsächlich aus billigem Sonnenblumenöl bestehen, also viel Omega-6 liefern - und die Dosierung des zugesetzten EPA/DHA einzuschätzen ist oft schwierig.</w:t>
      </w:r>
    </w:p>
    <w:p>
      <w:pPr>
        <w:pStyle w:val="para4"/>
        <w:numPr>
          <w:ilvl w:val="3"/>
          <w:numId w:val="1"/>
        </w:numPr>
        <w:ind w:left="1077" w:hanging="1077"/>
      </w:pPr>
      <w:bookmarkStart w:id="95" w:name="_TOC000027"/>
      <w:r>
        <w:t>Omega-6-</w:t>
        <w:fldChar w:fldCharType="begin"/>
        <w:instrText xml:space="preserve">XE "Fettsäuren" \G </w:instrText>
        <w:fldChar w:fldCharType="end"/>
        <w:t>Fettsäuren</w:t>
      </w:r>
      <w:bookmarkEnd w:id="95"/>
      <w:r/>
    </w:p>
    <w:p>
      <w:r>
        <w:rPr>
          <w:noProof/>
        </w:rPr>
        <w:drawing>
          <wp:anchor distT="89535" distB="36195" distL="89535" distR="89535" simplePos="0" relativeHeight="251658282" behindDoc="0" locked="0" layoutInCell="0" hidden="0" allowOverlap="1">
            <wp:simplePos x="0" y="0"/>
            <wp:positionH relativeFrom="column">
              <wp:posOffset>3711575</wp:posOffset>
            </wp:positionH>
            <wp:positionV relativeFrom="paragraph">
              <wp:posOffset>822960</wp:posOffset>
            </wp:positionV>
            <wp:extent cx="1804035" cy="1560195"/>
            <wp:effectExtent l="0" t="0" r="0" b="0"/>
            <wp:wrapSquare wrapText="bothSides"/>
            <wp:docPr id="42" name="Grafik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fik27"/>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AgAAAKIAAAAAAAAAAAAAAQAAAAIAAADVFgAAAQAAAAIAAAAQBQAAGQsAAJkJAAAoAAMAlR4AAKQnAAAoAAAACAAAAAEAAAABAAAAMAAAABQAAAAAAAAAAAD//wAAAQAAAP//AAABAA=="/>
                        </a:ext>
                      </a:extLst>
                    </pic:cNvPicPr>
                  </pic:nvPicPr>
                  <pic:blipFill>
                    <a:blip r:embed="rId52"/>
                    <a:stretch>
                      <a:fillRect/>
                    </a:stretch>
                  </pic:blipFill>
                  <pic:spPr>
                    <a:xfrm>
                      <a:off x="0" y="0"/>
                      <a:ext cx="1804035" cy="1560195"/>
                    </a:xfrm>
                    <a:prstGeom prst="rect">
                      <a:avLst/>
                    </a:prstGeom>
                    <a:noFill/>
                    <a:ln w="12700">
                      <a:noFill/>
                    </a:ln>
                  </pic:spPr>
                </pic:pic>
              </a:graphicData>
            </a:graphic>
          </wp:anchor>
        </w:drawing>
      </w:r>
      <w:r>
        <w:t>Omega-6-</w:t>
        <w:fldChar w:fldCharType="begin"/>
        <w:instrText xml:space="preserve">XE "Fettsäuren" \G </w:instrText>
        <w:fldChar w:fldCharType="end"/>
        <w:t xml:space="preserve">Fettsäuren sind mehrfach ungesättigte </w:t>
        <w:fldChar w:fldCharType="begin"/>
        <w:instrText xml:space="preserve">XE "Fettsäuren" \G </w:instrText>
        <w:fldChar w:fldCharType="end"/>
        <w:t xml:space="preserve">Fettsäuren, die der Körper nicht selbst herstellen kann und daher über die Nahrung aufgenommen werden müssen. Sie sind wichtig für zahlreiche Funktionen, darunter die Bildung von Zellmembranen, die Produktion von Gewebshormonen und die Regulation von Entzündungsreaktionen. </w:t>
      </w:r>
    </w:p>
    <w:p>
      <w:r>
        <w:t>Wichtige Omega-6-</w:t>
        <w:fldChar w:fldCharType="begin"/>
        <w:instrText xml:space="preserve">XE "Fettsäuren" \G </w:instrText>
        <w:fldChar w:fldCharType="end"/>
        <w:t>Fettsäuren:</w:t>
      </w:r>
    </w:p>
    <w:p>
      <w:pPr>
        <w:pStyle w:val="para17"/>
        <w:numPr>
          <w:ilvl w:val="1"/>
          <w:numId w:val="2"/>
        </w:numPr>
        <w:ind w:left="397" w:hanging="197"/>
        <w:contextualSpacing/>
      </w:pPr>
      <w:r>
        <w:fldChar w:fldCharType="begin"/>
        <w:instrText xml:space="preserve">XE "Linolsäure" \G </w:instrText>
        <w:fldChar w:fldCharType="end"/>
        <w:t>Linolsäure (LA): Die wichtigste Omega-6-Fettsäure</w:t>
      </w:r>
    </w:p>
    <w:p>
      <w:pPr>
        <w:pStyle w:val="para17"/>
        <w:numPr>
          <w:ilvl w:val="1"/>
          <w:numId w:val="2"/>
        </w:numPr>
        <w:ind w:left="397" w:hanging="197"/>
        <w:contextualSpacing/>
      </w:pPr>
      <w:r>
        <w:t>Gamma-Linolensäure (GLA): Wichtig für die Bildung anderer Omega-6-</w:t>
        <w:fldChar w:fldCharType="begin"/>
        <w:instrText xml:space="preserve">XE "Fettsäuren" \G </w:instrText>
        <w:fldChar w:fldCharType="end"/>
        <w:t>Fettsäuren</w:t>
      </w:r>
    </w:p>
    <w:p>
      <w:pPr>
        <w:pStyle w:val="para17"/>
        <w:numPr>
          <w:ilvl w:val="1"/>
          <w:numId w:val="2"/>
        </w:numPr>
        <w:ind w:left="397" w:hanging="197"/>
        <w:contextualSpacing/>
      </w:pPr>
      <w:r>
        <w:t xml:space="preserve">Dihomo-Gamma-Linolensäure (DHGLA): Vorstufe der </w:t>
        <w:fldChar w:fldCharType="begin"/>
        <w:instrText xml:space="preserve">XE "Arachidonsäure" \G </w:instrText>
        <w:fldChar w:fldCharType="end"/>
        <w:t>Arachidonsäure</w:t>
      </w:r>
    </w:p>
    <w:p>
      <w:pPr>
        <w:pStyle w:val="para17"/>
        <w:numPr>
          <w:ilvl w:val="1"/>
          <w:numId w:val="2"/>
        </w:numPr>
        <w:ind w:left="397" w:hanging="197"/>
        <w:contextualSpacing/>
      </w:pPr>
      <w:r>
        <w:fldChar w:fldCharType="begin"/>
        <w:instrText xml:space="preserve">XE "Arachidonsäure" \G </w:instrText>
        <w:fldChar w:fldCharType="end"/>
        <w:t xml:space="preserve">Arachidonsäure (AA): Aus ihr werden Gewebehormone gebaut – die Eicosanoide. </w:t>
      </w:r>
    </w:p>
    <w:p>
      <w:r>
        <w:t>Omega-6-</w:t>
        <w:fldChar w:fldCharType="begin"/>
        <w:instrText xml:space="preserve">XE "Fettsäuren" \G </w:instrText>
        <w:fldChar w:fldCharType="end"/>
        <w:t xml:space="preserve">Fettsäuren, insbesondere </w:t>
        <w:fldChar w:fldCharType="begin"/>
        <w:instrText xml:space="preserve">XE "Arachidonsäure" \G </w:instrText>
        <w:fldChar w:fldCharType="end"/>
        <w:t xml:space="preserve">Arachidonsäure, können entzündungsfördernde Eicosanoide bilden und so an Entzündungsreaktionen beteiligt sein. </w:t>
      </w:r>
    </w:p>
    <w:p>
      <w:r>
        <w:t>Eine übermäßige Zufuhr von Omega-6-</w:t>
        <w:fldChar w:fldCharType="begin"/>
        <w:instrText xml:space="preserve">XE "Fettsäuren" \G </w:instrText>
        <w:fldChar w:fldCharType="end"/>
        <w:t>Fettsäuren, insbesondere im Verhältnis zu Omega-3-</w:t>
        <w:fldChar w:fldCharType="begin"/>
        <w:instrText xml:space="preserve">XE "Fettsäuren" \G </w:instrText>
        <w:fldChar w:fldCharType="end"/>
        <w:t xml:space="preserve">Fettsäuren, kann zu einem erhöhten Risiko für Entzündungsreaktionen und andere gesundheitliche Probleme führen. </w:t>
      </w:r>
    </w:p>
    <w:p>
      <w:pPr>
        <w:pStyle w:val="para5"/>
        <w:numPr>
          <w:ilvl w:val="4"/>
          <w:numId w:val="1"/>
        </w:numPr>
        <w:ind w:left="1134" w:hanging="1134"/>
      </w:pPr>
      <w:bookmarkStart w:id="96" w:name="_TOC000013"/>
      <w:r>
        <w:fldChar w:fldCharType="begin"/>
        <w:instrText xml:space="preserve">XE "Linolsäure" \G </w:instrText>
        <w:fldChar w:fldCharType="end"/>
        <w:t>Linolsäure</w:t>
      </w:r>
      <w:bookmarkEnd w:id="96"/>
      <w:r/>
    </w:p>
    <w:p>
      <w:r>
        <w:fldChar w:fldCharType="begin"/>
        <w:instrText xml:space="preserve">XE "Linolsäure" \G </w:instrText>
        <w:fldChar w:fldCharType="end"/>
        <w:t>Linolsäure zählt zu den Omega-6-</w:t>
        <w:fldChar w:fldCharType="begin"/>
        <w:instrText xml:space="preserve">XE "Fettsäuren" \G </w:instrText>
        <w:fldChar w:fldCharType="end"/>
        <w:t>Fettsäuren. Sie wird leicht mit der Alpha-Linolensäure verwechselt, die jedoch zu den Omega-3-</w:t>
        <w:fldChar w:fldCharType="begin"/>
        <w:instrText xml:space="preserve">XE "Fettsäuren" \G </w:instrText>
        <w:fldChar w:fldCharType="end"/>
        <w:t xml:space="preserve">Fettsäuren gehört. </w:t>
        <w:fldChar w:fldCharType="begin"/>
        <w:instrText xml:space="preserve">XE "Linolsäure" \G </w:instrText>
        <w:fldChar w:fldCharType="end"/>
        <w:t>Linolsäure muss über die Nahrung aufgenommen werden, da sie nicht vom Körper selbst hergestellt werden kann.</w:t>
      </w:r>
    </w:p>
    <w:p>
      <w:r>
        <w:t xml:space="preserve">Für unseren Organismus erfüllt </w:t>
        <w:fldChar w:fldCharType="begin"/>
        <w:instrText xml:space="preserve">XE "Linolsäure" \G </w:instrText>
        <w:fldChar w:fldCharType="end"/>
        <w:t xml:space="preserve">Linolsäure wertvolle Funktionen. So wäre ohne sie zum Beispiel die Synthese anderer mehrfach ungesättigter </w:t>
        <w:fldChar w:fldCharType="begin"/>
        <w:instrText xml:space="preserve">XE "Fettsäuren" \G </w:instrText>
        <w:fldChar w:fldCharType="end"/>
        <w:t>Fettsäuren nicht möglich. Zudem ist sie ein maßgeblicher Bestandteil unserer Haut und trägt als solcher dazu bei, unseren Wasserhaushalt zu regulieren.</w:t>
      </w:r>
    </w:p>
    <w:p>
      <w:r>
        <w:fldChar w:fldCharType="begin"/>
        <w:instrText xml:space="preserve">XE "Linolsäure" \G </w:instrText>
        <w:fldChar w:fldCharType="end"/>
        <w:t xml:space="preserve">Linolsäure kommt in pflanzlichen Ölen und in tierischen Fetten vor (Bestandteil von Triglyceriden). Zu Lebensmitteln, die besonders reich an </w:t>
        <w:fldChar w:fldCharType="begin"/>
        <w:instrText xml:space="preserve">XE "Linolsäure" \G </w:instrText>
        <w:fldChar w:fldCharType="end"/>
        <w:t>Linolsäure sind, zählen u.a.:</w:t>
      </w:r>
    </w:p>
    <w:p>
      <w:pPr>
        <w:pStyle w:val="para17"/>
        <w:numPr>
          <w:ilvl w:val="1"/>
          <w:numId w:val="2"/>
        </w:numPr>
        <w:ind w:left="397" w:hanging="197"/>
      </w:pPr>
      <w:r>
        <w:t>pflanzliche Öle</w:t>
      </w:r>
    </w:p>
    <w:p>
      <w:pPr>
        <w:pStyle w:val="para28"/>
        <w:numPr>
          <w:ilvl w:val="1"/>
          <w:numId w:val="2"/>
        </w:numPr>
        <w:ind w:left="680" w:hanging="197"/>
      </w:pPr>
      <w:r>
        <w:t xml:space="preserve">Safloröl (ca. 55–81% </w:t>
        <w:fldChar w:fldCharType="begin"/>
        <w:instrText xml:space="preserve">XE "Linolsäure" \G </w:instrText>
        <w:fldChar w:fldCharType="end"/>
        <w:t>Linolsäure)</w:t>
      </w:r>
    </w:p>
    <w:p>
      <w:pPr>
        <w:pStyle w:val="para28"/>
        <w:numPr>
          <w:ilvl w:val="1"/>
          <w:numId w:val="2"/>
        </w:numPr>
        <w:ind w:left="680" w:hanging="197"/>
      </w:pPr>
      <w:r>
        <w:t>Sonnenblumenöl (20–75%)</w:t>
      </w:r>
    </w:p>
    <w:p>
      <w:pPr>
        <w:pStyle w:val="para28"/>
        <w:numPr>
          <w:ilvl w:val="1"/>
          <w:numId w:val="2"/>
        </w:numPr>
        <w:ind w:left="680" w:hanging="197"/>
      </w:pPr>
      <w:r>
        <w:t>Sojaöl (49-57%)</w:t>
      </w:r>
    </w:p>
    <w:p>
      <w:pPr>
        <w:pStyle w:val="para28"/>
        <w:numPr>
          <w:ilvl w:val="1"/>
          <w:numId w:val="2"/>
        </w:numPr>
        <w:ind w:left="680" w:hanging="197"/>
      </w:pPr>
      <w:r>
        <w:t>Maiskeimöl (34-62%)</w:t>
      </w:r>
    </w:p>
    <w:p>
      <w:pPr>
        <w:pStyle w:val="para28"/>
        <w:numPr>
          <w:ilvl w:val="1"/>
          <w:numId w:val="2"/>
        </w:numPr>
        <w:ind w:left="680" w:hanging="197"/>
      </w:pPr>
      <w:r>
        <w:fldChar w:fldCharType="begin"/>
        <w:instrText xml:space="preserve">XE "Olivenöl" \G </w:instrText>
        <w:fldChar w:fldCharType="end"/>
        <w:t>Olivenöl (3–20%)</w:t>
      </w:r>
    </w:p>
    <w:p>
      <w:pPr>
        <w:pStyle w:val="para17"/>
        <w:numPr>
          <w:ilvl w:val="1"/>
          <w:numId w:val="2"/>
        </w:numPr>
        <w:ind w:left="397" w:hanging="197"/>
      </w:pPr>
      <w:r>
        <w:t>fettreiche Wurst, fettes Fleisch</w:t>
      </w:r>
    </w:p>
    <w:p>
      <w:pPr>
        <w:pStyle w:val="para17"/>
        <w:numPr>
          <w:ilvl w:val="1"/>
          <w:numId w:val="2"/>
        </w:numPr>
        <w:ind w:left="397" w:hanging="197"/>
      </w:pPr>
      <w:r>
        <w:t>Margarine</w:t>
      </w:r>
    </w:p>
    <w:p>
      <w:pPr>
        <w:pStyle w:val="para17"/>
        <w:numPr>
          <w:ilvl w:val="1"/>
          <w:numId w:val="2"/>
        </w:numPr>
        <w:ind w:left="397" w:hanging="197"/>
      </w:pPr>
      <w:r>
        <w:t>Nüsse, Mandeln</w:t>
      </w:r>
    </w:p>
    <w:p>
      <w:pPr>
        <w:pStyle w:val="para5"/>
        <w:numPr>
          <w:ilvl w:val="4"/>
          <w:numId w:val="1"/>
        </w:numPr>
        <w:ind w:left="1134" w:hanging="1134"/>
      </w:pPr>
      <w:bookmarkStart w:id="97" w:name="_TOC000089"/>
      <w:r>
        <w:fldChar w:fldCharType="begin"/>
        <w:instrText xml:space="preserve">XE "Arachidonsäure" \G </w:instrText>
        <w:fldChar w:fldCharType="end"/>
        <w:t>Arachidonsäure</w:t>
      </w:r>
      <w:bookmarkEnd w:id="97"/>
      <w:r/>
    </w:p>
    <w:p>
      <w:r>
        <w:fldChar w:fldCharType="begin"/>
        <w:instrText xml:space="preserve">XE "Arachidonsäure" \G </w:instrText>
        <w:fldChar w:fldCharType="end"/>
        <w:t>Arachidonsäure ist eine entzündungsfördernde Omega-6-Fettsäure, die in tierischen Produkten vorkommt und für die Synthese von Prostaglandinen und Leukotrienen wichtig ist, welche Entzündungsprozesse im Körper steuern.</w:t>
      </w:r>
    </w:p>
    <w:p>
      <w:r>
        <w:t>Sie ist Baustein der Zellmembranen, aber vor allem dient sie als Vorstufe von Entzündungsbotenstoffen und kann bei einem Übermaß zu unerwünschten Entzündungen, insbesondere bei bestehenden Gelenkbeschwerden oder Stoffwechselstörungen, beitragen.</w:t>
      </w:r>
    </w:p>
    <w:p>
      <w:r>
        <w:t xml:space="preserve">Menschen, die unter entzündlichen Gelenkerkrankungen wie Rheuma oder </w:t>
        <w:fldChar w:fldCharType="begin"/>
        <w:instrText xml:space="preserve">XE "Arthrose" \G </w:instrText>
        <w:fldChar w:fldCharType="end"/>
        <w:t xml:space="preserve">Arthrose bzw. unter Stoffwechselstörungen wie </w:t>
        <w:fldChar w:fldCharType="begin"/>
        <w:instrText xml:space="preserve">XE "Gicht" \G </w:instrText>
        <w:fldChar w:fldCharType="end"/>
        <w:t xml:space="preserve">Gicht leiden, sollten </w:t>
        <w:fldChar w:fldCharType="begin"/>
        <w:instrText xml:space="preserve">XE "Arachidonsäure" \G </w:instrText>
        <w:fldChar w:fldCharType="end"/>
        <w:t>Arachidonsäure daher nur in Maßen zu sich nehmen.</w:t>
      </w:r>
    </w:p>
    <w:p>
      <w:r>
        <w:t xml:space="preserve">In hoher Konzentration findet man die ungesättigte Fettsäure vor allem in Schweineschmalz, Leber und Speck. Aber auch andere Fleischsorten, Butter und Eigelb sind reich an </w:t>
        <w:fldChar w:fldCharType="begin"/>
        <w:instrText xml:space="preserve">XE "Arachidonsäure" \G </w:instrText>
        <w:fldChar w:fldCharType="end"/>
        <w:t>Arachidonsäure.</w:t>
      </w:r>
    </w:p>
    <w:p>
      <w:r>
        <w:t xml:space="preserve">Früher stellte die </w:t>
        <w:fldChar w:fldCharType="begin"/>
        <w:instrText xml:space="preserve">XE "Arachidonsäure" \G </w:instrText>
        <w:fldChar w:fldCharType="end"/>
        <w:t xml:space="preserve">Arachidonsäure-Menge kein Problem dar, da die meisten Tiere artgerecht im Freien gehalten wurden, viel Sonnenschein bekamen, Gras fraßen und sich bewegten. Dadurch enthielt das Fleisch der Tiere normale Arachidonsäurewerte und konnte unbedenklich verzehrt werden. Da die Fütterung mit Weizen und </w:t>
        <w:fldChar w:fldCharType="begin"/>
        <w:instrText xml:space="preserve">XE "Soja" \G </w:instrText>
        <w:fldChar w:fldCharType="end"/>
        <w:t xml:space="preserve">Soja sowie Stress durch Masttierhaltung allerdings die </w:t>
        <w:fldChar w:fldCharType="begin"/>
        <w:instrText xml:space="preserve">XE "Arachidonsäure" \G </w:instrText>
        <w:fldChar w:fldCharType="end"/>
        <w:t xml:space="preserve">Arachidonsäure-Konzentration erhöht, enthält heutiges Fleisch von Masttieren eine viel zu hohe Konzentration an </w:t>
        <w:fldChar w:fldCharType="begin"/>
        <w:instrText xml:space="preserve">XE "Arachidonsäure" \G </w:instrText>
        <w:fldChar w:fldCharType="end"/>
        <w:t xml:space="preserve">Arachidonsäure, die im Körper Entzündungen sowie Verletzungen auslöst und verlängerte Regenerationszeiten bewirkt. </w:t>
      </w:r>
    </w:p>
    <w:p>
      <w:r>
        <w:t>Setze daher auf arachidonsäurearmes Biofleisch von einem Bauernhof in der Nähe, von dem du weißt, dass sich die Tiere noch frei auf der Weide bewegen können. Generell solltest du zweimal pro Woche Fleisch sowie zwei- bis dreimal pro Woche Fisch essen. Besonders gut eignet sich Hering. Dieser ist nicht überfischt und enthält neben wertvollen Omega-3-</w:t>
        <w:fldChar w:fldCharType="begin"/>
        <w:instrText xml:space="preserve">XE "Fettsäuren" \G </w:instrText>
        <w:fldChar w:fldCharType="end"/>
        <w:t>Fettsäuren Phospholipide, die deine Regeneration fördern.</w:t>
      </w:r>
    </w:p>
    <w:p>
      <w:r>
        <w:t>Welche tierischen Lebensmittel besonders viel - oder wenig - AA liefern, zeigt folgende Tabelle.</w:t>
      </w:r>
    </w:p>
    <w:p>
      <w:r>
        <w:t xml:space="preserve">Hinweis: Die </w:t>
      </w:r>
      <w:r>
        <w:rPr>
          <w:color w:val="ff0000"/>
        </w:rPr>
        <w:t>rot gekennzeichneten Lebensmittel</w:t>
      </w:r>
      <w:r>
        <w:t xml:space="preserve"> sind besonders reich an </w:t>
        <w:fldChar w:fldCharType="begin"/>
        <w:instrText xml:space="preserve">XE "Arachidonsäure" \G </w:instrText>
        <w:fldChar w:fldCharType="end"/>
        <w:t>Arachidonsäure (mindestens 130 mg/100g).</w:t>
      </w:r>
    </w:p>
    <w:p>
      <w:pPr>
        <w:spacing w:after="120" w:line="240" w:lineRule="atLeast"/>
      </w:pPr>
      <w:bookmarkStart w:id="98" w:name="_TOC000227"/>
      <w:r>
        <w:t xml:space="preserve">Tabelle </w:t>
        <w:fldChar w:fldCharType="begin"/>
        <w:instrText xml:space="preserve">XE "Arachidonsäure" \G </w:instrText>
        <w:fldChar w:fldCharType="end"/>
        <w:t>Arachidonsäure</w:t>
      </w:r>
    </w:p>
    <w:p>
      <w:pPr>
        <w:rPr>
          <w:sz w:val="18"/>
          <w:szCs w:val="18"/>
        </w:rPr>
      </w:pPr>
      <w:r>
        <w:rPr>
          <w:sz w:val="18"/>
          <w:szCs w:val="18"/>
        </w:rPr>
        <w:t xml:space="preserve">Quelle: </w:t>
      </w:r>
      <w:hyperlink r:id="rId53" w:history="1">
        <w:r>
          <w:rPr>
            <w:rStyle w:val="char20"/>
            <w:sz w:val="18"/>
            <w:szCs w:val="18"/>
          </w:rPr>
          <w:t>https://www.eucell.de/ernaehrung/lebensmittellisten/makro-und-mikronaehrstoffgehalt/fettsaeuren/mehrfach-ungesaettigte-fettsaeuren-pufa/omega-6-fettsaeuren/arachidonsaeure</w:t>
        </w:r>
      </w:hyperlink>
      <w:r>
        <w:rPr>
          <w:sz w:val="18"/>
          <w:szCs w:val="18"/>
        </w:rPr>
        <w:t xml:space="preserve"> </w:t>
      </w:r>
      <w:r>
        <w:rPr>
          <w:sz w:val="18"/>
          <w:szCs w:val="18"/>
        </w:rPr>
        <w:t>- 13.07.2025</w:t>
      </w:r>
      <w:r>
        <w:rPr>
          <w:sz w:val="18"/>
          <w:szCs w:val="18"/>
        </w:rPr>
      </w:r>
    </w:p>
    <w:tbl>
      <w:tblPr>
        <w:tblStyle w:val="TableGrid"/>
        <w:name w:val="Tabelle5"/>
        <w:tabOrder w:val="0"/>
        <w:jc w:val="left"/>
        <w:tblInd w:w="0" w:type="dxa"/>
        <w:tblW w:w="9066" w:type="dxa"/>
        <w:pPr>
          <w:spacing/>
          <w:jc w:val="left"/>
        </w:pPr>
        <w:tblLook w:val="04A0" w:firstRow="1" w:lastRow="0" w:firstColumn="1" w:lastColumn="0" w:noHBand="0" w:noVBand="1"/>
      </w:tblPr>
      <w:tblGrid>
        <w:gridCol w:w="4533"/>
        <w:gridCol w:w="4533"/>
      </w:tblGrid>
      <w:tr>
        <w:trPr>
          <w:tblHeader w:val="0"/>
          <w:cantSplit w:val="0"/>
          <w:trHeight w:val="0" w:hRule="auto"/>
        </w:trPr>
        <w:tc>
          <w:tcPr>
            <w:tcW w:w="9066" w:type="dxa"/>
            <w:gridSpan w:val="2"/>
            <w:shd w:val="solid" w:color="DDFE87" tmshd="1677721856, 0, 8912605"/>
            <w:tcMar>
              <w:top w:w="85" w:type="dxa"/>
              <w:left w:w="85" w:type="dxa"/>
              <w:bottom w:w="85" w:type="dxa"/>
              <w:right w:w="85" w:type="dxa"/>
            </w:tcMar>
            <w:tmTcPr id="1766737683" protected="0"/>
          </w:tcPr>
          <w:p>
            <w:pPr>
              <w:rPr>
                <w:sz w:val="28"/>
                <w:szCs w:val="28"/>
              </w:rPr>
            </w:pPr>
            <w:r>
              <w:rPr>
                <w:sz w:val="28"/>
                <w:szCs w:val="28"/>
              </w:rPr>
              <w:t>Fette und Öle</w:t>
            </w:r>
          </w:p>
        </w:tc>
      </w:tr>
      <w:tr>
        <w:trPr>
          <w:tblHeader w:val="0"/>
          <w:cantSplit w:val="0"/>
          <w:trHeight w:val="0" w:hRule="auto"/>
        </w:trPr>
        <w:tc>
          <w:tcPr>
            <w:tcW w:w="4533" w:type="dxa"/>
            <w:shd w:val="solid" w:color="F0F0E0" tmshd="6553856, 14741744, 16777215"/>
            <w:tcMar>
              <w:top w:w="57" w:type="dxa"/>
              <w:left w:w="57" w:type="dxa"/>
              <w:bottom w:w="57" w:type="dxa"/>
              <w:right w:w="57" w:type="dxa"/>
            </w:tcMar>
            <w:tmTcPr id="1766737683" protected="0"/>
          </w:tcPr>
          <w:p>
            <w:pPr/>
            <w:r>
              <w:t>Lebensmittel (jeweils 100 Gramm)</w:t>
            </w:r>
          </w:p>
        </w:tc>
        <w:tc>
          <w:tcPr>
            <w:tcW w:w="4533" w:type="dxa"/>
            <w:shd w:val="solid" w:color="F0F0E0" tmshd="6553856, 14741744, 16777215"/>
            <w:tcMar>
              <w:top w:w="57" w:type="dxa"/>
              <w:left w:w="57" w:type="dxa"/>
              <w:bottom w:w="57" w:type="dxa"/>
              <w:right w:w="57" w:type="dxa"/>
            </w:tcMar>
            <w:tmTcPr id="1766737683" protected="0"/>
          </w:tcPr>
          <w:p>
            <w:pPr>
              <w:spacing/>
              <w:jc w:val="center"/>
            </w:pPr>
            <w:r>
              <w:t xml:space="preserve">Gehalt an </w:t>
            </w:r>
            <w:r>
              <w:rPr>
                <w:b/>
                <w:bCs/>
              </w:rPr>
              <w:fldChar w:fldCharType="begin"/>
              <w:instrText xml:space="preserve">XE "Arachidonsäure" \G </w:instrText>
              <w:fldChar w:fldCharType="end"/>
              <w:t>Arachidonsäure</w:t>
            </w:r>
            <w:r>
              <w:t xml:space="preserve"> (in mg)</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Schweineschmalz</w:t>
            </w:r>
          </w:p>
        </w:tc>
        <w:tc>
          <w:tcPr>
            <w:tcW w:w="4533" w:type="dxa"/>
            <w:tcMar>
              <w:top w:w="57" w:type="dxa"/>
              <w:left w:w="57" w:type="dxa"/>
              <w:bottom w:w="57" w:type="dxa"/>
              <w:right w:w="57" w:type="dxa"/>
            </w:tcMar>
            <w:tmTcPr id="1766737683" protected="0"/>
          </w:tcPr>
          <w:p>
            <w:pPr>
              <w:spacing/>
              <w:jc w:val="center"/>
              <w:rPr>
                <w:color w:val="ff0000"/>
              </w:rPr>
            </w:pPr>
            <w:r>
              <w:rPr>
                <w:color w:val="ff0000"/>
              </w:rPr>
              <w:t>1700</w:t>
            </w:r>
          </w:p>
        </w:tc>
      </w:tr>
      <w:tr>
        <w:trPr>
          <w:tblHeader w:val="0"/>
          <w:cantSplit w:val="0"/>
          <w:trHeight w:val="0" w:hRule="auto"/>
        </w:trPr>
        <w:tc>
          <w:tcPr>
            <w:tcW w:w="4533" w:type="dxa"/>
            <w:tcMar>
              <w:top w:w="57" w:type="dxa"/>
              <w:left w:w="57" w:type="dxa"/>
              <w:bottom w:w="57" w:type="dxa"/>
              <w:right w:w="57" w:type="dxa"/>
            </w:tcMar>
            <w:tmTcPr id="1766737683" protected="0"/>
          </w:tcPr>
          <w:p>
            <w:pPr/>
            <w:r>
              <w:t>Butter</w:t>
            </w:r>
          </w:p>
        </w:tc>
        <w:tc>
          <w:tcPr>
            <w:tcW w:w="4533" w:type="dxa"/>
            <w:tcMar>
              <w:top w:w="57" w:type="dxa"/>
              <w:left w:w="57" w:type="dxa"/>
              <w:bottom w:w="57" w:type="dxa"/>
              <w:right w:w="57" w:type="dxa"/>
            </w:tcMar>
            <w:tmTcPr id="1766737683" protected="0"/>
          </w:tcPr>
          <w:p>
            <w:pPr>
              <w:spacing/>
              <w:jc w:val="center"/>
            </w:pPr>
            <w:r>
              <w:t>113</w:t>
            </w:r>
          </w:p>
        </w:tc>
      </w:tr>
      <w:tr>
        <w:trPr>
          <w:tblHeader w:val="0"/>
          <w:cantSplit w:val="0"/>
          <w:trHeight w:val="0" w:hRule="auto"/>
        </w:trPr>
        <w:tc>
          <w:tcPr>
            <w:tcW w:w="4533" w:type="dxa"/>
            <w:tcMar>
              <w:top w:w="57" w:type="dxa"/>
              <w:left w:w="57" w:type="dxa"/>
              <w:bottom w:w="57" w:type="dxa"/>
              <w:right w:w="57" w:type="dxa"/>
            </w:tcMar>
            <w:tmTcPr id="1766737683" protected="0"/>
          </w:tcPr>
          <w:p>
            <w:pPr/>
            <w:r>
              <w:t>Sonnenblumenöl</w:t>
            </w:r>
          </w:p>
        </w:tc>
        <w:tc>
          <w:tcPr>
            <w:tcW w:w="4533" w:type="dxa"/>
            <w:tcMar>
              <w:top w:w="57" w:type="dxa"/>
              <w:left w:w="57" w:type="dxa"/>
              <w:bottom w:w="57" w:type="dxa"/>
              <w:right w:w="57" w:type="dxa"/>
            </w:tcMar>
            <w:tmTcPr id="1766737683" protected="0"/>
          </w:tcPr>
          <w:p>
            <w:pPr>
              <w:spacing/>
              <w:jc w:val="center"/>
            </w:pPr>
            <w:r>
              <w:t>0</w:t>
            </w:r>
          </w:p>
        </w:tc>
      </w:tr>
      <w:tr>
        <w:trPr>
          <w:tblHeader w:val="0"/>
          <w:cantSplit w:val="0"/>
          <w:trHeight w:val="0" w:hRule="auto"/>
        </w:trPr>
        <w:tc>
          <w:tcPr>
            <w:tcW w:w="4533" w:type="dxa"/>
            <w:tcMar>
              <w:top w:w="57" w:type="dxa"/>
              <w:left w:w="57" w:type="dxa"/>
              <w:bottom w:w="57" w:type="dxa"/>
              <w:right w:w="57" w:type="dxa"/>
            </w:tcMar>
            <w:tmTcPr id="1766737683" protected="0"/>
          </w:tcPr>
          <w:p>
            <w:pPr/>
            <w:r>
              <w:t>Pflanzenmargarine</w:t>
            </w:r>
          </w:p>
        </w:tc>
        <w:tc>
          <w:tcPr>
            <w:tcW w:w="4533" w:type="dxa"/>
            <w:tcMar>
              <w:top w:w="57" w:type="dxa"/>
              <w:left w:w="57" w:type="dxa"/>
              <w:bottom w:w="57" w:type="dxa"/>
              <w:right w:w="57" w:type="dxa"/>
            </w:tcMar>
            <w:tmTcPr id="1766737683" protected="0"/>
          </w:tcPr>
          <w:p>
            <w:pPr>
              <w:spacing/>
              <w:jc w:val="center"/>
            </w:pPr>
            <w:r>
              <w:t>0</w:t>
            </w:r>
          </w:p>
        </w:tc>
      </w:tr>
      <w:tr>
        <w:trPr>
          <w:tblHeader w:val="0"/>
          <w:cantSplit w:val="0"/>
          <w:trHeight w:val="0" w:hRule="auto"/>
        </w:trPr>
        <w:tc>
          <w:tcPr>
            <w:tcW w:w="4533" w:type="dxa"/>
            <w:tcMar>
              <w:top w:w="57" w:type="dxa"/>
              <w:left w:w="57" w:type="dxa"/>
              <w:bottom w:w="57" w:type="dxa"/>
              <w:right w:w="57" w:type="dxa"/>
            </w:tcMar>
            <w:tmTcPr id="1766737683" protected="0"/>
          </w:tcPr>
          <w:p>
            <w:pPr/>
            <w:r>
              <w:fldChar w:fldCharType="begin"/>
              <w:instrText xml:space="preserve">XE "Olivenöl" \G </w:instrText>
              <w:fldChar w:fldCharType="end"/>
              <w:t>Olivenöl</w:t>
            </w:r>
          </w:p>
        </w:tc>
        <w:tc>
          <w:tcPr>
            <w:tcW w:w="4533" w:type="dxa"/>
            <w:tcMar>
              <w:top w:w="57" w:type="dxa"/>
              <w:left w:w="57" w:type="dxa"/>
              <w:bottom w:w="57" w:type="dxa"/>
              <w:right w:w="57" w:type="dxa"/>
            </w:tcMar>
            <w:tmTcPr id="1766737683" protected="0"/>
          </w:tcPr>
          <w:p>
            <w:pPr>
              <w:spacing/>
              <w:jc w:val="center"/>
            </w:pPr>
            <w:r>
              <w:t>0</w:t>
            </w:r>
          </w:p>
        </w:tc>
      </w:tr>
      <w:tr>
        <w:trPr>
          <w:tblHeader w:val="0"/>
          <w:cantSplit w:val="0"/>
          <w:trHeight w:val="0" w:hRule="auto"/>
        </w:trPr>
        <w:tc>
          <w:tcPr>
            <w:tcW w:w="4533" w:type="dxa"/>
            <w:tcMar>
              <w:top w:w="57" w:type="dxa"/>
              <w:left w:w="57" w:type="dxa"/>
              <w:bottom w:w="57" w:type="dxa"/>
              <w:right w:w="57" w:type="dxa"/>
            </w:tcMar>
            <w:tmTcPr id="1766737683" protected="0"/>
          </w:tcPr>
          <w:p>
            <w:pPr/>
            <w:r>
              <w:t>Maiskeimöl</w:t>
            </w:r>
          </w:p>
        </w:tc>
        <w:tc>
          <w:tcPr>
            <w:tcW w:w="4533" w:type="dxa"/>
            <w:tcMar>
              <w:top w:w="57" w:type="dxa"/>
              <w:left w:w="57" w:type="dxa"/>
              <w:bottom w:w="57" w:type="dxa"/>
              <w:right w:w="57" w:type="dxa"/>
            </w:tcMar>
            <w:tmTcPr id="1766737683" protected="0"/>
          </w:tcPr>
          <w:p>
            <w:pPr>
              <w:spacing/>
              <w:jc w:val="center"/>
            </w:pPr>
            <w:r>
              <w:t>0</w:t>
            </w:r>
          </w:p>
        </w:tc>
      </w:tr>
      <w:tr>
        <w:trPr>
          <w:tblHeader w:val="0"/>
          <w:cantSplit w:val="0"/>
          <w:trHeight w:val="0" w:hRule="auto"/>
        </w:trPr>
        <w:tc>
          <w:tcPr>
            <w:tcW w:w="9066" w:type="dxa"/>
            <w:gridSpan w:val="2"/>
            <w:shd w:val="solid" w:color="DDFE87" tmshd="6553989, 8912605, 16777215"/>
            <w:tcMar>
              <w:top w:w="85" w:type="dxa"/>
              <w:left w:w="85" w:type="dxa"/>
              <w:bottom w:w="85" w:type="dxa"/>
              <w:right w:w="85" w:type="dxa"/>
            </w:tcMar>
            <w:tmTcPr id="1766737683" protected="0"/>
          </w:tcPr>
          <w:p>
            <w:pPr>
              <w:rPr>
                <w:sz w:val="28"/>
                <w:szCs w:val="28"/>
              </w:rPr>
            </w:pPr>
            <w:r>
              <w:rPr>
                <w:sz w:val="28"/>
                <w:szCs w:val="28"/>
              </w:rPr>
              <w:t>Fisch, Schalentiere und Muscheln</w:t>
            </w:r>
          </w:p>
        </w:tc>
      </w:tr>
      <w:tr>
        <w:trPr>
          <w:tblHeader w:val="0"/>
          <w:cantSplit w:val="0"/>
          <w:trHeight w:val="0" w:hRule="auto"/>
        </w:trPr>
        <w:tc>
          <w:tcPr>
            <w:tcW w:w="4533" w:type="dxa"/>
            <w:shd w:val="solid" w:color="F0F0E0" tmshd="6553856, 14741744, 16777215"/>
            <w:tcMar>
              <w:top w:w="57" w:type="dxa"/>
              <w:left w:w="57" w:type="dxa"/>
              <w:bottom w:w="57" w:type="dxa"/>
              <w:right w:w="57" w:type="dxa"/>
            </w:tcMar>
            <w:tmTcPr id="1766737683" protected="0"/>
          </w:tcPr>
          <w:p>
            <w:pPr/>
            <w:r>
              <w:t>Lebensmittel (jeweils 100 Gramm)</w:t>
            </w:r>
          </w:p>
        </w:tc>
        <w:tc>
          <w:tcPr>
            <w:tcW w:w="4533" w:type="dxa"/>
            <w:shd w:val="solid" w:color="F0F0E0" tmshd="6553856, 14741744, 16777215"/>
            <w:tcMar>
              <w:top w:w="57" w:type="dxa"/>
              <w:left w:w="57" w:type="dxa"/>
              <w:bottom w:w="57" w:type="dxa"/>
              <w:right w:w="57" w:type="dxa"/>
            </w:tcMar>
            <w:tmTcPr id="1766737683" protected="0"/>
          </w:tcPr>
          <w:p>
            <w:pPr>
              <w:spacing/>
              <w:jc w:val="center"/>
            </w:pPr>
            <w:r>
              <w:t xml:space="preserve">Gehalt an </w:t>
            </w:r>
            <w:r>
              <w:rPr>
                <w:b/>
                <w:bCs/>
              </w:rPr>
              <w:fldChar w:fldCharType="begin"/>
              <w:instrText xml:space="preserve">XE "Arachidonsäure" \G </w:instrText>
              <w:fldChar w:fldCharType="end"/>
              <w:t>Arachidonsäure</w:t>
            </w:r>
            <w:r>
              <w:t xml:space="preserve"> (in mg)</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Schillerlocke</w:t>
            </w:r>
          </w:p>
        </w:tc>
        <w:tc>
          <w:tcPr>
            <w:tcW w:w="4533" w:type="dxa"/>
            <w:tcMar>
              <w:top w:w="57" w:type="dxa"/>
              <w:left w:w="57" w:type="dxa"/>
              <w:bottom w:w="57" w:type="dxa"/>
              <w:right w:w="57" w:type="dxa"/>
            </w:tcMar>
            <w:tmTcPr id="1766737683" protected="0"/>
          </w:tcPr>
          <w:p>
            <w:pPr>
              <w:spacing/>
              <w:jc w:val="center"/>
              <w:rPr>
                <w:color w:val="ff0000"/>
              </w:rPr>
            </w:pPr>
            <w:r>
              <w:rPr>
                <w:color w:val="ff0000"/>
              </w:rPr>
              <w:t>615</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Thunfisch</w:t>
            </w:r>
          </w:p>
        </w:tc>
        <w:tc>
          <w:tcPr>
            <w:tcW w:w="4533" w:type="dxa"/>
            <w:tcMar>
              <w:top w:w="57" w:type="dxa"/>
              <w:left w:w="57" w:type="dxa"/>
              <w:bottom w:w="57" w:type="dxa"/>
              <w:right w:w="57" w:type="dxa"/>
            </w:tcMar>
            <w:tmTcPr id="1766737683" protected="0"/>
          </w:tcPr>
          <w:p>
            <w:pPr>
              <w:spacing/>
              <w:jc w:val="center"/>
              <w:rPr>
                <w:color w:val="ff0000"/>
              </w:rPr>
            </w:pPr>
            <w:r>
              <w:rPr>
                <w:color w:val="ff0000"/>
              </w:rPr>
              <w:t>245</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Rotbarsch</w:t>
            </w:r>
          </w:p>
        </w:tc>
        <w:tc>
          <w:tcPr>
            <w:tcW w:w="4533" w:type="dxa"/>
            <w:tcMar>
              <w:top w:w="57" w:type="dxa"/>
              <w:left w:w="57" w:type="dxa"/>
              <w:bottom w:w="57" w:type="dxa"/>
              <w:right w:w="57" w:type="dxa"/>
            </w:tcMar>
            <w:tmTcPr id="1766737683" protected="0"/>
          </w:tcPr>
          <w:p>
            <w:pPr>
              <w:spacing/>
              <w:jc w:val="center"/>
              <w:rPr>
                <w:color w:val="ff0000"/>
              </w:rPr>
            </w:pPr>
            <w:r>
              <w:rPr>
                <w:color w:val="ff0000"/>
              </w:rPr>
              <w:t>240</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Lachs</w:t>
            </w:r>
          </w:p>
        </w:tc>
        <w:tc>
          <w:tcPr>
            <w:tcW w:w="4533" w:type="dxa"/>
            <w:tcMar>
              <w:top w:w="57" w:type="dxa"/>
              <w:left w:w="57" w:type="dxa"/>
              <w:bottom w:w="57" w:type="dxa"/>
              <w:right w:w="57" w:type="dxa"/>
            </w:tcMar>
            <w:tmTcPr id="1766737683" protected="0"/>
          </w:tcPr>
          <w:p>
            <w:pPr>
              <w:spacing/>
              <w:jc w:val="center"/>
              <w:rPr>
                <w:color w:val="ff0000"/>
              </w:rPr>
            </w:pPr>
            <w:r>
              <w:rPr>
                <w:color w:val="ff0000"/>
              </w:rPr>
              <w:t>190</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Makrele</w:t>
            </w:r>
          </w:p>
        </w:tc>
        <w:tc>
          <w:tcPr>
            <w:tcW w:w="4533" w:type="dxa"/>
            <w:tcMar>
              <w:top w:w="57" w:type="dxa"/>
              <w:left w:w="57" w:type="dxa"/>
              <w:bottom w:w="57" w:type="dxa"/>
              <w:right w:w="57" w:type="dxa"/>
            </w:tcMar>
            <w:tmTcPr id="1766737683" protected="0"/>
          </w:tcPr>
          <w:p>
            <w:pPr>
              <w:spacing/>
              <w:jc w:val="center"/>
              <w:rPr>
                <w:color w:val="ff0000"/>
              </w:rPr>
            </w:pPr>
            <w:r>
              <w:rPr>
                <w:color w:val="ff0000"/>
              </w:rPr>
              <w:t>170</w:t>
            </w:r>
          </w:p>
        </w:tc>
      </w:tr>
      <w:tr>
        <w:trPr>
          <w:tblHeader w:val="0"/>
          <w:cantSplit w:val="0"/>
          <w:trHeight w:val="0" w:hRule="auto"/>
        </w:trPr>
        <w:tc>
          <w:tcPr>
            <w:tcW w:w="4533" w:type="dxa"/>
            <w:tcMar>
              <w:top w:w="57" w:type="dxa"/>
              <w:left w:w="57" w:type="dxa"/>
              <w:bottom w:w="57" w:type="dxa"/>
              <w:right w:w="57" w:type="dxa"/>
            </w:tcMar>
            <w:tmTcPr id="1766737683" protected="0"/>
          </w:tcPr>
          <w:p>
            <w:pPr/>
            <w:r>
              <w:t>Aal</w:t>
            </w:r>
          </w:p>
        </w:tc>
        <w:tc>
          <w:tcPr>
            <w:tcW w:w="4533" w:type="dxa"/>
            <w:tcMar>
              <w:top w:w="57" w:type="dxa"/>
              <w:left w:w="57" w:type="dxa"/>
              <w:bottom w:w="57" w:type="dxa"/>
              <w:right w:w="57" w:type="dxa"/>
            </w:tcMar>
            <w:tmTcPr id="1766737683" protected="0"/>
          </w:tcPr>
          <w:p>
            <w:pPr>
              <w:spacing/>
              <w:jc w:val="center"/>
            </w:pPr>
            <w:r>
              <w:t>120</w:t>
            </w:r>
          </w:p>
        </w:tc>
      </w:tr>
      <w:tr>
        <w:trPr>
          <w:tblHeader w:val="0"/>
          <w:cantSplit w:val="0"/>
          <w:trHeight w:val="0" w:hRule="auto"/>
        </w:trPr>
        <w:tc>
          <w:tcPr>
            <w:tcW w:w="4533" w:type="dxa"/>
            <w:tcMar>
              <w:top w:w="57" w:type="dxa"/>
              <w:left w:w="57" w:type="dxa"/>
              <w:bottom w:w="57" w:type="dxa"/>
              <w:right w:w="57" w:type="dxa"/>
            </w:tcMar>
            <w:tmTcPr id="1766737683" protected="0"/>
          </w:tcPr>
          <w:p>
            <w:pPr/>
            <w:r>
              <w:t>Karpfen</w:t>
            </w:r>
          </w:p>
        </w:tc>
        <w:tc>
          <w:tcPr>
            <w:tcW w:w="4533" w:type="dxa"/>
            <w:tcMar>
              <w:top w:w="57" w:type="dxa"/>
              <w:left w:w="57" w:type="dxa"/>
              <w:bottom w:w="57" w:type="dxa"/>
              <w:right w:w="57" w:type="dxa"/>
            </w:tcMar>
            <w:tmTcPr id="1766737683" protected="0"/>
          </w:tcPr>
          <w:p>
            <w:pPr>
              <w:spacing/>
              <w:jc w:val="center"/>
            </w:pPr>
            <w:r>
              <w:t>119</w:t>
            </w:r>
          </w:p>
        </w:tc>
      </w:tr>
      <w:tr>
        <w:trPr>
          <w:tblHeader w:val="0"/>
          <w:cantSplit w:val="0"/>
          <w:trHeight w:val="0" w:hRule="auto"/>
        </w:trPr>
        <w:tc>
          <w:tcPr>
            <w:tcW w:w="4533" w:type="dxa"/>
            <w:tcMar>
              <w:top w:w="57" w:type="dxa"/>
              <w:left w:w="57" w:type="dxa"/>
              <w:bottom w:w="57" w:type="dxa"/>
              <w:right w:w="57" w:type="dxa"/>
            </w:tcMar>
            <w:tmTcPr id="1766737683" protected="0"/>
          </w:tcPr>
          <w:p>
            <w:pPr/>
            <w:r>
              <w:t>Schwertfisch</w:t>
            </w:r>
          </w:p>
        </w:tc>
        <w:tc>
          <w:tcPr>
            <w:tcW w:w="4533" w:type="dxa"/>
            <w:tcMar>
              <w:top w:w="57" w:type="dxa"/>
              <w:left w:w="57" w:type="dxa"/>
              <w:bottom w:w="57" w:type="dxa"/>
              <w:right w:w="57" w:type="dxa"/>
            </w:tcMar>
            <w:tmTcPr id="1766737683" protected="0"/>
          </w:tcPr>
          <w:p>
            <w:pPr>
              <w:spacing/>
              <w:jc w:val="center"/>
            </w:pPr>
            <w:r>
              <w:t>90</w:t>
            </w:r>
          </w:p>
        </w:tc>
      </w:tr>
      <w:tr>
        <w:trPr>
          <w:tblHeader w:val="0"/>
          <w:cantSplit w:val="0"/>
          <w:trHeight w:val="0" w:hRule="auto"/>
        </w:trPr>
        <w:tc>
          <w:tcPr>
            <w:tcW w:w="4533" w:type="dxa"/>
            <w:tcMar>
              <w:top w:w="57" w:type="dxa"/>
              <w:left w:w="57" w:type="dxa"/>
              <w:bottom w:w="57" w:type="dxa"/>
              <w:right w:w="57" w:type="dxa"/>
            </w:tcMar>
            <w:tmTcPr id="1766737683" protected="0"/>
          </w:tcPr>
          <w:p>
            <w:pPr/>
            <w:r>
              <w:t>Sprotte</w:t>
            </w:r>
          </w:p>
        </w:tc>
        <w:tc>
          <w:tcPr>
            <w:tcW w:w="4533" w:type="dxa"/>
            <w:tcMar>
              <w:top w:w="57" w:type="dxa"/>
              <w:left w:w="57" w:type="dxa"/>
              <w:bottom w:w="57" w:type="dxa"/>
              <w:right w:w="57" w:type="dxa"/>
            </w:tcMar>
            <w:tmTcPr id="1766737683" protected="0"/>
          </w:tcPr>
          <w:p>
            <w:pPr>
              <w:spacing/>
              <w:jc w:val="center"/>
            </w:pPr>
            <w:r>
              <w:t>70</w:t>
            </w:r>
          </w:p>
        </w:tc>
      </w:tr>
      <w:tr>
        <w:trPr>
          <w:tblHeader w:val="0"/>
          <w:cantSplit w:val="0"/>
          <w:trHeight w:val="0" w:hRule="auto"/>
        </w:trPr>
        <w:tc>
          <w:tcPr>
            <w:tcW w:w="4533" w:type="dxa"/>
            <w:tcMar>
              <w:top w:w="57" w:type="dxa"/>
              <w:left w:w="57" w:type="dxa"/>
              <w:bottom w:w="57" w:type="dxa"/>
              <w:right w:w="57" w:type="dxa"/>
            </w:tcMar>
            <w:tmTcPr id="1766737683" protected="0"/>
          </w:tcPr>
          <w:p>
            <w:pPr/>
            <w:r>
              <w:t>Garnele</w:t>
            </w:r>
          </w:p>
        </w:tc>
        <w:tc>
          <w:tcPr>
            <w:tcW w:w="4533" w:type="dxa"/>
            <w:tcMar>
              <w:top w:w="57" w:type="dxa"/>
              <w:left w:w="57" w:type="dxa"/>
              <w:bottom w:w="57" w:type="dxa"/>
              <w:right w:w="57" w:type="dxa"/>
            </w:tcMar>
            <w:tmTcPr id="1766737683" protected="0"/>
          </w:tcPr>
          <w:p>
            <w:pPr>
              <w:spacing/>
              <w:jc w:val="center"/>
            </w:pPr>
            <w:r>
              <w:t>68</w:t>
            </w:r>
          </w:p>
        </w:tc>
      </w:tr>
      <w:tr>
        <w:trPr>
          <w:tblHeader w:val="0"/>
          <w:cantSplit w:val="0"/>
          <w:trHeight w:val="0" w:hRule="auto"/>
        </w:trPr>
        <w:tc>
          <w:tcPr>
            <w:tcW w:w="4533" w:type="dxa"/>
            <w:tcMar>
              <w:top w:w="57" w:type="dxa"/>
              <w:left w:w="57" w:type="dxa"/>
              <w:bottom w:w="57" w:type="dxa"/>
              <w:right w:w="57" w:type="dxa"/>
            </w:tcMar>
            <w:tmTcPr id="1766737683" protected="0"/>
          </w:tcPr>
          <w:p>
            <w:pPr/>
            <w:r>
              <w:t>Miesmuschel</w:t>
            </w:r>
          </w:p>
        </w:tc>
        <w:tc>
          <w:tcPr>
            <w:tcW w:w="4533" w:type="dxa"/>
            <w:tcMar>
              <w:top w:w="57" w:type="dxa"/>
              <w:left w:w="57" w:type="dxa"/>
              <w:bottom w:w="57" w:type="dxa"/>
              <w:right w:w="57" w:type="dxa"/>
            </w:tcMar>
            <w:tmTcPr id="1766737683" protected="0"/>
          </w:tcPr>
          <w:p>
            <w:pPr>
              <w:spacing/>
              <w:jc w:val="center"/>
            </w:pPr>
            <w:r>
              <w:t>67</w:t>
            </w:r>
          </w:p>
        </w:tc>
      </w:tr>
      <w:tr>
        <w:trPr>
          <w:tblHeader w:val="0"/>
          <w:cantSplit w:val="0"/>
          <w:trHeight w:val="0" w:hRule="auto"/>
        </w:trPr>
        <w:tc>
          <w:tcPr>
            <w:tcW w:w="4533" w:type="dxa"/>
            <w:tcMar>
              <w:top w:w="57" w:type="dxa"/>
              <w:left w:w="57" w:type="dxa"/>
              <w:bottom w:w="57" w:type="dxa"/>
              <w:right w:w="57" w:type="dxa"/>
            </w:tcMar>
            <w:tmTcPr id="1766737683" protected="0"/>
          </w:tcPr>
          <w:p>
            <w:pPr/>
            <w:r>
              <w:t>Scholle</w:t>
            </w:r>
          </w:p>
        </w:tc>
        <w:tc>
          <w:tcPr>
            <w:tcW w:w="4533" w:type="dxa"/>
            <w:tcMar>
              <w:top w:w="57" w:type="dxa"/>
              <w:left w:w="57" w:type="dxa"/>
              <w:bottom w:w="57" w:type="dxa"/>
              <w:right w:w="57" w:type="dxa"/>
            </w:tcMar>
            <w:tmTcPr id="1766737683" protected="0"/>
          </w:tcPr>
          <w:p>
            <w:pPr>
              <w:spacing/>
              <w:jc w:val="center"/>
            </w:pPr>
            <w:r>
              <w:t>57</w:t>
            </w:r>
          </w:p>
        </w:tc>
      </w:tr>
      <w:tr>
        <w:trPr>
          <w:tblHeader w:val="0"/>
          <w:cantSplit w:val="0"/>
          <w:trHeight w:val="0" w:hRule="auto"/>
        </w:trPr>
        <w:tc>
          <w:tcPr>
            <w:tcW w:w="4533" w:type="dxa"/>
            <w:tcMar>
              <w:top w:w="57" w:type="dxa"/>
              <w:left w:w="57" w:type="dxa"/>
              <w:bottom w:w="57" w:type="dxa"/>
              <w:right w:w="57" w:type="dxa"/>
            </w:tcMar>
            <w:tmTcPr id="1766737683" protected="0"/>
          </w:tcPr>
          <w:p>
            <w:pPr/>
            <w:r>
              <w:t>Hering (Atlantik)</w:t>
            </w:r>
          </w:p>
        </w:tc>
        <w:tc>
          <w:tcPr>
            <w:tcW w:w="4533" w:type="dxa"/>
            <w:tcMar>
              <w:top w:w="57" w:type="dxa"/>
              <w:left w:w="57" w:type="dxa"/>
              <w:bottom w:w="57" w:type="dxa"/>
              <w:right w:w="57" w:type="dxa"/>
            </w:tcMar>
            <w:tmTcPr id="1766737683" protected="0"/>
          </w:tcPr>
          <w:p>
            <w:pPr>
              <w:spacing/>
              <w:jc w:val="center"/>
            </w:pPr>
            <w:r>
              <w:t>37</w:t>
            </w:r>
          </w:p>
        </w:tc>
      </w:tr>
      <w:tr>
        <w:trPr>
          <w:tblHeader w:val="0"/>
          <w:cantSplit w:val="0"/>
          <w:trHeight w:val="0" w:hRule="auto"/>
        </w:trPr>
        <w:tc>
          <w:tcPr>
            <w:tcW w:w="4533" w:type="dxa"/>
            <w:tcMar>
              <w:top w:w="57" w:type="dxa"/>
              <w:left w:w="57" w:type="dxa"/>
              <w:bottom w:w="57" w:type="dxa"/>
              <w:right w:w="57" w:type="dxa"/>
            </w:tcMar>
            <w:tmTcPr id="1766737683" protected="0"/>
          </w:tcPr>
          <w:p>
            <w:pPr/>
            <w:r>
              <w:t>Forelle</w:t>
            </w:r>
          </w:p>
        </w:tc>
        <w:tc>
          <w:tcPr>
            <w:tcW w:w="4533" w:type="dxa"/>
            <w:tcMar>
              <w:top w:w="57" w:type="dxa"/>
              <w:left w:w="57" w:type="dxa"/>
              <w:bottom w:w="57" w:type="dxa"/>
              <w:right w:w="57" w:type="dxa"/>
            </w:tcMar>
            <w:tmTcPr id="1766737683" protected="0"/>
          </w:tcPr>
          <w:p>
            <w:pPr>
              <w:spacing/>
              <w:jc w:val="center"/>
            </w:pPr>
            <w:r>
              <w:t>26</w:t>
            </w:r>
          </w:p>
        </w:tc>
      </w:tr>
      <w:tr>
        <w:trPr>
          <w:tblHeader w:val="0"/>
          <w:cantSplit w:val="0"/>
          <w:trHeight w:val="0" w:hRule="auto"/>
        </w:trPr>
        <w:tc>
          <w:tcPr>
            <w:tcW w:w="4533" w:type="dxa"/>
            <w:tcMar>
              <w:top w:w="57" w:type="dxa"/>
              <w:left w:w="57" w:type="dxa"/>
              <w:bottom w:w="57" w:type="dxa"/>
              <w:right w:w="57" w:type="dxa"/>
            </w:tcMar>
            <w:tmTcPr id="1766737683" protected="0"/>
          </w:tcPr>
          <w:p>
            <w:pPr/>
            <w:r>
              <w:t>Krebs</w:t>
            </w:r>
          </w:p>
        </w:tc>
        <w:tc>
          <w:tcPr>
            <w:tcW w:w="4533" w:type="dxa"/>
            <w:tcMar>
              <w:top w:w="57" w:type="dxa"/>
              <w:left w:w="57" w:type="dxa"/>
              <w:bottom w:w="57" w:type="dxa"/>
              <w:right w:w="57" w:type="dxa"/>
            </w:tcMar>
            <w:tmTcPr id="1766737683" protected="0"/>
          </w:tcPr>
          <w:p>
            <w:pPr>
              <w:spacing/>
              <w:jc w:val="center"/>
            </w:pPr>
            <w:r>
              <w:t>19</w:t>
            </w:r>
          </w:p>
        </w:tc>
      </w:tr>
      <w:tr>
        <w:trPr>
          <w:tblHeader w:val="0"/>
          <w:cantSplit w:val="0"/>
          <w:trHeight w:val="0" w:hRule="auto"/>
        </w:trPr>
        <w:tc>
          <w:tcPr>
            <w:tcW w:w="4533" w:type="dxa"/>
            <w:tcMar>
              <w:top w:w="57" w:type="dxa"/>
              <w:left w:w="57" w:type="dxa"/>
              <w:bottom w:w="57" w:type="dxa"/>
              <w:right w:w="57" w:type="dxa"/>
            </w:tcMar>
            <w:tmTcPr id="1766737683" protected="0"/>
          </w:tcPr>
          <w:p>
            <w:pPr/>
            <w:r>
              <w:t>Kabeljau</w:t>
            </w:r>
          </w:p>
        </w:tc>
        <w:tc>
          <w:tcPr>
            <w:tcW w:w="4533" w:type="dxa"/>
            <w:tcMar>
              <w:top w:w="57" w:type="dxa"/>
              <w:left w:w="57" w:type="dxa"/>
              <w:bottom w:w="57" w:type="dxa"/>
              <w:right w:w="57" w:type="dxa"/>
            </w:tcMar>
            <w:tmTcPr id="1766737683" protected="0"/>
          </w:tcPr>
          <w:p>
            <w:pPr>
              <w:spacing/>
              <w:jc w:val="center"/>
            </w:pPr>
            <w:r>
              <w:t>17</w:t>
            </w:r>
          </w:p>
        </w:tc>
      </w:tr>
      <w:tr>
        <w:trPr>
          <w:tblHeader w:val="0"/>
          <w:cantSplit w:val="0"/>
          <w:trHeight w:val="0" w:hRule="auto"/>
        </w:trPr>
        <w:tc>
          <w:tcPr>
            <w:tcW w:w="4533" w:type="dxa"/>
            <w:tcMar>
              <w:top w:w="57" w:type="dxa"/>
              <w:left w:w="57" w:type="dxa"/>
              <w:bottom w:w="57" w:type="dxa"/>
              <w:right w:w="57" w:type="dxa"/>
            </w:tcMar>
            <w:tmTcPr id="1766737683" protected="0"/>
          </w:tcPr>
          <w:p>
            <w:pPr/>
            <w:r>
              <w:t>Seelachs</w:t>
            </w:r>
          </w:p>
        </w:tc>
        <w:tc>
          <w:tcPr>
            <w:tcW w:w="4533" w:type="dxa"/>
            <w:tcMar>
              <w:top w:w="57" w:type="dxa"/>
              <w:left w:w="57" w:type="dxa"/>
              <w:bottom w:w="57" w:type="dxa"/>
              <w:right w:w="57" w:type="dxa"/>
            </w:tcMar>
            <w:tmTcPr id="1766737683" protected="0"/>
          </w:tcPr>
          <w:p>
            <w:pPr>
              <w:spacing/>
              <w:jc w:val="center"/>
            </w:pPr>
            <w:r>
              <w:t>11</w:t>
            </w:r>
          </w:p>
        </w:tc>
      </w:tr>
    </w:tbl>
    <w:p>
      <w:pPr>
        <w:spacing/>
        <w:jc w:val="left"/>
      </w:pPr>
      <w:r/>
    </w:p>
    <w:p>
      <w:r/>
    </w:p>
    <w:p>
      <w:r/>
    </w:p>
    <w:p>
      <w:r/>
    </w:p>
    <w:p>
      <w:r/>
    </w:p>
    <w:tbl>
      <w:tblPr>
        <w:tblStyle w:val="TableGrid"/>
        <w:name w:val="Tabelle45"/>
        <w:tabOrder w:val="0"/>
        <w:jc w:val="left"/>
        <w:tblInd w:w="0" w:type="dxa"/>
        <w:tblW w:w="9066" w:type="dxa"/>
        <w:pPr>
          <w:spacing/>
          <w:jc w:val="left"/>
        </w:pPr>
        <w:tblLook w:val="04A0" w:firstRow="1" w:lastRow="0" w:firstColumn="1" w:lastColumn="0" w:noHBand="0" w:noVBand="1"/>
      </w:tblPr>
      <w:tblGrid>
        <w:gridCol w:w="4533"/>
        <w:gridCol w:w="4533"/>
      </w:tblGrid>
      <w:tr>
        <w:trPr>
          <w:tblHeader w:val="0"/>
          <w:cantSplit w:val="0"/>
          <w:trHeight w:val="0" w:hRule="auto"/>
        </w:trPr>
        <w:tc>
          <w:tcPr>
            <w:tcW w:w="9066" w:type="dxa"/>
            <w:gridSpan w:val="2"/>
            <w:shd w:val="solid" w:color="DDFE87" tmshd="6553989, 8912605, 16777215"/>
            <w:tcMar>
              <w:top w:w="85" w:type="dxa"/>
              <w:left w:w="85" w:type="dxa"/>
              <w:bottom w:w="85" w:type="dxa"/>
              <w:right w:w="85" w:type="dxa"/>
            </w:tcMar>
            <w:tmTcPr id="1766737683" protected="0"/>
          </w:tcPr>
          <w:p>
            <w:pPr>
              <w:rPr>
                <w:sz w:val="28"/>
                <w:szCs w:val="28"/>
              </w:rPr>
            </w:pPr>
            <w:r>
              <w:rPr>
                <w:sz w:val="28"/>
                <w:szCs w:val="28"/>
              </w:rPr>
              <w:t>Fleisch und Wurstwaren</w:t>
            </w:r>
          </w:p>
        </w:tc>
      </w:tr>
      <w:tr>
        <w:trPr>
          <w:tblHeader w:val="0"/>
          <w:cantSplit w:val="0"/>
          <w:trHeight w:val="0" w:hRule="auto"/>
        </w:trPr>
        <w:tc>
          <w:tcPr>
            <w:tcW w:w="4533" w:type="dxa"/>
            <w:shd w:val="solid" w:color="F0F0E0" tmshd="6553856, 14741744, 16777215"/>
            <w:tcMar>
              <w:top w:w="57" w:type="dxa"/>
              <w:left w:w="57" w:type="dxa"/>
              <w:bottom w:w="57" w:type="dxa"/>
              <w:right w:w="57" w:type="dxa"/>
            </w:tcMar>
            <w:tmTcPr id="1766737683" protected="0"/>
          </w:tcPr>
          <w:p>
            <w:pPr/>
            <w:r>
              <w:t>Lebensmittel (jeweils 100 Gramm)</w:t>
            </w:r>
          </w:p>
        </w:tc>
        <w:tc>
          <w:tcPr>
            <w:tcW w:w="4533" w:type="dxa"/>
            <w:shd w:val="solid" w:color="F0F0E0" tmshd="6553856, 14741744, 16777215"/>
            <w:tcMar>
              <w:top w:w="57" w:type="dxa"/>
              <w:left w:w="57" w:type="dxa"/>
              <w:bottom w:w="57" w:type="dxa"/>
              <w:right w:w="57" w:type="dxa"/>
            </w:tcMar>
            <w:tmTcPr id="1766737683" protected="0"/>
          </w:tcPr>
          <w:p>
            <w:pPr>
              <w:spacing/>
              <w:jc w:val="center"/>
            </w:pPr>
            <w:r>
              <w:t xml:space="preserve">Gehalt an </w:t>
            </w:r>
            <w:r>
              <w:rPr>
                <w:b/>
                <w:bCs/>
              </w:rPr>
              <w:fldChar w:fldCharType="begin"/>
              <w:instrText xml:space="preserve">XE "Arachidonsäure" \G </w:instrText>
              <w:fldChar w:fldCharType="end"/>
              <w:t>Arachidonsäure</w:t>
            </w:r>
            <w:r>
              <w:t xml:space="preserve"> (in mg)</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Suppenhuhn</w:t>
            </w:r>
          </w:p>
        </w:tc>
        <w:tc>
          <w:tcPr>
            <w:tcW w:w="4533" w:type="dxa"/>
            <w:tcMar>
              <w:top w:w="57" w:type="dxa"/>
              <w:left w:w="57" w:type="dxa"/>
              <w:bottom w:w="57" w:type="dxa"/>
              <w:right w:w="57" w:type="dxa"/>
            </w:tcMar>
            <w:tmTcPr id="1766737683" protected="0"/>
          </w:tcPr>
          <w:p>
            <w:pPr>
              <w:spacing/>
              <w:jc w:val="center"/>
              <w:rPr>
                <w:color w:val="ff0000"/>
              </w:rPr>
            </w:pPr>
            <w:r>
              <w:rPr>
                <w:color w:val="ff0000"/>
              </w:rPr>
              <w:t>850</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Schweineleber</w:t>
            </w:r>
          </w:p>
        </w:tc>
        <w:tc>
          <w:tcPr>
            <w:tcW w:w="4533" w:type="dxa"/>
            <w:tcMar>
              <w:top w:w="57" w:type="dxa"/>
              <w:left w:w="57" w:type="dxa"/>
              <w:bottom w:w="57" w:type="dxa"/>
              <w:right w:w="57" w:type="dxa"/>
            </w:tcMar>
            <w:tmTcPr id="1766737683" protected="0"/>
          </w:tcPr>
          <w:p>
            <w:pPr>
              <w:spacing/>
              <w:jc w:val="center"/>
              <w:rPr>
                <w:color w:val="ff0000"/>
              </w:rPr>
            </w:pPr>
            <w:r>
              <w:rPr>
                <w:color w:val="ff0000"/>
              </w:rPr>
              <w:t>491</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Kalbsleber</w:t>
            </w:r>
          </w:p>
        </w:tc>
        <w:tc>
          <w:tcPr>
            <w:tcW w:w="4533" w:type="dxa"/>
            <w:tcMar>
              <w:top w:w="57" w:type="dxa"/>
              <w:left w:w="57" w:type="dxa"/>
              <w:bottom w:w="57" w:type="dxa"/>
              <w:right w:w="57" w:type="dxa"/>
            </w:tcMar>
            <w:tmTcPr id="1766737683" protected="0"/>
          </w:tcPr>
          <w:p>
            <w:pPr>
              <w:spacing/>
              <w:jc w:val="center"/>
              <w:rPr>
                <w:color w:val="ff0000"/>
              </w:rPr>
            </w:pPr>
            <w:r>
              <w:rPr>
                <w:color w:val="ff0000"/>
              </w:rPr>
              <w:t>352</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Schweineniere</w:t>
            </w:r>
          </w:p>
        </w:tc>
        <w:tc>
          <w:tcPr>
            <w:tcW w:w="4533" w:type="dxa"/>
            <w:tcMar>
              <w:top w:w="57" w:type="dxa"/>
              <w:left w:w="57" w:type="dxa"/>
              <w:bottom w:w="57" w:type="dxa"/>
              <w:right w:w="57" w:type="dxa"/>
            </w:tcMar>
            <w:tmTcPr id="1766737683" protected="0"/>
          </w:tcPr>
          <w:p>
            <w:pPr>
              <w:spacing/>
              <w:jc w:val="center"/>
              <w:rPr>
                <w:color w:val="ff0000"/>
              </w:rPr>
            </w:pPr>
            <w:r>
              <w:rPr>
                <w:color w:val="ff0000"/>
              </w:rPr>
              <w:t>351</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Huhn (Keule mit Haut)</w:t>
            </w:r>
          </w:p>
        </w:tc>
        <w:tc>
          <w:tcPr>
            <w:tcW w:w="4533" w:type="dxa"/>
            <w:tcMar>
              <w:top w:w="57" w:type="dxa"/>
              <w:left w:w="57" w:type="dxa"/>
              <w:bottom w:w="57" w:type="dxa"/>
              <w:right w:w="57" w:type="dxa"/>
            </w:tcMar>
            <w:tmTcPr id="1766737683" protected="0"/>
          </w:tcPr>
          <w:p>
            <w:pPr>
              <w:spacing/>
              <w:jc w:val="center"/>
              <w:rPr>
                <w:color w:val="ff0000"/>
              </w:rPr>
            </w:pPr>
            <w:r>
              <w:rPr>
                <w:color w:val="ff0000"/>
              </w:rPr>
              <w:t>330</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Schweinespeck (durchwachsen)</w:t>
            </w:r>
          </w:p>
        </w:tc>
        <w:tc>
          <w:tcPr>
            <w:tcW w:w="4533" w:type="dxa"/>
            <w:tcMar>
              <w:top w:w="57" w:type="dxa"/>
              <w:left w:w="57" w:type="dxa"/>
              <w:bottom w:w="57" w:type="dxa"/>
              <w:right w:w="57" w:type="dxa"/>
            </w:tcMar>
            <w:tmTcPr id="1766737683" protected="0"/>
          </w:tcPr>
          <w:p>
            <w:pPr>
              <w:spacing/>
              <w:jc w:val="center"/>
              <w:rPr>
                <w:color w:val="ff0000"/>
              </w:rPr>
            </w:pPr>
            <w:r>
              <w:rPr>
                <w:color w:val="ff0000"/>
              </w:rPr>
              <w:t>250</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Leberwurst (grob)</w:t>
            </w:r>
          </w:p>
        </w:tc>
        <w:tc>
          <w:tcPr>
            <w:tcW w:w="4533" w:type="dxa"/>
            <w:tcMar>
              <w:top w:w="57" w:type="dxa"/>
              <w:left w:w="57" w:type="dxa"/>
              <w:bottom w:w="57" w:type="dxa"/>
              <w:right w:w="57" w:type="dxa"/>
            </w:tcMar>
            <w:tmTcPr id="1766737683" protected="0"/>
          </w:tcPr>
          <w:p>
            <w:pPr>
              <w:spacing/>
              <w:jc w:val="center"/>
              <w:rPr>
                <w:color w:val="ff0000"/>
              </w:rPr>
            </w:pPr>
            <w:r>
              <w:rPr>
                <w:color w:val="ff0000"/>
              </w:rPr>
              <w:t>227</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Brathuhn</w:t>
            </w:r>
          </w:p>
        </w:tc>
        <w:tc>
          <w:tcPr>
            <w:tcW w:w="4533" w:type="dxa"/>
            <w:tcMar>
              <w:top w:w="57" w:type="dxa"/>
              <w:left w:w="57" w:type="dxa"/>
              <w:bottom w:w="57" w:type="dxa"/>
              <w:right w:w="57" w:type="dxa"/>
            </w:tcMar>
            <w:tmTcPr id="1766737683" protected="0"/>
          </w:tcPr>
          <w:p>
            <w:pPr>
              <w:spacing/>
              <w:jc w:val="center"/>
              <w:rPr>
                <w:color w:val="ff0000"/>
              </w:rPr>
            </w:pPr>
            <w:r>
              <w:rPr>
                <w:color w:val="ff0000"/>
              </w:rPr>
              <w:t>226</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Truthahn (mit Haut)</w:t>
            </w:r>
          </w:p>
        </w:tc>
        <w:tc>
          <w:tcPr>
            <w:tcW w:w="4533" w:type="dxa"/>
            <w:tcMar>
              <w:top w:w="57" w:type="dxa"/>
              <w:left w:w="57" w:type="dxa"/>
              <w:bottom w:w="57" w:type="dxa"/>
              <w:right w:w="57" w:type="dxa"/>
            </w:tcMar>
            <w:tmTcPr id="1766737683" protected="0"/>
          </w:tcPr>
          <w:p>
            <w:pPr>
              <w:spacing/>
              <w:jc w:val="center"/>
              <w:rPr>
                <w:color w:val="ff0000"/>
              </w:rPr>
            </w:pPr>
            <w:r>
              <w:rPr>
                <w:color w:val="ff0000"/>
              </w:rPr>
              <w:t>179</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Truthahn (Keule ohne Haut)</w:t>
            </w:r>
          </w:p>
        </w:tc>
        <w:tc>
          <w:tcPr>
            <w:tcW w:w="4533" w:type="dxa"/>
            <w:tcMar>
              <w:top w:w="57" w:type="dxa"/>
              <w:left w:w="57" w:type="dxa"/>
              <w:bottom w:w="57" w:type="dxa"/>
              <w:right w:w="57" w:type="dxa"/>
            </w:tcMar>
            <w:tmTcPr id="1766737683" protected="0"/>
          </w:tcPr>
          <w:p>
            <w:pPr>
              <w:spacing/>
              <w:jc w:val="center"/>
              <w:rPr>
                <w:color w:val="ff0000"/>
              </w:rPr>
            </w:pPr>
            <w:r>
              <w:rPr>
                <w:color w:val="ff0000"/>
              </w:rPr>
              <w:t>170</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Huhn (Brust mit Haut)</w:t>
            </w:r>
          </w:p>
        </w:tc>
        <w:tc>
          <w:tcPr>
            <w:tcW w:w="4533" w:type="dxa"/>
            <w:tcMar>
              <w:top w:w="57" w:type="dxa"/>
              <w:left w:w="57" w:type="dxa"/>
              <w:bottom w:w="57" w:type="dxa"/>
              <w:right w:w="57" w:type="dxa"/>
            </w:tcMar>
            <w:tmTcPr id="1766737683" protected="0"/>
          </w:tcPr>
          <w:p>
            <w:pPr>
              <w:spacing/>
              <w:jc w:val="center"/>
              <w:rPr>
                <w:color w:val="ff0000"/>
              </w:rPr>
            </w:pPr>
            <w:r>
              <w:rPr>
                <w:color w:val="ff0000"/>
              </w:rPr>
              <w:t>161</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Hühnerleber</w:t>
            </w:r>
          </w:p>
        </w:tc>
        <w:tc>
          <w:tcPr>
            <w:tcW w:w="4533" w:type="dxa"/>
            <w:tcMar>
              <w:top w:w="57" w:type="dxa"/>
              <w:left w:w="57" w:type="dxa"/>
              <w:bottom w:w="57" w:type="dxa"/>
              <w:right w:w="57" w:type="dxa"/>
            </w:tcMar>
            <w:tmTcPr id="1766737683" protected="0"/>
          </w:tcPr>
          <w:p>
            <w:pPr>
              <w:spacing/>
              <w:jc w:val="center"/>
              <w:rPr>
                <w:color w:val="ff0000"/>
              </w:rPr>
            </w:pPr>
            <w:r>
              <w:rPr>
                <w:color w:val="ff0000"/>
              </w:rPr>
              <w:t>150</w:t>
            </w:r>
          </w:p>
        </w:tc>
      </w:tr>
      <w:tr>
        <w:trPr>
          <w:tblHeader w:val="0"/>
          <w:cantSplit w:val="0"/>
          <w:trHeight w:val="0" w:hRule="auto"/>
        </w:trPr>
        <w:tc>
          <w:tcPr>
            <w:tcW w:w="4533" w:type="dxa"/>
            <w:tcMar>
              <w:top w:w="57" w:type="dxa"/>
              <w:left w:w="57" w:type="dxa"/>
              <w:bottom w:w="57" w:type="dxa"/>
              <w:right w:w="57" w:type="dxa"/>
            </w:tcMar>
            <w:tmTcPr id="1766737683" protected="0"/>
          </w:tcPr>
          <w:p>
            <w:pPr>
              <w:rPr>
                <w:color w:val="ff0000"/>
              </w:rPr>
            </w:pPr>
            <w:r>
              <w:rPr>
                <w:color w:val="ff0000"/>
              </w:rPr>
              <w:t>Schweinebauch (geräuchert)</w:t>
            </w:r>
          </w:p>
        </w:tc>
        <w:tc>
          <w:tcPr>
            <w:tcW w:w="4533" w:type="dxa"/>
            <w:tcMar>
              <w:top w:w="57" w:type="dxa"/>
              <w:left w:w="57" w:type="dxa"/>
              <w:bottom w:w="57" w:type="dxa"/>
              <w:right w:w="57" w:type="dxa"/>
            </w:tcMar>
            <w:tmTcPr id="1766737683" protected="0"/>
          </w:tcPr>
          <w:p>
            <w:pPr>
              <w:spacing/>
              <w:jc w:val="center"/>
              <w:rPr>
                <w:color w:val="ff0000"/>
              </w:rPr>
            </w:pPr>
            <w:r>
              <w:rPr>
                <w:color w:val="ff0000"/>
              </w:rPr>
              <w:t>130</w:t>
            </w:r>
          </w:p>
        </w:tc>
      </w:tr>
      <w:tr>
        <w:trPr>
          <w:tblHeader w:val="0"/>
          <w:cantSplit w:val="0"/>
          <w:trHeight w:val="0" w:hRule="auto"/>
        </w:trPr>
        <w:tc>
          <w:tcPr>
            <w:tcW w:w="4533" w:type="dxa"/>
            <w:tcMar>
              <w:top w:w="57" w:type="dxa"/>
              <w:left w:w="57" w:type="dxa"/>
              <w:bottom w:w="57" w:type="dxa"/>
              <w:right w:w="57" w:type="dxa"/>
            </w:tcMar>
            <w:tmTcPr id="1766737683" protected="0"/>
          </w:tcPr>
          <w:p>
            <w:pPr/>
            <w:r>
              <w:t>Truthahn (Brust ohne Haut)</w:t>
            </w:r>
          </w:p>
        </w:tc>
        <w:tc>
          <w:tcPr>
            <w:tcW w:w="4533" w:type="dxa"/>
            <w:tcMar>
              <w:top w:w="57" w:type="dxa"/>
              <w:left w:w="57" w:type="dxa"/>
              <w:bottom w:w="57" w:type="dxa"/>
              <w:right w:w="57" w:type="dxa"/>
            </w:tcMar>
            <w:tmTcPr id="1766737683" protected="0"/>
          </w:tcPr>
          <w:p>
            <w:pPr>
              <w:spacing/>
              <w:jc w:val="center"/>
            </w:pPr>
            <w:r>
              <w:t>55</w:t>
            </w:r>
          </w:p>
        </w:tc>
      </w:tr>
      <w:tr>
        <w:trPr>
          <w:tblHeader w:val="0"/>
          <w:cantSplit w:val="0"/>
          <w:trHeight w:val="0" w:hRule="auto"/>
        </w:trPr>
        <w:tc>
          <w:tcPr>
            <w:tcW w:w="4533" w:type="dxa"/>
            <w:tcMar>
              <w:top w:w="57" w:type="dxa"/>
              <w:left w:w="57" w:type="dxa"/>
              <w:bottom w:w="57" w:type="dxa"/>
              <w:right w:w="57" w:type="dxa"/>
            </w:tcMar>
            <w:tmTcPr id="1766737683" protected="0"/>
          </w:tcPr>
          <w:p>
            <w:pPr/>
            <w:r>
              <w:t>Kalb (Muskelfleisch)</w:t>
            </w:r>
          </w:p>
        </w:tc>
        <w:tc>
          <w:tcPr>
            <w:tcW w:w="4533" w:type="dxa"/>
            <w:tcMar>
              <w:top w:w="57" w:type="dxa"/>
              <w:left w:w="57" w:type="dxa"/>
              <w:bottom w:w="57" w:type="dxa"/>
              <w:right w:w="57" w:type="dxa"/>
            </w:tcMar>
            <w:tmTcPr id="1766737683" protected="0"/>
          </w:tcPr>
          <w:p>
            <w:pPr>
              <w:spacing/>
              <w:jc w:val="center"/>
            </w:pPr>
            <w:r>
              <w:t>53</w:t>
            </w:r>
          </w:p>
        </w:tc>
      </w:tr>
      <w:tr>
        <w:trPr>
          <w:tblHeader w:val="0"/>
          <w:cantSplit w:val="0"/>
          <w:trHeight w:val="0" w:hRule="auto"/>
        </w:trPr>
        <w:tc>
          <w:tcPr>
            <w:tcW w:w="4533" w:type="dxa"/>
            <w:tcMar>
              <w:top w:w="57" w:type="dxa"/>
              <w:left w:w="57" w:type="dxa"/>
              <w:bottom w:w="57" w:type="dxa"/>
              <w:right w:w="57" w:type="dxa"/>
            </w:tcMar>
            <w:tmTcPr id="1766737683" protected="0"/>
          </w:tcPr>
          <w:p>
            <w:pPr/>
            <w:r>
              <w:t>Schweineschinken (gekocht)</w:t>
            </w:r>
          </w:p>
        </w:tc>
        <w:tc>
          <w:tcPr>
            <w:tcW w:w="4533" w:type="dxa"/>
            <w:tcMar>
              <w:top w:w="57" w:type="dxa"/>
              <w:left w:w="57" w:type="dxa"/>
              <w:bottom w:w="57" w:type="dxa"/>
              <w:right w:w="57" w:type="dxa"/>
            </w:tcMar>
            <w:tmTcPr id="1766737683" protected="0"/>
          </w:tcPr>
          <w:p>
            <w:pPr>
              <w:spacing/>
              <w:jc w:val="center"/>
            </w:pPr>
            <w:r>
              <w:t>50</w:t>
            </w:r>
          </w:p>
        </w:tc>
      </w:tr>
      <w:tr>
        <w:trPr>
          <w:tblHeader w:val="0"/>
          <w:cantSplit w:val="0"/>
          <w:trHeight w:val="0" w:hRule="auto"/>
        </w:trPr>
        <w:tc>
          <w:tcPr>
            <w:tcW w:w="4533" w:type="dxa"/>
            <w:tcMar>
              <w:top w:w="57" w:type="dxa"/>
              <w:left w:w="57" w:type="dxa"/>
              <w:bottom w:w="57" w:type="dxa"/>
              <w:right w:w="57" w:type="dxa"/>
            </w:tcMar>
            <w:tmTcPr id="1766737683" protected="0"/>
          </w:tcPr>
          <w:p>
            <w:pPr/>
            <w:r>
              <w:t>Bio-Rindfleisch (Weidehaltung)</w:t>
            </w:r>
          </w:p>
        </w:tc>
        <w:tc>
          <w:tcPr>
            <w:tcW w:w="4533" w:type="dxa"/>
            <w:tcMar>
              <w:top w:w="57" w:type="dxa"/>
              <w:left w:w="57" w:type="dxa"/>
              <w:bottom w:w="57" w:type="dxa"/>
              <w:right w:w="57" w:type="dxa"/>
            </w:tcMar>
            <w:tmTcPr id="1766737683" protected="0"/>
          </w:tcPr>
          <w:p>
            <w:pPr>
              <w:spacing/>
              <w:jc w:val="center"/>
            </w:pPr>
            <w:r>
              <w:t>40</w:t>
            </w:r>
          </w:p>
        </w:tc>
      </w:tr>
      <w:tr>
        <w:trPr>
          <w:tblHeader w:val="0"/>
          <w:cantSplit w:val="0"/>
          <w:trHeight w:val="0" w:hRule="auto"/>
        </w:trPr>
        <w:tc>
          <w:tcPr>
            <w:tcW w:w="4533" w:type="dxa"/>
            <w:tcMar>
              <w:top w:w="57" w:type="dxa"/>
              <w:left w:w="57" w:type="dxa"/>
              <w:bottom w:w="57" w:type="dxa"/>
              <w:right w:w="57" w:type="dxa"/>
            </w:tcMar>
            <w:tmTcPr id="1766737683" protected="0"/>
          </w:tcPr>
          <w:p>
            <w:pPr/>
            <w:r>
              <w:t>Schweinefleisch (Muskelfleisch)</w:t>
            </w:r>
          </w:p>
        </w:tc>
        <w:tc>
          <w:tcPr>
            <w:tcW w:w="4533" w:type="dxa"/>
            <w:tcMar>
              <w:top w:w="57" w:type="dxa"/>
              <w:left w:w="57" w:type="dxa"/>
              <w:bottom w:w="57" w:type="dxa"/>
              <w:right w:w="57" w:type="dxa"/>
            </w:tcMar>
            <w:tmTcPr id="1766737683" protected="0"/>
          </w:tcPr>
          <w:p>
            <w:pPr>
              <w:spacing/>
              <w:jc w:val="center"/>
            </w:pPr>
            <w:r>
              <w:t>36</w:t>
            </w:r>
          </w:p>
        </w:tc>
      </w:tr>
      <w:tr>
        <w:trPr>
          <w:tblHeader w:val="0"/>
          <w:cantSplit w:val="0"/>
          <w:trHeight w:val="0" w:hRule="auto"/>
        </w:trPr>
        <w:tc>
          <w:tcPr>
            <w:tcW w:w="4533" w:type="dxa"/>
            <w:tcMar>
              <w:top w:w="57" w:type="dxa"/>
              <w:left w:w="57" w:type="dxa"/>
              <w:bottom w:w="57" w:type="dxa"/>
              <w:right w:w="57" w:type="dxa"/>
            </w:tcMar>
            <w:tmTcPr id="1766737683" protected="0"/>
          </w:tcPr>
          <w:p>
            <w:pPr/>
            <w:r>
              <w:t>Wildfleisch</w:t>
            </w:r>
          </w:p>
        </w:tc>
        <w:tc>
          <w:tcPr>
            <w:tcW w:w="4533" w:type="dxa"/>
            <w:tcMar>
              <w:top w:w="57" w:type="dxa"/>
              <w:left w:w="57" w:type="dxa"/>
              <w:bottom w:w="57" w:type="dxa"/>
              <w:right w:w="57" w:type="dxa"/>
            </w:tcMar>
            <w:tmTcPr id="1766737683" protected="0"/>
          </w:tcPr>
          <w:p>
            <w:pPr>
              <w:spacing/>
              <w:jc w:val="center"/>
            </w:pPr>
            <w:r>
              <w:t>20</w:t>
            </w:r>
          </w:p>
        </w:tc>
      </w:tr>
      <w:tr>
        <w:trPr>
          <w:tblHeader w:val="0"/>
          <w:cantSplit w:val="0"/>
          <w:trHeight w:val="0" w:hRule="auto"/>
        </w:trPr>
        <w:tc>
          <w:tcPr>
            <w:tcW w:w="4533" w:type="dxa"/>
            <w:tcMar>
              <w:top w:w="57" w:type="dxa"/>
              <w:left w:w="57" w:type="dxa"/>
              <w:bottom w:w="57" w:type="dxa"/>
              <w:right w:w="57" w:type="dxa"/>
            </w:tcMar>
            <w:tmTcPr id="1766737683" protected="0"/>
          </w:tcPr>
          <w:p>
            <w:pPr/>
            <w:r>
              <w:t>Lamm (Muskelfleisch)</w:t>
            </w:r>
          </w:p>
        </w:tc>
        <w:tc>
          <w:tcPr>
            <w:tcW w:w="4533" w:type="dxa"/>
            <w:tcMar>
              <w:top w:w="57" w:type="dxa"/>
              <w:left w:w="57" w:type="dxa"/>
              <w:bottom w:w="57" w:type="dxa"/>
              <w:right w:w="57" w:type="dxa"/>
            </w:tcMar>
            <w:tmTcPr id="1766737683" protected="0"/>
          </w:tcPr>
          <w:p>
            <w:pPr>
              <w:spacing/>
              <w:jc w:val="center"/>
            </w:pPr>
            <w:r>
              <w:t>10</w:t>
            </w:r>
          </w:p>
        </w:tc>
      </w:tr>
      <w:tr>
        <w:trPr>
          <w:tblHeader w:val="0"/>
          <w:cantSplit w:val="0"/>
          <w:trHeight w:val="0" w:hRule="auto"/>
        </w:trPr>
        <w:tc>
          <w:tcPr>
            <w:tcW w:w="9066" w:type="dxa"/>
            <w:gridSpan w:val="2"/>
            <w:shd w:val="solid" w:color="DDFE87" tmshd="1677721856, 0, 8912605"/>
            <w:tcMar>
              <w:top w:w="85" w:type="dxa"/>
              <w:left w:w="85" w:type="dxa"/>
              <w:bottom w:w="85" w:type="dxa"/>
              <w:right w:w="85" w:type="dxa"/>
            </w:tcMar>
            <w:tmTcPr id="1766737683" protected="0"/>
          </w:tcPr>
          <w:p>
            <w:pPr>
              <w:rPr>
                <w:sz w:val="28"/>
                <w:szCs w:val="28"/>
              </w:rPr>
            </w:pPr>
            <w:r>
              <w:rPr>
                <w:sz w:val="28"/>
                <w:szCs w:val="28"/>
              </w:rPr>
              <w:t xml:space="preserve">Milch, </w:t>
              <w:fldChar w:fldCharType="begin"/>
              <w:instrText xml:space="preserve">XE "Milchprodukte" \G </w:instrText>
              <w:fldChar w:fldCharType="end"/>
              <w:t>Milchprodukte, Eier</w:t>
            </w:r>
          </w:p>
        </w:tc>
      </w:tr>
      <w:tr>
        <w:trPr>
          <w:tblHeader w:val="0"/>
          <w:cantSplit w:val="0"/>
          <w:trHeight w:val="0" w:hRule="auto"/>
        </w:trPr>
        <w:tc>
          <w:tcPr>
            <w:tcW w:w="4533" w:type="dxa"/>
            <w:shd w:val="solid" w:color="F0F0E0" tmshd="6553856, 14741744, 16777215"/>
            <w:tcMar>
              <w:top w:w="57" w:type="dxa"/>
              <w:left w:w="57" w:type="dxa"/>
              <w:bottom w:w="57" w:type="dxa"/>
              <w:right w:w="57" w:type="dxa"/>
            </w:tcMar>
            <w:tmTcPr id="1766737683" protected="0"/>
          </w:tcPr>
          <w:p>
            <w:pPr/>
            <w:r>
              <w:t>Lebensmittel (jeweils 100 Gramm)</w:t>
            </w:r>
          </w:p>
        </w:tc>
        <w:tc>
          <w:tcPr>
            <w:tcW w:w="4533" w:type="dxa"/>
            <w:shd w:val="solid" w:color="F0F0E0" tmshd="6553856, 14741744, 16777215"/>
            <w:tcMar>
              <w:top w:w="57" w:type="dxa"/>
              <w:left w:w="57" w:type="dxa"/>
              <w:bottom w:w="57" w:type="dxa"/>
              <w:right w:w="57" w:type="dxa"/>
            </w:tcMar>
            <w:tmTcPr id="1766737683" protected="0"/>
          </w:tcPr>
          <w:p>
            <w:pPr>
              <w:spacing/>
              <w:jc w:val="center"/>
            </w:pPr>
            <w:r>
              <w:t xml:space="preserve">Gehalt an </w:t>
            </w:r>
            <w:r>
              <w:rPr>
                <w:b/>
                <w:bCs/>
              </w:rPr>
              <w:fldChar w:fldCharType="begin"/>
              <w:instrText xml:space="preserve">XE "Arachidonsäure" \G </w:instrText>
              <w:fldChar w:fldCharType="end"/>
              <w:t>Arachidonsäure</w:t>
            </w:r>
            <w:r>
              <w:t xml:space="preserve"> (in mg)</w:t>
            </w:r>
          </w:p>
        </w:tc>
      </w:tr>
      <w:tr>
        <w:trPr>
          <w:tblHeader w:val="0"/>
          <w:cantSplit w:val="0"/>
          <w:trHeight w:val="0" w:hRule="auto"/>
        </w:trPr>
        <w:tc>
          <w:tcPr>
            <w:tcW w:w="4533" w:type="dxa"/>
            <w:tcMar>
              <w:top w:w="57" w:type="dxa"/>
              <w:left w:w="57" w:type="dxa"/>
              <w:bottom w:w="57" w:type="dxa"/>
              <w:right w:w="57" w:type="dxa"/>
            </w:tcMar>
            <w:tmTcPr id="1766737683" protected="0"/>
          </w:tcPr>
          <w:p>
            <w:pPr/>
            <w:r>
              <w:t>Hühnerei</w:t>
            </w:r>
          </w:p>
        </w:tc>
        <w:tc>
          <w:tcPr>
            <w:tcW w:w="4533" w:type="dxa"/>
            <w:tcMar>
              <w:top w:w="57" w:type="dxa"/>
              <w:left w:w="57" w:type="dxa"/>
              <w:bottom w:w="57" w:type="dxa"/>
              <w:right w:w="57" w:type="dxa"/>
            </w:tcMar>
            <w:tmTcPr id="1766737683" protected="0"/>
          </w:tcPr>
          <w:p>
            <w:pPr>
              <w:spacing/>
              <w:jc w:val="center"/>
            </w:pPr>
            <w:r>
              <w:t>70</w:t>
            </w:r>
          </w:p>
        </w:tc>
      </w:tr>
      <w:tr>
        <w:trPr>
          <w:tblHeader w:val="0"/>
          <w:cantSplit w:val="0"/>
          <w:trHeight w:val="0" w:hRule="auto"/>
        </w:trPr>
        <w:tc>
          <w:tcPr>
            <w:tcW w:w="4533" w:type="dxa"/>
            <w:tcMar>
              <w:top w:w="57" w:type="dxa"/>
              <w:left w:w="57" w:type="dxa"/>
              <w:bottom w:w="57" w:type="dxa"/>
              <w:right w:w="57" w:type="dxa"/>
            </w:tcMar>
            <w:tmTcPr id="1766737683" protected="0"/>
          </w:tcPr>
          <w:p>
            <w:pPr/>
            <w:r>
              <w:t xml:space="preserve">Emmentaler, 45% </w:t>
              <w:fldChar w:fldCharType="begin"/>
              <w:instrText xml:space="preserve">XE "Fett" \G </w:instrText>
              <w:fldChar w:fldCharType="end"/>
              <w:t>Fett in Tr.</w:t>
            </w:r>
          </w:p>
        </w:tc>
        <w:tc>
          <w:tcPr>
            <w:tcW w:w="4533" w:type="dxa"/>
            <w:tcMar>
              <w:top w:w="57" w:type="dxa"/>
              <w:left w:w="57" w:type="dxa"/>
              <w:bottom w:w="57" w:type="dxa"/>
              <w:right w:w="57" w:type="dxa"/>
            </w:tcMar>
            <w:tmTcPr id="1766737683" protected="0"/>
          </w:tcPr>
          <w:p>
            <w:pPr>
              <w:spacing/>
              <w:jc w:val="center"/>
            </w:pPr>
            <w:r>
              <w:t>28</w:t>
            </w:r>
          </w:p>
        </w:tc>
      </w:tr>
      <w:tr>
        <w:trPr>
          <w:tblHeader w:val="0"/>
          <w:cantSplit w:val="0"/>
          <w:trHeight w:val="0" w:hRule="auto"/>
        </w:trPr>
        <w:tc>
          <w:tcPr>
            <w:tcW w:w="4533" w:type="dxa"/>
            <w:tcMar>
              <w:top w:w="57" w:type="dxa"/>
              <w:left w:w="57" w:type="dxa"/>
              <w:bottom w:w="57" w:type="dxa"/>
              <w:right w:w="57" w:type="dxa"/>
            </w:tcMar>
            <w:tmTcPr id="1766737683" protected="0"/>
          </w:tcPr>
          <w:p>
            <w:pPr/>
            <w:r>
              <w:t xml:space="preserve">Kuhmilch, 3,5% </w:t>
              <w:fldChar w:fldCharType="begin"/>
              <w:instrText xml:space="preserve">XE "Fett" \G </w:instrText>
              <w:fldChar w:fldCharType="end"/>
              <w:t>Fett</w:t>
            </w:r>
          </w:p>
        </w:tc>
        <w:tc>
          <w:tcPr>
            <w:tcW w:w="4533" w:type="dxa"/>
            <w:tcMar>
              <w:top w:w="57" w:type="dxa"/>
              <w:left w:w="57" w:type="dxa"/>
              <w:bottom w:w="57" w:type="dxa"/>
              <w:right w:w="57" w:type="dxa"/>
            </w:tcMar>
            <w:tmTcPr id="1766737683" protected="0"/>
          </w:tcPr>
          <w:p>
            <w:pPr>
              <w:spacing/>
              <w:jc w:val="center"/>
            </w:pPr>
            <w:r>
              <w:t>3,2</w:t>
            </w:r>
          </w:p>
        </w:tc>
      </w:tr>
      <w:tr>
        <w:trPr>
          <w:tblHeader w:val="0"/>
          <w:cantSplit w:val="0"/>
          <w:trHeight w:val="0" w:hRule="auto"/>
        </w:trPr>
        <w:tc>
          <w:tcPr>
            <w:tcW w:w="4533" w:type="dxa"/>
            <w:tcMar>
              <w:top w:w="57" w:type="dxa"/>
              <w:left w:w="57" w:type="dxa"/>
              <w:bottom w:w="57" w:type="dxa"/>
              <w:right w:w="57" w:type="dxa"/>
            </w:tcMar>
            <w:tmTcPr id="1766737683" protected="0"/>
          </w:tcPr>
          <w:p>
            <w:pPr/>
            <w:r>
              <w:t xml:space="preserve">Kuhmilch, 1,5% </w:t>
              <w:fldChar w:fldCharType="begin"/>
              <w:instrText xml:space="preserve">XE "Fett" \G </w:instrText>
              <w:fldChar w:fldCharType="end"/>
              <w:t>Fett</w:t>
            </w:r>
          </w:p>
        </w:tc>
        <w:tc>
          <w:tcPr>
            <w:tcW w:w="4533" w:type="dxa"/>
            <w:tcMar>
              <w:top w:w="57" w:type="dxa"/>
              <w:left w:w="57" w:type="dxa"/>
              <w:bottom w:w="57" w:type="dxa"/>
              <w:right w:w="57" w:type="dxa"/>
            </w:tcMar>
            <w:tmTcPr id="1766737683" protected="0"/>
          </w:tcPr>
          <w:p>
            <w:pPr>
              <w:spacing/>
              <w:jc w:val="center"/>
            </w:pPr>
            <w:r>
              <w:t>1,2</w:t>
            </w:r>
          </w:p>
        </w:tc>
      </w:tr>
    </w:tbl>
    <w:p>
      <w:pPr>
        <w:numPr>
          <w:ilvl w:val="2"/>
          <w:numId w:val="1"/>
        </w:numPr>
        <w:ind w:left="720" w:hanging="720"/>
      </w:pPr>
      <w:r/>
    </w:p>
    <w:p>
      <w:pPr>
        <w:pStyle w:val="para3"/>
        <w:numPr>
          <w:ilvl w:val="2"/>
          <w:numId w:val="1"/>
        </w:numPr>
        <w:ind w:left="720" w:hanging="720"/>
      </w:pPr>
      <w:r>
        <w:br w:type="page"/>
      </w:r>
      <w:bookmarkStart w:id="99" w:name="_TOC000045"/>
      <w:r>
        <w:t>Die "Omega-6 zu Omega-3-Balance" ist wichtig</w:t>
      </w:r>
      <w:bookmarkEnd w:id="98"/>
      <w:r/>
      <w:bookmarkEnd w:id="99"/>
      <w:r/>
    </w:p>
    <w:p>
      <w:pPr>
        <w:rPr>
          <w:rFonts w:ascii="Cambria" w:hAnsi="Cambria"/>
          <w:sz w:val="14"/>
          <w:szCs w:val="14"/>
          <w:vertAlign w:val="superscript"/>
        </w:rPr>
      </w:pPr>
      <w:r>
        <w:rPr>
          <w:sz w:val="14"/>
          <w:szCs w:val="14"/>
        </w:rPr>
        <w:t>Quelle: https://www.ndr.de/ratgeber/gesundheit/Lebenswichtige-Omega-3-Fettsaeuren-Richtige-Dosierung-entscheidend,fettsaeuren100.html</w:t>
      </w:r>
      <w:r>
        <w:rPr>
          <w:rFonts w:ascii="Cambria" w:hAnsi="Cambria"/>
          <w:sz w:val="14"/>
          <w:szCs w:val="14"/>
          <w:vertAlign w:val="superscript"/>
        </w:rPr>
      </w:r>
    </w:p>
    <w:p>
      <w:r>
        <w:rPr>
          <w:noProof/>
        </w:rPr>
        <w:drawing>
          <wp:anchor distT="71755" distB="71755" distL="179705" distR="71755" simplePos="0" relativeHeight="251658312" behindDoc="0" locked="0" layoutInCell="0" hidden="0" allowOverlap="1">
            <wp:simplePos x="0" y="0"/>
            <wp:positionH relativeFrom="column">
              <wp:posOffset>3940175</wp:posOffset>
            </wp:positionH>
            <wp:positionV relativeFrom="paragraph">
              <wp:posOffset>13970</wp:posOffset>
            </wp:positionV>
            <wp:extent cx="1766570" cy="2373630"/>
            <wp:effectExtent l="0" t="0" r="0" b="0"/>
            <wp:wrapSquare wrapText="bothSides"/>
            <wp:docPr id="72" name="Grafik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Grafik123"/>
                    <pic:cNvPicPr>
                      <a:picLocks noChangeAspect="1"/>
                      <a:codePr string="" type="186175616"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pAgAAAKIAAAAAAAAAAAAAAQAAAAIAAAA9GAAAAQAAAAIAAAAWAAAA3goAAJoOAAAsAAMA/R8AAEYIAAAoAAAACAAAAAEAAAABAAAAMAAAABQAAAAAAAAAAAD//wAAAQAAAP//AAABAA=="/>
                        </a:ext>
                      </a:extLst>
                    </pic:cNvPicPr>
                  </pic:nvPicPr>
                  <pic:blipFill>
                    <a:blip r:embed="rId54"/>
                    <a:stretch>
                      <a:fillRect/>
                    </a:stretch>
                  </pic:blipFill>
                  <pic:spPr>
                    <a:xfrm>
                      <a:off x="0" y="0"/>
                      <a:ext cx="1766570" cy="2373630"/>
                    </a:xfrm>
                    <a:prstGeom prst="rect">
                      <a:avLst/>
                    </a:prstGeom>
                    <a:noFill/>
                    <a:ln w="12700">
                      <a:noFill/>
                    </a:ln>
                  </pic:spPr>
                </pic:pic>
              </a:graphicData>
            </a:graphic>
          </wp:anchor>
        </w:drawing>
      </w:r>
      <w:r>
        <w:t>Damit Omega-3-</w:t>
        <w:fldChar w:fldCharType="begin"/>
        <w:instrText xml:space="preserve">XE "Fettsäuren" \G </w:instrText>
        <w:fldChar w:fldCharType="end"/>
        <w:t>Fettsäuren im Körper gut wirken können, darf unsere Ernährung nicht zu viele Omega-6-</w:t>
        <w:fldChar w:fldCharType="begin"/>
        <w:instrText xml:space="preserve">XE "Fettsäuren" \G </w:instrText>
        <w:fldChar w:fldCharType="end"/>
        <w:t>Fettsäuren enthalten. Die Omega-6-</w:t>
        <w:fldChar w:fldCharType="begin"/>
        <w:instrText xml:space="preserve">XE "Fettsäuren" \G </w:instrText>
        <w:fldChar w:fldCharType="end"/>
        <w:t>Fettsäuren stecken zum Beispiel im Sonnenblumen- oder Distelöl und in fertig verarbeiteten Lebensmitteln. Warum ist diese sogenannte Omega-Balance wichtig? Weil unser Stoffwechsel Omega-6- und Omega-3-</w:t>
        <w:fldChar w:fldCharType="begin"/>
        <w:instrText xml:space="preserve">XE "Fettsäuren" \G </w:instrText>
        <w:fldChar w:fldCharType="end"/>
        <w:t>Fettsäuren mithilfe desselben Enzyms verarbeitet. Sind alle Enzyme mit Omega-6-</w:t>
        <w:fldChar w:fldCharType="begin"/>
        <w:instrText xml:space="preserve">XE "Fettsäuren" \G </w:instrText>
        <w:fldChar w:fldCharType="end"/>
        <w:t>Fettsäuren "besetzt", kann der Körper kein Omega-3 aufnehmen. Heutzutage enthält unsere Nahrung im Durchschnitt 10- bis 20-mal mehr Omega-6- als Omega-3-</w:t>
        <w:fldChar w:fldCharType="begin"/>
        <w:instrText xml:space="preserve">XE "Fettsäuren" \G </w:instrText>
        <w:fldChar w:fldCharType="end"/>
        <w:t>Fettsäuren. Dabei sollte das Verhältnis Omega-6 zu Omega-3 nach Erkenntnissen der Ernährungsmedizin eigentlich zwischen 1 : 1 und 5 : 1 liegen.</w:t>
      </w:r>
    </w:p>
    <w:p>
      <w:pPr>
        <w:pStyle w:val="para4"/>
        <w:numPr>
          <w:ilvl w:val="3"/>
          <w:numId w:val="1"/>
        </w:numPr>
        <w:ind w:left="1077" w:hanging="1077"/>
      </w:pPr>
      <w:bookmarkStart w:id="100" w:name="_TOC000244"/>
      <w:r>
        <w:t>Die Omega-3 zu Omega-6-Tabelle für Lebensmittel</w:t>
      </w:r>
      <w:bookmarkEnd w:id="100"/>
      <w:r/>
    </w:p>
    <w:p>
      <w:r>
        <w:t xml:space="preserve">Quelle: </w:t>
      </w:r>
      <w:hyperlink r:id="rId55" w:history="1">
        <w:r>
          <w:rPr>
            <w:rStyle w:val="char20"/>
          </w:rPr>
          <w:t>https://www.vitalarzt-marquardt.de/omega-3/omega-tabelle/</w:t>
        </w:r>
      </w:hyperlink>
    </w:p>
    <w:p>
      <w:r>
        <w:t>In dieser Omega-Tabelle können Sie für alle relevanten Lebensmittel nachsehen, ob sie ein guter oder schlechter Omega-3-Lieferant sind. Wichtig für das Verständnis: Wichtig ist zum einen die absolute Omega-3-Menge. Zum anderen aber auch, ob diese möglicherweise durch große Omega-6-Mengen dominiert wird. Um die Abwägung aus absoluter und relativer Omega-3-Menge so einfach wie möglich für Sie zu machen, gibt es ein Bewertungssystem mit grünen (gute für die Omega-3-Bilanz) und roten Sternen (schlecht für die Omega-3-Bilanz).</w:t>
      </w:r>
    </w:p>
    <w:tbl>
      <w:tblPr>
        <w:tblStyle w:val="TableGrid"/>
        <w:name w:val="Tabelle47"/>
        <w:tabOrder w:val="0"/>
        <w:jc w:val="left"/>
        <w:tblInd w:w="1417" w:type="dxa"/>
        <w:tblW w:w="5644" w:type="dxa"/>
        <w:pPr>
          <w:ind w:left="1417"/>
          <w:spacing/>
          <w:jc w:val="left"/>
        </w:pPr>
        <w:tblLook w:val="04A0" w:firstRow="1" w:lastRow="0" w:firstColumn="1" w:lastColumn="0" w:noHBand="0" w:noVBand="1"/>
      </w:tblPr>
      <w:tblGrid>
        <w:gridCol w:w="1056"/>
        <w:gridCol w:w="1629"/>
        <w:gridCol w:w="918"/>
        <w:gridCol w:w="2041"/>
      </w:tblGrid>
      <w:tr>
        <w:trPr>
          <w:tblHeader w:val="0"/>
          <w:cantSplit w:val="0"/>
          <w:trHeight w:val="0" w:hRule="auto"/>
        </w:trPr>
        <w:tc>
          <w:tcPr>
            <w:tcW w:w="1056" w:type="dxa"/>
            <w:tcMar>
              <w:top w:w="57" w:type="dxa"/>
              <w:left w:w="57" w:type="dxa"/>
              <w:bottom w:w="57" w:type="dxa"/>
              <w:right w:w="57" w:type="dxa"/>
            </w:tcMar>
            <w:tmTcPr id="1766737683" protected="0"/>
          </w:tcPr>
          <w:p>
            <w:pPr>
              <w:spacing/>
              <w:jc w:val="center"/>
              <w:rPr>
                <w:color w:val="007f7f"/>
              </w:rPr>
            </w:pPr>
            <w:r>
              <w:rPr>
                <w:color w:val="007f7f"/>
              </w:rPr>
              <w:t>*</w:t>
            </w:r>
          </w:p>
        </w:tc>
        <w:tc>
          <w:tcPr>
            <w:tcW w:w="1629" w:type="dxa"/>
            <w:tcMar>
              <w:top w:w="57" w:type="dxa"/>
              <w:left w:w="57" w:type="dxa"/>
              <w:bottom w:w="57" w:type="dxa"/>
              <w:right w:w="57" w:type="dxa"/>
            </w:tcMar>
            <w:tmTcPr id="1766737683" protected="0"/>
          </w:tcPr>
          <w:p>
            <w:pPr>
              <w:rPr>
                <w:rFonts w:eastAsia="Tahoma" w:cs="Tahoma"/>
              </w:rPr>
            </w:pPr>
            <w:r>
              <w:rPr>
                <w:rFonts w:eastAsia="Tahoma" w:cs="Tahoma"/>
              </w:rPr>
              <w:t>gut</w:t>
            </w:r>
          </w:p>
        </w:tc>
        <w:tc>
          <w:tcPr>
            <w:tcW w:w="918" w:type="dxa"/>
            <w:tcMar>
              <w:top w:w="57" w:type="dxa"/>
              <w:left w:w="57" w:type="dxa"/>
              <w:bottom w:w="57" w:type="dxa"/>
              <w:right w:w="57" w:type="dxa"/>
            </w:tcMar>
            <w:tmTcPr id="1766737683" protected="0"/>
          </w:tcPr>
          <w:p>
            <w:pPr>
              <w:spacing/>
              <w:jc w:val="center"/>
              <w:rPr>
                <w:color w:val="ff0000"/>
              </w:rPr>
            </w:pPr>
            <w:r>
              <w:rPr>
                <w:color w:val="ff0000"/>
              </w:rPr>
              <w:t>*</w:t>
            </w:r>
          </w:p>
        </w:tc>
        <w:tc>
          <w:tcPr>
            <w:tcW w:w="2041" w:type="dxa"/>
            <w:tcMar>
              <w:top w:w="57" w:type="dxa"/>
              <w:left w:w="57" w:type="dxa"/>
              <w:bottom w:w="57" w:type="dxa"/>
              <w:right w:w="57" w:type="dxa"/>
            </w:tcMar>
            <w:tmTcPr id="1766737683" protected="0"/>
          </w:tcPr>
          <w:p>
            <w:pPr>
              <w:rPr>
                <w:rFonts w:eastAsia="Tahoma" w:cs="Tahoma"/>
              </w:rPr>
            </w:pPr>
            <w:r>
              <w:rPr>
                <w:rFonts w:eastAsia="Tahoma" w:cs="Tahoma"/>
              </w:rPr>
              <w:t>nicht optimal</w:t>
            </w:r>
          </w:p>
        </w:tc>
      </w:tr>
      <w:tr>
        <w:trPr>
          <w:tblHeader w:val="0"/>
          <w:cantSplit w:val="0"/>
          <w:trHeight w:val="0" w:hRule="auto"/>
        </w:trPr>
        <w:tc>
          <w:tcPr>
            <w:tcW w:w="1056" w:type="dxa"/>
            <w:tcMar>
              <w:top w:w="57" w:type="dxa"/>
              <w:left w:w="57" w:type="dxa"/>
              <w:bottom w:w="57" w:type="dxa"/>
              <w:right w:w="57" w:type="dxa"/>
            </w:tcMar>
            <w:tmTcPr id="1766737683" protected="0"/>
          </w:tcPr>
          <w:p>
            <w:pPr>
              <w:spacing/>
              <w:jc w:val="center"/>
              <w:rPr>
                <w:color w:val="007f7f"/>
              </w:rPr>
            </w:pPr>
            <w:r>
              <w:rPr>
                <w:color w:val="007f7f"/>
              </w:rPr>
              <w:t>**</w:t>
            </w:r>
          </w:p>
        </w:tc>
        <w:tc>
          <w:tcPr>
            <w:tcW w:w="1629" w:type="dxa"/>
            <w:tcMar>
              <w:top w:w="57" w:type="dxa"/>
              <w:left w:w="57" w:type="dxa"/>
              <w:bottom w:w="57" w:type="dxa"/>
              <w:right w:w="57" w:type="dxa"/>
            </w:tcMar>
            <w:tmTcPr id="1766737683" protected="0"/>
          </w:tcPr>
          <w:p>
            <w:pPr>
              <w:rPr>
                <w:rFonts w:eastAsia="Tahoma" w:cs="Tahoma"/>
              </w:rPr>
            </w:pPr>
            <w:r>
              <w:rPr>
                <w:rFonts w:eastAsia="Tahoma" w:cs="Tahoma"/>
              </w:rPr>
              <w:t>sehr gut</w:t>
            </w:r>
          </w:p>
        </w:tc>
        <w:tc>
          <w:tcPr>
            <w:tcW w:w="918" w:type="dxa"/>
            <w:tcMar>
              <w:top w:w="57" w:type="dxa"/>
              <w:left w:w="57" w:type="dxa"/>
              <w:bottom w:w="57" w:type="dxa"/>
              <w:right w:w="57" w:type="dxa"/>
            </w:tcMar>
            <w:tmTcPr id="1766737683" protected="0"/>
          </w:tcPr>
          <w:p>
            <w:pPr>
              <w:spacing/>
              <w:jc w:val="center"/>
              <w:rPr>
                <w:color w:val="ff0000"/>
              </w:rPr>
            </w:pPr>
            <w:r>
              <w:rPr>
                <w:color w:val="ff0000"/>
              </w:rPr>
              <w:t>**</w:t>
            </w:r>
          </w:p>
        </w:tc>
        <w:tc>
          <w:tcPr>
            <w:tcW w:w="2041" w:type="dxa"/>
            <w:tcMar>
              <w:top w:w="57" w:type="dxa"/>
              <w:left w:w="57" w:type="dxa"/>
              <w:bottom w:w="57" w:type="dxa"/>
              <w:right w:w="57" w:type="dxa"/>
            </w:tcMar>
            <w:tmTcPr id="1766737683" protected="0"/>
          </w:tcPr>
          <w:p>
            <w:pPr>
              <w:rPr>
                <w:rFonts w:eastAsia="Tahoma" w:cs="Tahoma"/>
              </w:rPr>
            </w:pPr>
            <w:r>
              <w:rPr>
                <w:rFonts w:eastAsia="Tahoma" w:cs="Tahoma"/>
              </w:rPr>
              <w:t>schlecht</w:t>
            </w:r>
          </w:p>
        </w:tc>
      </w:tr>
      <w:tr>
        <w:trPr>
          <w:tblHeader w:val="0"/>
          <w:cantSplit w:val="0"/>
          <w:trHeight w:val="0" w:hRule="auto"/>
        </w:trPr>
        <w:tc>
          <w:tcPr>
            <w:tcW w:w="1056" w:type="dxa"/>
            <w:tcMar>
              <w:top w:w="57" w:type="dxa"/>
              <w:left w:w="57" w:type="dxa"/>
              <w:bottom w:w="57" w:type="dxa"/>
              <w:right w:w="57" w:type="dxa"/>
            </w:tcMar>
            <w:tmTcPr id="1766737683" protected="0"/>
          </w:tcPr>
          <w:p>
            <w:pPr>
              <w:spacing/>
              <w:jc w:val="center"/>
              <w:rPr>
                <w:color w:val="007f7f"/>
              </w:rPr>
            </w:pPr>
            <w:r>
              <w:rPr>
                <w:color w:val="007f7f"/>
              </w:rPr>
              <w:t>***</w:t>
            </w:r>
          </w:p>
        </w:tc>
        <w:tc>
          <w:tcPr>
            <w:tcW w:w="1629" w:type="dxa"/>
            <w:tcMar>
              <w:top w:w="57" w:type="dxa"/>
              <w:left w:w="57" w:type="dxa"/>
              <w:bottom w:w="57" w:type="dxa"/>
              <w:right w:w="57" w:type="dxa"/>
            </w:tcMar>
            <w:tmTcPr id="1766737683" protected="0"/>
          </w:tcPr>
          <w:p>
            <w:pPr>
              <w:rPr>
                <w:rFonts w:eastAsia="Tahoma" w:cs="Tahoma"/>
              </w:rPr>
            </w:pPr>
            <w:r>
              <w:rPr>
                <w:rFonts w:eastAsia="Tahoma" w:cs="Tahoma"/>
              </w:rPr>
              <w:t>mega</w:t>
            </w:r>
          </w:p>
        </w:tc>
        <w:tc>
          <w:tcPr>
            <w:tcW w:w="918" w:type="dxa"/>
            <w:tcMar>
              <w:top w:w="57" w:type="dxa"/>
              <w:left w:w="57" w:type="dxa"/>
              <w:bottom w:w="57" w:type="dxa"/>
              <w:right w:w="57" w:type="dxa"/>
            </w:tcMar>
            <w:tmTcPr id="1766737683" protected="0"/>
          </w:tcPr>
          <w:p>
            <w:pPr>
              <w:spacing/>
              <w:jc w:val="center"/>
              <w:rPr>
                <w:color w:val="ff0000"/>
              </w:rPr>
            </w:pPr>
            <w:r>
              <w:rPr>
                <w:color w:val="ff0000"/>
              </w:rPr>
              <w:t>***</w:t>
            </w:r>
          </w:p>
        </w:tc>
        <w:tc>
          <w:tcPr>
            <w:tcW w:w="2041" w:type="dxa"/>
            <w:tcMar>
              <w:top w:w="57" w:type="dxa"/>
              <w:left w:w="57" w:type="dxa"/>
              <w:bottom w:w="57" w:type="dxa"/>
              <w:right w:w="57" w:type="dxa"/>
            </w:tcMar>
            <w:tmTcPr id="1766737683" protected="0"/>
          </w:tcPr>
          <w:p>
            <w:pPr>
              <w:rPr>
                <w:rFonts w:eastAsia="Tahoma" w:cs="Tahoma"/>
              </w:rPr>
            </w:pPr>
            <w:r>
              <w:rPr>
                <w:rFonts w:eastAsia="Tahoma" w:cs="Tahoma"/>
              </w:rPr>
              <w:t>sehr schlecht</w:t>
            </w:r>
          </w:p>
        </w:tc>
      </w:tr>
    </w:tbl>
    <w:p>
      <w:r/>
    </w:p>
    <w:tbl>
      <w:tblPr>
        <w:tblStyle w:val="TableGrid"/>
        <w:name w:val="Tabelle46"/>
        <w:tabOrder w:val="0"/>
        <w:jc w:val="left"/>
        <w:tblInd w:w="0" w:type="dxa"/>
        <w:tblW w:w="9067" w:type="dxa"/>
        <w:pPr>
          <w:spacing/>
          <w:jc w:val="left"/>
        </w:pPr>
        <w:tblLook w:val="04A0" w:firstRow="1" w:lastRow="0" w:firstColumn="1" w:lastColumn="0" w:noHBand="0" w:noVBand="1"/>
      </w:tblPr>
      <w:tblGrid>
        <w:gridCol w:w="2556"/>
        <w:gridCol w:w="2058"/>
        <w:gridCol w:w="2041"/>
        <w:gridCol w:w="45"/>
        <w:gridCol w:w="1106"/>
        <w:gridCol w:w="91"/>
        <w:gridCol w:w="1170"/>
      </w:tblGrid>
      <w:tr>
        <w:trPr>
          <w:tblHeader w:val="0"/>
          <w:cantSplit w:val="0"/>
          <w:trHeight w:val="0" w:hRule="auto"/>
        </w:trPr>
        <w:tc>
          <w:tcPr>
            <w:tcW w:w="2556" w:type="dxa"/>
            <w:tcMar>
              <w:top w:w="57" w:type="dxa"/>
              <w:left w:w="57" w:type="dxa"/>
              <w:bottom w:w="57" w:type="dxa"/>
              <w:right w:w="57" w:type="dxa"/>
            </w:tcMar>
            <w:tmTcPr id="1766737683" protected="0"/>
          </w:tcPr>
          <w:p>
            <w:pPr>
              <w:pStyle w:val="para0"/>
              <w:numPr>
                <w:ilvl w:val="0"/>
                <w:numId w:val="0"/>
              </w:numPr>
              <w:ind w:left="0" w:firstLine="0"/>
              <w:spacing/>
              <w:jc w:val="left"/>
            </w:pPr>
            <w:r>
              <w:t>Nüsse und Kerne</w:t>
            </w:r>
          </w:p>
        </w:tc>
        <w:tc>
          <w:tcPr>
            <w:tcW w:w="2058" w:type="dxa"/>
            <w:tcMar>
              <w:top w:w="57" w:type="dxa"/>
              <w:left w:w="57" w:type="dxa"/>
              <w:bottom w:w="57" w:type="dxa"/>
              <w:right w:w="57" w:type="dxa"/>
            </w:tcMar>
            <w:tmTcPr id="1766737683" protected="0"/>
          </w:tcPr>
          <w:p>
            <w:pPr>
              <w:pStyle w:val="para0"/>
              <w:numPr>
                <w:ilvl w:val="0"/>
                <w:numId w:val="0"/>
              </w:numPr>
              <w:ind w:left="0" w:firstLine="0"/>
              <w:spacing/>
              <w:jc w:val="center"/>
            </w:pPr>
            <w:r>
              <w:t>Omega-3 (g/100g)</w:t>
            </w:r>
          </w:p>
        </w:tc>
        <w:tc>
          <w:tcPr>
            <w:tcW w:w="2086"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Omega-6 (g/100g)</w:t>
            </w:r>
          </w:p>
        </w:tc>
        <w:tc>
          <w:tcPr>
            <w:tcW w:w="1197"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Verhältnis</w:t>
            </w:r>
          </w:p>
        </w:tc>
        <w:tc>
          <w:tcPr>
            <w:tcW w:w="1170" w:type="dxa"/>
            <w:tcMar>
              <w:top w:w="57" w:type="dxa"/>
              <w:left w:w="57" w:type="dxa"/>
              <w:bottom w:w="57" w:type="dxa"/>
              <w:right w:w="57" w:type="dxa"/>
            </w:tcMar>
            <w:tmTcPr id="1766737683" protected="0"/>
          </w:tcPr>
          <w:p>
            <w:pPr>
              <w:pStyle w:val="para0"/>
              <w:numPr>
                <w:ilvl w:val="0"/>
                <w:numId w:val="0"/>
              </w:numPr>
              <w:ind w:left="0" w:firstLine="0"/>
              <w:spacing/>
              <w:jc w:val="center"/>
            </w:pPr>
            <w:r>
              <w:t>Omega-Punkte</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numPr>
                <w:ilvl w:val="0"/>
                <w:numId w:val="0"/>
              </w:numPr>
              <w:ind w:left="0" w:firstLine="0"/>
            </w:pPr>
            <w:r>
              <w:t>Walnüsse</w:t>
            </w:r>
          </w:p>
        </w:tc>
        <w:tc>
          <w:tcPr>
            <w:tcW w:w="2058" w:type="dxa"/>
            <w:tcMar>
              <w:top w:w="57" w:type="dxa"/>
              <w:left w:w="57" w:type="dxa"/>
              <w:bottom w:w="57" w:type="dxa"/>
              <w:right w:w="57" w:type="dxa"/>
            </w:tcMar>
            <w:tmTcPr id="1766737683" protected="0"/>
          </w:tcPr>
          <w:p>
            <w:pPr>
              <w:pStyle w:val="para0"/>
              <w:numPr>
                <w:ilvl w:val="0"/>
                <w:numId w:val="0"/>
              </w:numPr>
              <w:ind w:left="0" w:firstLine="0"/>
              <w:spacing/>
              <w:jc w:val="center"/>
            </w:pPr>
            <w:r>
              <w:t>10,06</w:t>
            </w:r>
          </w:p>
        </w:tc>
        <w:tc>
          <w:tcPr>
            <w:tcW w:w="2086"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41,580</w:t>
            </w:r>
          </w:p>
        </w:tc>
        <w:tc>
          <w:tcPr>
            <w:tcW w:w="1197"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1:4,1</w:t>
            </w:r>
          </w:p>
        </w:tc>
        <w:tc>
          <w:tcPr>
            <w:tcW w:w="1170" w:type="dxa"/>
            <w:tcMar>
              <w:top w:w="57" w:type="dxa"/>
              <w:left w:w="57" w:type="dxa"/>
              <w:bottom w:w="57" w:type="dxa"/>
              <w:right w:w="57" w:type="dxa"/>
            </w:tcMar>
            <w:tmTcPr id="1766737683" protected="0"/>
          </w:tcPr>
          <w:p>
            <w:pPr>
              <w:pStyle w:val="para0"/>
              <w:numPr>
                <w:ilvl w:val="0"/>
                <w:numId w:val="0"/>
              </w:numPr>
              <w:ind w:left="0" w:firstLine="0"/>
              <w:spacing/>
              <w:jc w:val="center"/>
              <w:rPr>
                <w:color w:val="007f7f"/>
              </w:rPr>
            </w:pPr>
            <w:r>
              <w:rPr>
                <w:color w:val="007f7f"/>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numPr>
                <w:ilvl w:val="0"/>
                <w:numId w:val="0"/>
              </w:numPr>
              <w:ind w:left="0" w:firstLine="0"/>
            </w:pPr>
            <w:r>
              <w:t>Erdnüsse</w:t>
            </w:r>
          </w:p>
        </w:tc>
        <w:tc>
          <w:tcPr>
            <w:tcW w:w="2058" w:type="dxa"/>
            <w:tcMar>
              <w:top w:w="57" w:type="dxa"/>
              <w:left w:w="57" w:type="dxa"/>
              <w:bottom w:w="57" w:type="dxa"/>
              <w:right w:w="57" w:type="dxa"/>
            </w:tcMar>
            <w:tmTcPr id="1766737683" protected="0"/>
          </w:tcPr>
          <w:p>
            <w:pPr>
              <w:pStyle w:val="para0"/>
              <w:numPr>
                <w:ilvl w:val="0"/>
                <w:numId w:val="0"/>
              </w:numPr>
              <w:ind w:left="0" w:firstLine="0"/>
              <w:spacing/>
              <w:jc w:val="center"/>
            </w:pPr>
            <w:r>
              <w:t>0,53</w:t>
            </w:r>
          </w:p>
        </w:tc>
        <w:tc>
          <w:tcPr>
            <w:tcW w:w="2086"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13,900</w:t>
            </w:r>
          </w:p>
        </w:tc>
        <w:tc>
          <w:tcPr>
            <w:tcW w:w="1197"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1:26,2</w:t>
            </w:r>
          </w:p>
        </w:tc>
        <w:tc>
          <w:tcPr>
            <w:tcW w:w="1170" w:type="dxa"/>
            <w:tcMar>
              <w:top w:w="57" w:type="dxa"/>
              <w:left w:w="57" w:type="dxa"/>
              <w:bottom w:w="57" w:type="dxa"/>
              <w:right w:w="57" w:type="dxa"/>
            </w:tcMar>
            <w:tmTcPr id="1766737683" protected="0"/>
          </w:tcPr>
          <w:p>
            <w:pPr>
              <w:pStyle w:val="para0"/>
              <w:numPr>
                <w:ilvl w:val="0"/>
                <w:numId w:val="0"/>
              </w:numPr>
              <w:ind w:left="0" w:firstLine="0"/>
              <w:spacing/>
              <w:jc w:val="center"/>
              <w:rPr>
                <w:color w:val="ff0000"/>
              </w:rPr>
            </w:pPr>
            <w:r>
              <w:rPr>
                <w:color w:val="ff0000"/>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numPr>
                <w:ilvl w:val="0"/>
                <w:numId w:val="0"/>
              </w:numPr>
              <w:ind w:left="0" w:firstLine="0"/>
            </w:pPr>
            <w:r>
              <w:t>Cashew</w:t>
            </w:r>
          </w:p>
        </w:tc>
        <w:tc>
          <w:tcPr>
            <w:tcW w:w="2058" w:type="dxa"/>
            <w:tcMar>
              <w:top w:w="57" w:type="dxa"/>
              <w:left w:w="57" w:type="dxa"/>
              <w:bottom w:w="57" w:type="dxa"/>
              <w:right w:w="57" w:type="dxa"/>
            </w:tcMar>
            <w:tmTcPr id="1766737683" protected="0"/>
          </w:tcPr>
          <w:p>
            <w:pPr>
              <w:pStyle w:val="para0"/>
              <w:numPr>
                <w:ilvl w:val="0"/>
                <w:numId w:val="0"/>
              </w:numPr>
              <w:ind w:left="0" w:firstLine="0"/>
              <w:spacing/>
              <w:jc w:val="center"/>
            </w:pPr>
            <w:r>
              <w:t>0,08</w:t>
            </w:r>
          </w:p>
        </w:tc>
        <w:tc>
          <w:tcPr>
            <w:tcW w:w="2086"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8,548</w:t>
            </w:r>
          </w:p>
        </w:tc>
        <w:tc>
          <w:tcPr>
            <w:tcW w:w="1197"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1:106,9</w:t>
            </w:r>
          </w:p>
        </w:tc>
        <w:tc>
          <w:tcPr>
            <w:tcW w:w="1170" w:type="dxa"/>
            <w:tcMar>
              <w:top w:w="57" w:type="dxa"/>
              <w:left w:w="57" w:type="dxa"/>
              <w:bottom w:w="57" w:type="dxa"/>
              <w:right w:w="57" w:type="dxa"/>
            </w:tcMar>
            <w:tmTcPr id="1766737683" protected="0"/>
          </w:tcPr>
          <w:p>
            <w:pPr>
              <w:pStyle w:val="para0"/>
              <w:numPr>
                <w:ilvl w:val="0"/>
                <w:numId w:val="0"/>
              </w:numPr>
              <w:ind w:left="0" w:firstLine="0"/>
              <w:spacing/>
              <w:jc w:val="center"/>
              <w:rPr>
                <w:color w:val="ff0000"/>
              </w:rPr>
            </w:pPr>
            <w:r>
              <w:rPr>
                <w:color w:val="ff0000"/>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numPr>
                <w:ilvl w:val="0"/>
                <w:numId w:val="0"/>
              </w:numPr>
              <w:ind w:left="0" w:firstLine="0"/>
            </w:pPr>
            <w:r>
              <w:t>Haselnüsse</w:t>
            </w:r>
          </w:p>
        </w:tc>
        <w:tc>
          <w:tcPr>
            <w:tcW w:w="2058" w:type="dxa"/>
            <w:tcMar>
              <w:top w:w="57" w:type="dxa"/>
              <w:left w:w="57" w:type="dxa"/>
              <w:bottom w:w="57" w:type="dxa"/>
              <w:right w:w="57" w:type="dxa"/>
            </w:tcMar>
            <w:tmTcPr id="1766737683" protected="0"/>
          </w:tcPr>
          <w:p>
            <w:pPr>
              <w:pStyle w:val="para0"/>
              <w:numPr>
                <w:ilvl w:val="0"/>
                <w:numId w:val="0"/>
              </w:numPr>
              <w:ind w:left="0" w:firstLine="0"/>
              <w:spacing/>
              <w:jc w:val="center"/>
            </w:pPr>
            <w:r>
              <w:t>0,06</w:t>
            </w:r>
          </w:p>
        </w:tc>
        <w:tc>
          <w:tcPr>
            <w:tcW w:w="2086"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6,262</w:t>
            </w:r>
          </w:p>
        </w:tc>
        <w:tc>
          <w:tcPr>
            <w:tcW w:w="1197"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1:109,9</w:t>
            </w:r>
          </w:p>
        </w:tc>
        <w:tc>
          <w:tcPr>
            <w:tcW w:w="1170" w:type="dxa"/>
            <w:tcMar>
              <w:top w:w="57" w:type="dxa"/>
              <w:left w:w="57" w:type="dxa"/>
              <w:bottom w:w="57" w:type="dxa"/>
              <w:right w:w="57" w:type="dxa"/>
            </w:tcMar>
            <w:tmTcPr id="1766737683" protected="0"/>
          </w:tcPr>
          <w:p>
            <w:pPr>
              <w:pStyle w:val="para0"/>
              <w:numPr>
                <w:ilvl w:val="0"/>
                <w:numId w:val="0"/>
              </w:numPr>
              <w:ind w:left="0" w:firstLine="0"/>
              <w:spacing/>
              <w:jc w:val="center"/>
              <w:rPr>
                <w:color w:val="ff0000"/>
              </w:rPr>
            </w:pPr>
            <w:r>
              <w:rPr>
                <w:color w:val="ff0000"/>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numPr>
                <w:ilvl w:val="0"/>
                <w:numId w:val="0"/>
              </w:numPr>
              <w:ind w:left="0" w:firstLine="0"/>
            </w:pPr>
            <w:r>
              <w:t>Mandeln</w:t>
            </w:r>
          </w:p>
        </w:tc>
        <w:tc>
          <w:tcPr>
            <w:tcW w:w="2058" w:type="dxa"/>
            <w:tcMar>
              <w:top w:w="57" w:type="dxa"/>
              <w:left w:w="57" w:type="dxa"/>
              <w:bottom w:w="57" w:type="dxa"/>
              <w:right w:w="57" w:type="dxa"/>
            </w:tcMar>
            <w:tmTcPr id="1766737683" protected="0"/>
          </w:tcPr>
          <w:p>
            <w:pPr>
              <w:pStyle w:val="para0"/>
              <w:numPr>
                <w:ilvl w:val="0"/>
                <w:numId w:val="0"/>
              </w:numPr>
              <w:ind w:left="0" w:firstLine="0"/>
              <w:spacing/>
              <w:jc w:val="center"/>
            </w:pPr>
            <w:r>
              <w:t>0,04</w:t>
            </w:r>
          </w:p>
        </w:tc>
        <w:tc>
          <w:tcPr>
            <w:tcW w:w="2086"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11,518</w:t>
            </w:r>
          </w:p>
        </w:tc>
        <w:tc>
          <w:tcPr>
            <w:tcW w:w="1197"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1:261,8</w:t>
            </w:r>
          </w:p>
        </w:tc>
        <w:tc>
          <w:tcPr>
            <w:tcW w:w="1170" w:type="dxa"/>
            <w:tcMar>
              <w:top w:w="57" w:type="dxa"/>
              <w:left w:w="57" w:type="dxa"/>
              <w:bottom w:w="57" w:type="dxa"/>
              <w:right w:w="57" w:type="dxa"/>
            </w:tcMar>
            <w:tmTcPr id="1766737683" protected="0"/>
          </w:tcPr>
          <w:p>
            <w:pPr>
              <w:pStyle w:val="para0"/>
              <w:numPr>
                <w:ilvl w:val="0"/>
                <w:numId w:val="0"/>
              </w:numPr>
              <w:ind w:left="0" w:firstLine="0"/>
              <w:spacing/>
              <w:jc w:val="center"/>
              <w:rPr>
                <w:color w:val="ff0000"/>
              </w:rPr>
            </w:pPr>
            <w:r>
              <w:rPr>
                <w:color w:val="ff0000"/>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numPr>
                <w:ilvl w:val="0"/>
                <w:numId w:val="0"/>
              </w:numPr>
              <w:ind w:left="0" w:firstLine="0"/>
            </w:pPr>
            <w:r>
              <w:t>Pekannuss</w:t>
            </w:r>
          </w:p>
        </w:tc>
        <w:tc>
          <w:tcPr>
            <w:tcW w:w="2058" w:type="dxa"/>
            <w:tcMar>
              <w:top w:w="57" w:type="dxa"/>
              <w:left w:w="57" w:type="dxa"/>
              <w:bottom w:w="57" w:type="dxa"/>
              <w:right w:w="57" w:type="dxa"/>
            </w:tcMar>
            <w:tmTcPr id="1766737683" protected="0"/>
          </w:tcPr>
          <w:p>
            <w:pPr>
              <w:pStyle w:val="para0"/>
              <w:numPr>
                <w:ilvl w:val="0"/>
                <w:numId w:val="0"/>
              </w:numPr>
              <w:ind w:left="0" w:firstLine="0"/>
              <w:spacing/>
              <w:jc w:val="center"/>
            </w:pPr>
            <w:r>
              <w:t>0,76</w:t>
            </w:r>
          </w:p>
        </w:tc>
        <w:tc>
          <w:tcPr>
            <w:tcW w:w="2086"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15,210</w:t>
            </w:r>
          </w:p>
        </w:tc>
        <w:tc>
          <w:tcPr>
            <w:tcW w:w="1197"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1:20,1</w:t>
            </w:r>
          </w:p>
        </w:tc>
        <w:tc>
          <w:tcPr>
            <w:tcW w:w="1170" w:type="dxa"/>
            <w:tcMar>
              <w:top w:w="57" w:type="dxa"/>
              <w:left w:w="57" w:type="dxa"/>
              <w:bottom w:w="57" w:type="dxa"/>
              <w:right w:w="57" w:type="dxa"/>
            </w:tcMar>
            <w:tmTcPr id="1766737683" protected="0"/>
          </w:tcPr>
          <w:p>
            <w:pPr>
              <w:pStyle w:val="para0"/>
              <w:numPr>
                <w:ilvl w:val="0"/>
                <w:numId w:val="0"/>
              </w:numPr>
              <w:ind w:left="0" w:firstLine="0"/>
              <w:spacing/>
              <w:jc w:val="center"/>
              <w:rPr>
                <w:color w:val="ff0000"/>
              </w:rPr>
            </w:pPr>
            <w:r>
              <w:rPr>
                <w:color w:val="ff0000"/>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numPr>
                <w:ilvl w:val="0"/>
                <w:numId w:val="0"/>
              </w:numPr>
              <w:ind w:left="0" w:firstLine="0"/>
            </w:pPr>
            <w:r>
              <w:t>Paranuss</w:t>
            </w:r>
          </w:p>
        </w:tc>
        <w:tc>
          <w:tcPr>
            <w:tcW w:w="2058" w:type="dxa"/>
            <w:tcMar>
              <w:top w:w="57" w:type="dxa"/>
              <w:left w:w="57" w:type="dxa"/>
              <w:bottom w:w="57" w:type="dxa"/>
              <w:right w:w="57" w:type="dxa"/>
            </w:tcMar>
            <w:tmTcPr id="1766737683" protected="0"/>
          </w:tcPr>
          <w:p>
            <w:pPr>
              <w:pStyle w:val="para0"/>
              <w:numPr>
                <w:ilvl w:val="0"/>
                <w:numId w:val="0"/>
              </w:numPr>
              <w:ind w:left="0" w:firstLine="0"/>
              <w:spacing/>
              <w:jc w:val="center"/>
            </w:pPr>
            <w:r>
              <w:t>0,06</w:t>
            </w:r>
          </w:p>
        </w:tc>
        <w:tc>
          <w:tcPr>
            <w:tcW w:w="2086"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28,670</w:t>
            </w:r>
          </w:p>
        </w:tc>
        <w:tc>
          <w:tcPr>
            <w:tcW w:w="1197"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1:470</w:t>
            </w:r>
          </w:p>
        </w:tc>
        <w:tc>
          <w:tcPr>
            <w:tcW w:w="1170" w:type="dxa"/>
            <w:tcMar>
              <w:top w:w="57" w:type="dxa"/>
              <w:left w:w="57" w:type="dxa"/>
              <w:bottom w:w="57" w:type="dxa"/>
              <w:right w:w="57" w:type="dxa"/>
            </w:tcMar>
            <w:tmTcPr id="1766737683" protected="0"/>
          </w:tcPr>
          <w:p>
            <w:pPr>
              <w:pStyle w:val="para0"/>
              <w:numPr>
                <w:ilvl w:val="0"/>
                <w:numId w:val="0"/>
              </w:numPr>
              <w:ind w:left="0" w:firstLine="0"/>
              <w:spacing/>
              <w:jc w:val="center"/>
              <w:rPr>
                <w:color w:val="ff0000"/>
              </w:rPr>
            </w:pPr>
            <w:r>
              <w:rPr>
                <w:color w:val="ff0000"/>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numPr>
                <w:ilvl w:val="0"/>
                <w:numId w:val="0"/>
              </w:numPr>
              <w:ind w:left="0" w:firstLine="0"/>
            </w:pPr>
            <w:r>
              <w:t>Macadamia</w:t>
            </w:r>
          </w:p>
        </w:tc>
        <w:tc>
          <w:tcPr>
            <w:tcW w:w="2058" w:type="dxa"/>
            <w:tcMar>
              <w:top w:w="57" w:type="dxa"/>
              <w:left w:w="57" w:type="dxa"/>
              <w:bottom w:w="57" w:type="dxa"/>
              <w:right w:w="57" w:type="dxa"/>
            </w:tcMar>
            <w:tmTcPr id="1766737683" protected="0"/>
          </w:tcPr>
          <w:p>
            <w:pPr>
              <w:pStyle w:val="para0"/>
              <w:numPr>
                <w:ilvl w:val="0"/>
                <w:numId w:val="0"/>
              </w:numPr>
              <w:ind w:left="0" w:firstLine="0"/>
              <w:spacing/>
              <w:jc w:val="center"/>
            </w:pPr>
            <w:r>
              <w:t>0,98</w:t>
            </w:r>
          </w:p>
        </w:tc>
        <w:tc>
          <w:tcPr>
            <w:tcW w:w="2086"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1,740</w:t>
            </w:r>
          </w:p>
        </w:tc>
        <w:tc>
          <w:tcPr>
            <w:tcW w:w="1197"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1:1,8</w:t>
            </w:r>
          </w:p>
        </w:tc>
        <w:tc>
          <w:tcPr>
            <w:tcW w:w="1170" w:type="dxa"/>
            <w:tcMar>
              <w:top w:w="57" w:type="dxa"/>
              <w:left w:w="57" w:type="dxa"/>
              <w:bottom w:w="57" w:type="dxa"/>
              <w:right w:w="57" w:type="dxa"/>
            </w:tcMar>
            <w:tmTcPr id="1766737683" protected="0"/>
          </w:tcPr>
          <w:p>
            <w:pPr>
              <w:pStyle w:val="para0"/>
              <w:numPr>
                <w:ilvl w:val="0"/>
                <w:numId w:val="0"/>
              </w:numPr>
              <w:ind w:left="0" w:firstLine="0"/>
              <w:spacing/>
              <w:jc w:val="center"/>
              <w:rPr>
                <w:color w:val="007f7f"/>
              </w:rPr>
            </w:pPr>
            <w:r>
              <w:rPr>
                <w:color w:val="007f7f"/>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numPr>
                <w:ilvl w:val="0"/>
                <w:numId w:val="0"/>
              </w:numPr>
              <w:ind w:left="0" w:firstLine="0"/>
            </w:pPr>
            <w:r>
              <w:t>Pinienkerne</w:t>
            </w:r>
          </w:p>
        </w:tc>
        <w:tc>
          <w:tcPr>
            <w:tcW w:w="2058" w:type="dxa"/>
            <w:tcMar>
              <w:top w:w="57" w:type="dxa"/>
              <w:left w:w="57" w:type="dxa"/>
              <w:bottom w:w="57" w:type="dxa"/>
              <w:right w:w="57" w:type="dxa"/>
            </w:tcMar>
            <w:tmTcPr id="1766737683" protected="0"/>
          </w:tcPr>
          <w:p>
            <w:pPr>
              <w:pStyle w:val="para0"/>
              <w:numPr>
                <w:ilvl w:val="0"/>
                <w:numId w:val="0"/>
              </w:numPr>
              <w:ind w:left="0" w:firstLine="0"/>
              <w:spacing/>
              <w:jc w:val="center"/>
            </w:pPr>
            <w:r>
              <w:t>0,63</w:t>
            </w:r>
          </w:p>
        </w:tc>
        <w:tc>
          <w:tcPr>
            <w:tcW w:w="2086"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22,103</w:t>
            </w:r>
          </w:p>
        </w:tc>
        <w:tc>
          <w:tcPr>
            <w:tcW w:w="1197"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1:35,1</w:t>
            </w:r>
          </w:p>
        </w:tc>
        <w:tc>
          <w:tcPr>
            <w:tcW w:w="1170" w:type="dxa"/>
            <w:tcMar>
              <w:top w:w="57" w:type="dxa"/>
              <w:left w:w="57" w:type="dxa"/>
              <w:bottom w:w="57" w:type="dxa"/>
              <w:right w:w="57" w:type="dxa"/>
            </w:tcMar>
            <w:tmTcPr id="1766737683" protected="0"/>
          </w:tcPr>
          <w:p>
            <w:pPr>
              <w:pStyle w:val="para0"/>
              <w:numPr>
                <w:ilvl w:val="0"/>
                <w:numId w:val="0"/>
              </w:numPr>
              <w:ind w:left="0" w:firstLine="0"/>
              <w:spacing/>
              <w:jc w:val="center"/>
              <w:rPr>
                <w:color w:val="ff0000"/>
              </w:rPr>
            </w:pPr>
            <w:r>
              <w:rPr>
                <w:color w:val="ff0000"/>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numPr>
                <w:ilvl w:val="0"/>
                <w:numId w:val="0"/>
              </w:numPr>
              <w:ind w:left="0" w:firstLine="0"/>
            </w:pPr>
            <w:r>
              <w:t>Sonnenblumenkerne</w:t>
            </w:r>
          </w:p>
        </w:tc>
        <w:tc>
          <w:tcPr>
            <w:tcW w:w="2058" w:type="dxa"/>
            <w:tcMar>
              <w:top w:w="57" w:type="dxa"/>
              <w:left w:w="57" w:type="dxa"/>
              <w:bottom w:w="57" w:type="dxa"/>
              <w:right w:w="57" w:type="dxa"/>
            </w:tcMar>
            <w:tmTcPr id="1766737683" protected="0"/>
          </w:tcPr>
          <w:p>
            <w:pPr>
              <w:pStyle w:val="para0"/>
              <w:numPr>
                <w:ilvl w:val="0"/>
                <w:numId w:val="0"/>
              </w:numPr>
              <w:ind w:left="0" w:firstLine="0"/>
              <w:spacing/>
              <w:jc w:val="center"/>
            </w:pPr>
            <w:r>
              <w:t>0,03</w:t>
            </w:r>
          </w:p>
        </w:tc>
        <w:tc>
          <w:tcPr>
            <w:tcW w:w="2086"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16,553</w:t>
            </w:r>
          </w:p>
        </w:tc>
        <w:tc>
          <w:tcPr>
            <w:tcW w:w="1197"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1:636,7</w:t>
            </w:r>
          </w:p>
        </w:tc>
        <w:tc>
          <w:tcPr>
            <w:tcW w:w="1170" w:type="dxa"/>
            <w:tcMar>
              <w:top w:w="57" w:type="dxa"/>
              <w:left w:w="57" w:type="dxa"/>
              <w:bottom w:w="57" w:type="dxa"/>
              <w:right w:w="57" w:type="dxa"/>
            </w:tcMar>
            <w:tmTcPr id="1766737683" protected="0"/>
          </w:tcPr>
          <w:p>
            <w:pPr>
              <w:pStyle w:val="para0"/>
              <w:numPr>
                <w:ilvl w:val="0"/>
                <w:numId w:val="0"/>
              </w:numPr>
              <w:ind w:left="0" w:firstLine="0"/>
              <w:spacing/>
              <w:jc w:val="center"/>
              <w:rPr>
                <w:color w:val="ff0000"/>
              </w:rPr>
            </w:pPr>
            <w:r>
              <w:rPr>
                <w:color w:val="ff0000"/>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numPr>
                <w:ilvl w:val="0"/>
                <w:numId w:val="0"/>
              </w:numPr>
              <w:ind w:left="0" w:firstLine="0"/>
            </w:pPr>
            <w:r>
              <w:t>Pistazie</w:t>
            </w:r>
          </w:p>
        </w:tc>
        <w:tc>
          <w:tcPr>
            <w:tcW w:w="2058" w:type="dxa"/>
            <w:tcMar>
              <w:top w:w="57" w:type="dxa"/>
              <w:left w:w="57" w:type="dxa"/>
              <w:bottom w:w="57" w:type="dxa"/>
              <w:right w:w="57" w:type="dxa"/>
            </w:tcMar>
            <w:tmTcPr id="1766737683" protected="0"/>
          </w:tcPr>
          <w:p>
            <w:pPr>
              <w:pStyle w:val="para0"/>
              <w:numPr>
                <w:ilvl w:val="0"/>
                <w:numId w:val="0"/>
              </w:numPr>
              <w:ind w:left="0" w:firstLine="0"/>
              <w:spacing/>
              <w:jc w:val="center"/>
            </w:pPr>
            <w:r>
              <w:t>0,20</w:t>
            </w:r>
          </w:p>
        </w:tc>
        <w:tc>
          <w:tcPr>
            <w:tcW w:w="2086"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7,412</w:t>
            </w:r>
          </w:p>
        </w:tc>
        <w:tc>
          <w:tcPr>
            <w:tcW w:w="1197" w:type="dxa"/>
            <w:gridSpan w:val="2"/>
            <w:tcMar>
              <w:top w:w="57" w:type="dxa"/>
              <w:left w:w="57" w:type="dxa"/>
              <w:bottom w:w="57" w:type="dxa"/>
              <w:right w:w="57" w:type="dxa"/>
            </w:tcMar>
            <w:tmTcPr id="1766737683" protected="0"/>
          </w:tcPr>
          <w:p>
            <w:pPr>
              <w:pStyle w:val="para0"/>
              <w:numPr>
                <w:ilvl w:val="0"/>
                <w:numId w:val="0"/>
              </w:numPr>
              <w:ind w:left="0" w:firstLine="0"/>
              <w:spacing/>
              <w:jc w:val="center"/>
            </w:pPr>
            <w:r>
              <w:t>1:38</w:t>
            </w:r>
          </w:p>
        </w:tc>
        <w:tc>
          <w:tcPr>
            <w:tcW w:w="1170" w:type="dxa"/>
            <w:tcMar>
              <w:top w:w="57" w:type="dxa"/>
              <w:left w:w="57" w:type="dxa"/>
              <w:bottom w:w="57" w:type="dxa"/>
              <w:right w:w="57" w:type="dxa"/>
            </w:tcMar>
            <w:tmTcPr id="1766737683" protected="0"/>
          </w:tcPr>
          <w:p>
            <w:pPr>
              <w:pStyle w:val="para0"/>
              <w:numPr>
                <w:ilvl w:val="0"/>
                <w:numId w:val="0"/>
              </w:numPr>
              <w:ind w:left="0" w:firstLine="0"/>
              <w:spacing/>
              <w:jc w:val="center"/>
              <w:rPr>
                <w:color w:val="ff0000"/>
              </w:rPr>
            </w:pPr>
            <w:r>
              <w:rPr>
                <w:color w:val="ff0000"/>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pPr>
            <w:r>
              <w:t>Samen</w:t>
            </w:r>
          </w:p>
        </w:tc>
        <w:tc>
          <w:tcPr>
            <w:tcW w:w="2058" w:type="dxa"/>
            <w:tcMar>
              <w:top w:w="57" w:type="dxa"/>
              <w:left w:w="57" w:type="dxa"/>
              <w:bottom w:w="57" w:type="dxa"/>
              <w:right w:w="57" w:type="dxa"/>
            </w:tcMar>
            <w:tmTcPr id="1766737683" protected="0"/>
          </w:tcPr>
          <w:p>
            <w:pPr>
              <w:pStyle w:val="para0"/>
              <w:spacing/>
              <w:jc w:val="center"/>
            </w:pPr>
            <w:r>
              <w:t>Omega-3 (g/100g)</w:t>
            </w:r>
          </w:p>
        </w:tc>
        <w:tc>
          <w:tcPr>
            <w:tcW w:w="2041" w:type="dxa"/>
            <w:tcMar>
              <w:top w:w="57" w:type="dxa"/>
              <w:left w:w="57" w:type="dxa"/>
              <w:bottom w:w="57" w:type="dxa"/>
              <w:right w:w="57" w:type="dxa"/>
            </w:tcMar>
            <w:tmTcPr id="1766737683" protected="0"/>
          </w:tcPr>
          <w:p>
            <w:pPr>
              <w:pStyle w:val="para0"/>
              <w:spacing/>
              <w:jc w:val="center"/>
            </w:pPr>
            <w:r>
              <w:t>Omega-6 (g/100g)</w:t>
            </w:r>
          </w:p>
        </w:tc>
        <w:tc>
          <w:tcPr>
            <w:tcW w:w="1151" w:type="dxa"/>
            <w:gridSpan w:val="2"/>
            <w:tcMar>
              <w:top w:w="57" w:type="dxa"/>
              <w:left w:w="57" w:type="dxa"/>
              <w:bottom w:w="57" w:type="dxa"/>
              <w:right w:w="57" w:type="dxa"/>
            </w:tcMar>
            <w:tmTcPr id="1766737683" protected="0"/>
          </w:tcPr>
          <w:p>
            <w:pPr>
              <w:pStyle w:val="para0"/>
              <w:spacing/>
              <w:jc w:val="center"/>
            </w:pPr>
            <w:r>
              <w:t>Verhältnis</w:t>
            </w:r>
          </w:p>
        </w:tc>
        <w:tc>
          <w:tcPr>
            <w:tcW w:w="1261" w:type="dxa"/>
            <w:gridSpan w:val="2"/>
            <w:tcMar>
              <w:top w:w="57" w:type="dxa"/>
              <w:left w:w="57" w:type="dxa"/>
              <w:bottom w:w="57" w:type="dxa"/>
              <w:right w:w="57" w:type="dxa"/>
            </w:tcMar>
            <w:tmTcPr id="1766737683" protected="0"/>
          </w:tcPr>
          <w:p>
            <w:pPr>
              <w:pStyle w:val="para0"/>
              <w:spacing/>
              <w:jc w:val="center"/>
            </w:pPr>
            <w:r>
              <w:t>Omega-Punkte</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pPr>
            <w:r>
              <w:t>Leinsamen</w:t>
            </w:r>
          </w:p>
        </w:tc>
        <w:tc>
          <w:tcPr>
            <w:tcW w:w="2058" w:type="dxa"/>
            <w:tcMar>
              <w:top w:w="57" w:type="dxa"/>
              <w:left w:w="57" w:type="dxa"/>
              <w:bottom w:w="57" w:type="dxa"/>
              <w:right w:w="57" w:type="dxa"/>
            </w:tcMar>
            <w:tmTcPr id="1766737683" protected="0"/>
          </w:tcPr>
          <w:p>
            <w:pPr>
              <w:pStyle w:val="para0"/>
              <w:spacing/>
              <w:jc w:val="center"/>
            </w:pPr>
            <w:r>
              <w:t>20,18</w:t>
            </w:r>
          </w:p>
        </w:tc>
        <w:tc>
          <w:tcPr>
            <w:tcW w:w="2041" w:type="dxa"/>
            <w:tcMar>
              <w:top w:w="57" w:type="dxa"/>
              <w:left w:w="57" w:type="dxa"/>
              <w:bottom w:w="57" w:type="dxa"/>
              <w:right w:w="57" w:type="dxa"/>
            </w:tcMar>
            <w:tmTcPr id="1766737683" protected="0"/>
          </w:tcPr>
          <w:p>
            <w:pPr>
              <w:pStyle w:val="para0"/>
              <w:spacing/>
              <w:jc w:val="center"/>
            </w:pPr>
            <w:r>
              <w:t>5,453</w:t>
            </w:r>
          </w:p>
        </w:tc>
        <w:tc>
          <w:tcPr>
            <w:tcW w:w="1151" w:type="dxa"/>
            <w:gridSpan w:val="2"/>
            <w:tcMar>
              <w:top w:w="57" w:type="dxa"/>
              <w:left w:w="57" w:type="dxa"/>
              <w:bottom w:w="57" w:type="dxa"/>
              <w:right w:w="57" w:type="dxa"/>
            </w:tcMar>
            <w:tmTcPr id="1766737683" protected="0"/>
          </w:tcPr>
          <w:p>
            <w:pPr>
              <w:pStyle w:val="para0"/>
              <w:spacing/>
              <w:jc w:val="center"/>
            </w:pPr>
            <w:r>
              <w:t>3,7:1</w:t>
            </w:r>
          </w:p>
        </w:tc>
        <w:tc>
          <w:tcPr>
            <w:tcW w:w="1261" w:type="dxa"/>
            <w:gridSpan w:val="2"/>
            <w:tcMar>
              <w:top w:w="57" w:type="dxa"/>
              <w:left w:w="57" w:type="dxa"/>
              <w:bottom w:w="57" w:type="dxa"/>
              <w:right w:w="57" w:type="dxa"/>
            </w:tcMar>
            <w:tmTcPr id="1766737683" protected="0"/>
          </w:tcPr>
          <w:p>
            <w:pPr>
              <w:pStyle w:val="para0"/>
              <w:spacing/>
              <w:jc w:val="center"/>
              <w:rPr>
                <w:color w:val="007f7f"/>
              </w:rPr>
            </w:pPr>
            <w:r>
              <w:rPr>
                <w:color w:val="007f7f"/>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pPr>
            <w:r>
              <w:t>Chiasamen</w:t>
            </w:r>
          </w:p>
        </w:tc>
        <w:tc>
          <w:tcPr>
            <w:tcW w:w="2058" w:type="dxa"/>
            <w:tcMar>
              <w:top w:w="57" w:type="dxa"/>
              <w:left w:w="57" w:type="dxa"/>
              <w:bottom w:w="57" w:type="dxa"/>
              <w:right w:w="57" w:type="dxa"/>
            </w:tcMar>
            <w:tmTcPr id="1766737683" protected="0"/>
          </w:tcPr>
          <w:p>
            <w:pPr>
              <w:pStyle w:val="para0"/>
              <w:spacing/>
              <w:jc w:val="center"/>
            </w:pPr>
            <w:r>
              <w:t>17,83</w:t>
            </w:r>
          </w:p>
        </w:tc>
        <w:tc>
          <w:tcPr>
            <w:tcW w:w="2041" w:type="dxa"/>
            <w:tcMar>
              <w:top w:w="57" w:type="dxa"/>
              <w:left w:w="57" w:type="dxa"/>
              <w:bottom w:w="57" w:type="dxa"/>
              <w:right w:w="57" w:type="dxa"/>
            </w:tcMar>
            <w:tmTcPr id="1766737683" protected="0"/>
          </w:tcPr>
          <w:p>
            <w:pPr>
              <w:pStyle w:val="para0"/>
              <w:spacing/>
              <w:jc w:val="center"/>
            </w:pPr>
            <w:r>
              <w:t>5,835</w:t>
            </w:r>
          </w:p>
        </w:tc>
        <w:tc>
          <w:tcPr>
            <w:tcW w:w="1151" w:type="dxa"/>
            <w:gridSpan w:val="2"/>
            <w:tcMar>
              <w:top w:w="57" w:type="dxa"/>
              <w:left w:w="57" w:type="dxa"/>
              <w:bottom w:w="57" w:type="dxa"/>
              <w:right w:w="57" w:type="dxa"/>
            </w:tcMar>
            <w:tmTcPr id="1766737683" protected="0"/>
          </w:tcPr>
          <w:p>
            <w:pPr>
              <w:pStyle w:val="para0"/>
              <w:spacing/>
              <w:jc w:val="center"/>
            </w:pPr>
            <w:r>
              <w:t>3,1:1</w:t>
            </w:r>
          </w:p>
        </w:tc>
        <w:tc>
          <w:tcPr>
            <w:tcW w:w="1261" w:type="dxa"/>
            <w:gridSpan w:val="2"/>
            <w:tcMar>
              <w:top w:w="57" w:type="dxa"/>
              <w:left w:w="57" w:type="dxa"/>
              <w:bottom w:w="57" w:type="dxa"/>
              <w:right w:w="57" w:type="dxa"/>
            </w:tcMar>
            <w:tmTcPr id="1766737683" protected="0"/>
          </w:tcPr>
          <w:p>
            <w:pPr>
              <w:pStyle w:val="para0"/>
              <w:spacing/>
              <w:jc w:val="center"/>
              <w:rPr>
                <w:color w:val="007f7f"/>
              </w:rPr>
            </w:pPr>
            <w:r>
              <w:rPr>
                <w:color w:val="007f7f"/>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pPr>
            <w:r>
              <w:t>Hanfsamen (ungeschält)</w:t>
            </w:r>
          </w:p>
        </w:tc>
        <w:tc>
          <w:tcPr>
            <w:tcW w:w="2058" w:type="dxa"/>
            <w:tcMar>
              <w:top w:w="57" w:type="dxa"/>
              <w:left w:w="57" w:type="dxa"/>
              <w:bottom w:w="57" w:type="dxa"/>
              <w:right w:w="57" w:type="dxa"/>
            </w:tcMar>
            <w:tmTcPr id="1766737683" protected="0"/>
          </w:tcPr>
          <w:p>
            <w:pPr>
              <w:pStyle w:val="para0"/>
              <w:spacing/>
              <w:jc w:val="center"/>
            </w:pPr>
            <w:r>
              <w:t>7,81</w:t>
            </w:r>
          </w:p>
        </w:tc>
        <w:tc>
          <w:tcPr>
            <w:tcW w:w="2041" w:type="dxa"/>
            <w:tcMar>
              <w:top w:w="57" w:type="dxa"/>
              <w:left w:w="57" w:type="dxa"/>
              <w:bottom w:w="57" w:type="dxa"/>
              <w:right w:w="57" w:type="dxa"/>
            </w:tcMar>
            <w:tmTcPr id="1766737683" protected="0"/>
          </w:tcPr>
          <w:p>
            <w:pPr>
              <w:pStyle w:val="para0"/>
              <w:spacing/>
              <w:jc w:val="center"/>
            </w:pPr>
            <w:r>
              <w:t>19,880</w:t>
            </w:r>
          </w:p>
        </w:tc>
        <w:tc>
          <w:tcPr>
            <w:tcW w:w="1151" w:type="dxa"/>
            <w:gridSpan w:val="2"/>
            <w:tcMar>
              <w:top w:w="57" w:type="dxa"/>
              <w:left w:w="57" w:type="dxa"/>
              <w:bottom w:w="57" w:type="dxa"/>
              <w:right w:w="57" w:type="dxa"/>
            </w:tcMar>
            <w:tmTcPr id="1766737683" protected="0"/>
          </w:tcPr>
          <w:p>
            <w:pPr>
              <w:pStyle w:val="para0"/>
              <w:spacing/>
              <w:jc w:val="center"/>
            </w:pPr>
            <w:r>
              <w:t>1:2,3</w:t>
            </w:r>
          </w:p>
        </w:tc>
        <w:tc>
          <w:tcPr>
            <w:tcW w:w="1261" w:type="dxa"/>
            <w:gridSpan w:val="2"/>
            <w:tcMar>
              <w:top w:w="57" w:type="dxa"/>
              <w:left w:w="57" w:type="dxa"/>
              <w:bottom w:w="57" w:type="dxa"/>
              <w:right w:w="57" w:type="dxa"/>
            </w:tcMar>
            <w:tmTcPr id="1766737683" protected="0"/>
          </w:tcPr>
          <w:p>
            <w:pPr>
              <w:pStyle w:val="para0"/>
              <w:spacing/>
              <w:jc w:val="center"/>
              <w:rPr>
                <w:color w:val="007f7f"/>
              </w:rPr>
            </w:pPr>
            <w:r>
              <w:rPr>
                <w:color w:val="007f7f"/>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pPr>
            <w:r>
              <w:t>Hanfsamen (geschält)</w:t>
            </w:r>
          </w:p>
        </w:tc>
        <w:tc>
          <w:tcPr>
            <w:tcW w:w="2058" w:type="dxa"/>
            <w:tcMar>
              <w:top w:w="57" w:type="dxa"/>
              <w:left w:w="57" w:type="dxa"/>
              <w:bottom w:w="57" w:type="dxa"/>
              <w:right w:w="57" w:type="dxa"/>
            </w:tcMar>
            <w:tmTcPr id="1766737683" protected="0"/>
          </w:tcPr>
          <w:p>
            <w:pPr>
              <w:pStyle w:val="para0"/>
              <w:spacing/>
              <w:jc w:val="center"/>
            </w:pPr>
            <w:r>
              <w:t>8,68</w:t>
            </w:r>
          </w:p>
        </w:tc>
        <w:tc>
          <w:tcPr>
            <w:tcW w:w="2041" w:type="dxa"/>
            <w:tcMar>
              <w:top w:w="57" w:type="dxa"/>
              <w:left w:w="57" w:type="dxa"/>
              <w:bottom w:w="57" w:type="dxa"/>
              <w:right w:w="57" w:type="dxa"/>
            </w:tcMar>
            <w:tmTcPr id="1766737683" protected="0"/>
          </w:tcPr>
          <w:p>
            <w:pPr>
              <w:pStyle w:val="para0"/>
              <w:spacing/>
              <w:jc w:val="center"/>
            </w:pPr>
            <w:r>
              <w:t>27,459</w:t>
            </w:r>
          </w:p>
        </w:tc>
        <w:tc>
          <w:tcPr>
            <w:tcW w:w="1151" w:type="dxa"/>
            <w:gridSpan w:val="2"/>
            <w:tcMar>
              <w:top w:w="57" w:type="dxa"/>
              <w:left w:w="57" w:type="dxa"/>
              <w:bottom w:w="57" w:type="dxa"/>
              <w:right w:w="57" w:type="dxa"/>
            </w:tcMar>
            <w:tmTcPr id="1766737683" protected="0"/>
          </w:tcPr>
          <w:p>
            <w:pPr>
              <w:pStyle w:val="para0"/>
              <w:spacing/>
              <w:jc w:val="center"/>
            </w:pPr>
            <w:r>
              <w:t>1:3</w:t>
            </w:r>
          </w:p>
        </w:tc>
        <w:tc>
          <w:tcPr>
            <w:tcW w:w="1261" w:type="dxa"/>
            <w:gridSpan w:val="2"/>
            <w:tcMar>
              <w:top w:w="57" w:type="dxa"/>
              <w:left w:w="57" w:type="dxa"/>
              <w:bottom w:w="57" w:type="dxa"/>
              <w:right w:w="57" w:type="dxa"/>
            </w:tcMar>
            <w:tmTcPr id="1766737683" protected="0"/>
          </w:tcPr>
          <w:p>
            <w:pPr>
              <w:pStyle w:val="para0"/>
              <w:spacing/>
              <w:jc w:val="center"/>
              <w:rPr>
                <w:color w:val="007f7f"/>
              </w:rPr>
            </w:pPr>
            <w:r>
              <w:rPr>
                <w:color w:val="007f7f"/>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pPr>
            <w:r>
              <w:t>Sesam</w:t>
            </w:r>
          </w:p>
        </w:tc>
        <w:tc>
          <w:tcPr>
            <w:tcW w:w="2058" w:type="dxa"/>
            <w:tcMar>
              <w:top w:w="57" w:type="dxa"/>
              <w:left w:w="57" w:type="dxa"/>
              <w:bottom w:w="57" w:type="dxa"/>
              <w:right w:w="57" w:type="dxa"/>
            </w:tcMar>
            <w:tmTcPr id="1766737683" protected="0"/>
          </w:tcPr>
          <w:p>
            <w:pPr>
              <w:pStyle w:val="para0"/>
              <w:spacing/>
              <w:jc w:val="center"/>
            </w:pPr>
            <w:r>
              <w:t>0,07</w:t>
            </w:r>
          </w:p>
        </w:tc>
        <w:tc>
          <w:tcPr>
            <w:tcW w:w="2041" w:type="dxa"/>
            <w:tcMar>
              <w:top w:w="57" w:type="dxa"/>
              <w:left w:w="57" w:type="dxa"/>
              <w:bottom w:w="57" w:type="dxa"/>
              <w:right w:w="57" w:type="dxa"/>
            </w:tcMar>
            <w:tmTcPr id="1766737683" protected="0"/>
          </w:tcPr>
          <w:p>
            <w:pPr>
              <w:pStyle w:val="para0"/>
              <w:spacing/>
              <w:jc w:val="center"/>
            </w:pPr>
            <w:r>
              <w:t>18,700</w:t>
            </w:r>
          </w:p>
        </w:tc>
        <w:tc>
          <w:tcPr>
            <w:tcW w:w="1151" w:type="dxa"/>
            <w:gridSpan w:val="2"/>
            <w:tcMar>
              <w:top w:w="57" w:type="dxa"/>
              <w:left w:w="57" w:type="dxa"/>
              <w:bottom w:w="57" w:type="dxa"/>
              <w:right w:w="57" w:type="dxa"/>
            </w:tcMar>
            <w:tmTcPr id="1766737683" protected="0"/>
          </w:tcPr>
          <w:p>
            <w:pPr>
              <w:pStyle w:val="para0"/>
              <w:spacing/>
              <w:jc w:val="center"/>
            </w:pPr>
            <w:r>
              <w:t>1:27,9</w:t>
            </w:r>
          </w:p>
        </w:tc>
        <w:tc>
          <w:tcPr>
            <w:tcW w:w="1261" w:type="dxa"/>
            <w:gridSpan w:val="2"/>
            <w:tcMar>
              <w:top w:w="57" w:type="dxa"/>
              <w:left w:w="57" w:type="dxa"/>
              <w:bottom w:w="57" w:type="dxa"/>
              <w:right w:w="57" w:type="dxa"/>
            </w:tcMar>
            <w:tmTcPr id="1766737683" protected="0"/>
          </w:tcPr>
          <w:p>
            <w:pPr>
              <w:pStyle w:val="para0"/>
              <w:spacing/>
              <w:jc w:val="center"/>
              <w:rPr>
                <w:color w:val="ff0000"/>
              </w:rPr>
            </w:pPr>
            <w:r>
              <w:rPr>
                <w:color w:val="ff0000"/>
              </w:rPr>
              <w:t>**</w:t>
            </w:r>
          </w:p>
        </w:tc>
      </w:tr>
      <w:tr>
        <w:trPr>
          <w:tblHeader w:val="0"/>
          <w:cantSplit w:val="0"/>
          <w:trHeight w:val="0" w:hRule="auto"/>
        </w:trPr>
        <w:tc>
          <w:tcPr>
            <w:tcW w:w="2556" w:type="dxa"/>
            <w:tcMar>
              <w:top w:w="57" w:type="dxa"/>
              <w:left w:w="57" w:type="dxa"/>
              <w:bottom w:w="57" w:type="dxa"/>
              <w:right w:w="57" w:type="dxa"/>
            </w:tcMar>
            <w:tmTcPr id="1766737683" protected="0"/>
          </w:tcPr>
          <w:p>
            <w:pPr>
              <w:pStyle w:val="para0"/>
            </w:pPr>
            <w:r>
              <w:t>Mohn</w:t>
            </w:r>
          </w:p>
        </w:tc>
        <w:tc>
          <w:tcPr>
            <w:tcW w:w="2058" w:type="dxa"/>
            <w:tcMar>
              <w:top w:w="57" w:type="dxa"/>
              <w:left w:w="57" w:type="dxa"/>
              <w:bottom w:w="57" w:type="dxa"/>
              <w:right w:w="57" w:type="dxa"/>
            </w:tcMar>
            <w:tmTcPr id="1766737683" protected="0"/>
          </w:tcPr>
          <w:p>
            <w:pPr>
              <w:pStyle w:val="para0"/>
              <w:spacing/>
              <w:jc w:val="center"/>
            </w:pPr>
            <w:r>
              <w:t>0,42</w:t>
            </w:r>
          </w:p>
        </w:tc>
        <w:tc>
          <w:tcPr>
            <w:tcW w:w="2041" w:type="dxa"/>
            <w:tcMar>
              <w:top w:w="57" w:type="dxa"/>
              <w:left w:w="57" w:type="dxa"/>
              <w:bottom w:w="57" w:type="dxa"/>
              <w:right w:w="57" w:type="dxa"/>
            </w:tcMar>
            <w:tmTcPr id="1766737683" protected="0"/>
          </w:tcPr>
          <w:p>
            <w:pPr>
              <w:pStyle w:val="para0"/>
              <w:spacing/>
              <w:jc w:val="center"/>
            </w:pPr>
            <w:r>
              <w:t>30,720</w:t>
            </w:r>
          </w:p>
        </w:tc>
        <w:tc>
          <w:tcPr>
            <w:tcW w:w="1151" w:type="dxa"/>
            <w:gridSpan w:val="2"/>
            <w:tcMar>
              <w:top w:w="57" w:type="dxa"/>
              <w:left w:w="57" w:type="dxa"/>
              <w:bottom w:w="57" w:type="dxa"/>
              <w:right w:w="57" w:type="dxa"/>
            </w:tcMar>
            <w:tmTcPr id="1766737683" protected="0"/>
          </w:tcPr>
          <w:p>
            <w:pPr>
              <w:pStyle w:val="para0"/>
              <w:spacing/>
              <w:jc w:val="center"/>
            </w:pPr>
            <w:r>
              <w:t>1:73,1</w:t>
            </w:r>
          </w:p>
        </w:tc>
        <w:tc>
          <w:tcPr>
            <w:tcW w:w="1261" w:type="dxa"/>
            <w:gridSpan w:val="2"/>
            <w:tcMar>
              <w:top w:w="57" w:type="dxa"/>
              <w:left w:w="57" w:type="dxa"/>
              <w:bottom w:w="57" w:type="dxa"/>
              <w:right w:w="57" w:type="dxa"/>
            </w:tcMar>
            <w:tmTcPr id="1766737683" protected="0"/>
          </w:tcPr>
          <w:p>
            <w:pPr>
              <w:pStyle w:val="para0"/>
              <w:spacing/>
              <w:jc w:val="center"/>
              <w:rPr>
                <w:color w:val="ff0000"/>
              </w:rPr>
            </w:pPr>
            <w:r>
              <w:rPr>
                <w:color w:val="ff0000"/>
              </w:rPr>
              <w:t>***</w:t>
            </w:r>
          </w:p>
        </w:tc>
      </w:tr>
    </w:tbl>
    <w:p>
      <w:r/>
    </w:p>
    <w:tbl>
      <w:tblPr>
        <w:tblStyle w:val="TableGrid"/>
        <w:name w:val="Tabelle48"/>
        <w:tabOrder w:val="0"/>
        <w:jc w:val="left"/>
        <w:tblInd w:w="0" w:type="dxa"/>
        <w:tblW w:w="9026" w:type="dxa"/>
        <w:pPr>
          <w:spacing/>
          <w:jc w:val="left"/>
        </w:pPr>
        <w:tblLook w:val="04A0" w:firstRow="1" w:lastRow="0" w:firstColumn="1" w:lastColumn="0" w:noHBand="0" w:noVBand="1"/>
      </w:tblPr>
      <w:tblGrid>
        <w:gridCol w:w="2570"/>
        <w:gridCol w:w="2042"/>
        <w:gridCol w:w="2050"/>
        <w:gridCol w:w="1196"/>
        <w:gridCol w:w="1168"/>
      </w:tblGrid>
      <w:tr>
        <w:trPr>
          <w:tblHeader w:val="0"/>
          <w:cantSplit w:val="0"/>
          <w:trHeight w:val="0" w:hRule="auto"/>
        </w:trPr>
        <w:tc>
          <w:tcPr>
            <w:tcW w:w="2570" w:type="dxa"/>
            <w:tcMar>
              <w:top w:w="57" w:type="dxa"/>
              <w:left w:w="57" w:type="dxa"/>
              <w:bottom w:w="57" w:type="dxa"/>
              <w:right w:w="57" w:type="dxa"/>
            </w:tcMar>
            <w:tmTcPr id="1766737683" protected="0"/>
          </w:tcPr>
          <w:p>
            <w:pPr>
              <w:spacing/>
              <w:jc w:val="left"/>
            </w:pPr>
            <w:r>
              <w:t>Pflanzliche Öle und Fette</w:t>
            </w:r>
          </w:p>
        </w:tc>
        <w:tc>
          <w:tcPr>
            <w:tcW w:w="2042" w:type="dxa"/>
            <w:tcMar>
              <w:top w:w="57" w:type="dxa"/>
              <w:left w:w="57" w:type="dxa"/>
              <w:bottom w:w="57" w:type="dxa"/>
              <w:right w:w="57" w:type="dxa"/>
            </w:tcMar>
            <w:tmTcPr id="1766737683" protected="0"/>
          </w:tcPr>
          <w:p>
            <w:pPr>
              <w:spacing/>
              <w:jc w:val="center"/>
            </w:pPr>
            <w:r>
              <w:t>Omega-3 (g/100g)</w:t>
            </w:r>
          </w:p>
        </w:tc>
        <w:tc>
          <w:tcPr>
            <w:tcW w:w="2050" w:type="dxa"/>
            <w:tcMar>
              <w:top w:w="57" w:type="dxa"/>
              <w:left w:w="57" w:type="dxa"/>
              <w:bottom w:w="57" w:type="dxa"/>
              <w:right w:w="57" w:type="dxa"/>
            </w:tcMar>
            <w:tmTcPr id="1766737683" protected="0"/>
          </w:tcPr>
          <w:p>
            <w:pPr>
              <w:spacing/>
              <w:jc w:val="center"/>
            </w:pPr>
            <w:r>
              <w:t>Omega-6 (g/100g)</w:t>
            </w:r>
          </w:p>
        </w:tc>
        <w:tc>
          <w:tcPr>
            <w:tcW w:w="1196" w:type="dxa"/>
            <w:tcMar>
              <w:top w:w="57" w:type="dxa"/>
              <w:left w:w="57" w:type="dxa"/>
              <w:bottom w:w="57" w:type="dxa"/>
              <w:right w:w="57" w:type="dxa"/>
            </w:tcMar>
            <w:tmTcPr id="1766737683" protected="0"/>
          </w:tcPr>
          <w:p>
            <w:pPr>
              <w:spacing/>
              <w:jc w:val="center"/>
            </w:pPr>
            <w:r>
              <w:t>Verhältnis</w:t>
            </w:r>
          </w:p>
        </w:tc>
        <w:tc>
          <w:tcPr>
            <w:tcW w:w="1168" w:type="dxa"/>
            <w:tcMar>
              <w:top w:w="57" w:type="dxa"/>
              <w:left w:w="57" w:type="dxa"/>
              <w:bottom w:w="57" w:type="dxa"/>
              <w:right w:w="57" w:type="dxa"/>
            </w:tcMar>
            <w:tmTcPr id="1766737683" protected="0"/>
          </w:tcPr>
          <w:p>
            <w:pPr>
              <w:spacing/>
              <w:jc w:val="center"/>
            </w:pPr>
            <w:r>
              <w:t>Omega-Punkte</w:t>
            </w:r>
          </w:p>
        </w:tc>
      </w:tr>
      <w:tr>
        <w:trPr>
          <w:tblHeader w:val="0"/>
          <w:cantSplit w:val="0"/>
          <w:trHeight w:val="0" w:hRule="auto"/>
        </w:trPr>
        <w:tc>
          <w:tcPr>
            <w:tcW w:w="2570" w:type="dxa"/>
            <w:tcMar>
              <w:top w:w="57" w:type="dxa"/>
              <w:left w:w="57" w:type="dxa"/>
              <w:bottom w:w="57" w:type="dxa"/>
              <w:right w:w="57" w:type="dxa"/>
            </w:tcMar>
            <w:tmTcPr id="1766737683" protected="0"/>
          </w:tcPr>
          <w:p>
            <w:pPr/>
            <w:r>
              <w:t>Leinöl</w:t>
            </w:r>
          </w:p>
        </w:tc>
        <w:tc>
          <w:tcPr>
            <w:tcW w:w="2042" w:type="dxa"/>
            <w:tcMar>
              <w:top w:w="57" w:type="dxa"/>
              <w:left w:w="57" w:type="dxa"/>
              <w:bottom w:w="57" w:type="dxa"/>
              <w:right w:w="57" w:type="dxa"/>
            </w:tcMar>
            <w:tmTcPr id="1766737683" protected="0"/>
          </w:tcPr>
          <w:p>
            <w:pPr>
              <w:spacing/>
              <w:jc w:val="center"/>
            </w:pPr>
            <w:r>
              <w:t>52,80</w:t>
            </w:r>
          </w:p>
        </w:tc>
        <w:tc>
          <w:tcPr>
            <w:tcW w:w="2050" w:type="dxa"/>
            <w:tcMar>
              <w:top w:w="57" w:type="dxa"/>
              <w:left w:w="57" w:type="dxa"/>
              <w:bottom w:w="57" w:type="dxa"/>
              <w:right w:w="57" w:type="dxa"/>
            </w:tcMar>
            <w:tmTcPr id="1766737683" protected="0"/>
          </w:tcPr>
          <w:p>
            <w:pPr>
              <w:spacing/>
              <w:jc w:val="center"/>
            </w:pPr>
            <w:r>
              <w:t>14,300</w:t>
            </w:r>
          </w:p>
        </w:tc>
        <w:tc>
          <w:tcPr>
            <w:tcW w:w="1196" w:type="dxa"/>
            <w:tcMar>
              <w:top w:w="57" w:type="dxa"/>
              <w:left w:w="57" w:type="dxa"/>
              <w:bottom w:w="57" w:type="dxa"/>
              <w:right w:w="57" w:type="dxa"/>
            </w:tcMar>
            <w:tmTcPr id="1766737683" protected="0"/>
          </w:tcPr>
          <w:p>
            <w:pPr>
              <w:spacing/>
              <w:jc w:val="center"/>
            </w:pPr>
            <w:r>
              <w:t>3,7:1</w:t>
            </w:r>
          </w:p>
        </w:tc>
        <w:tc>
          <w:tcPr>
            <w:tcW w:w="1168"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570" w:type="dxa"/>
            <w:tcMar>
              <w:top w:w="57" w:type="dxa"/>
              <w:left w:w="57" w:type="dxa"/>
              <w:bottom w:w="57" w:type="dxa"/>
              <w:right w:w="57" w:type="dxa"/>
            </w:tcMar>
            <w:tmTcPr id="1766737683" protected="0"/>
          </w:tcPr>
          <w:p>
            <w:pPr/>
            <w:r>
              <w:t>Chiaöl</w:t>
            </w:r>
          </w:p>
        </w:tc>
        <w:tc>
          <w:tcPr>
            <w:tcW w:w="2042" w:type="dxa"/>
            <w:tcMar>
              <w:top w:w="57" w:type="dxa"/>
              <w:left w:w="57" w:type="dxa"/>
              <w:bottom w:w="57" w:type="dxa"/>
              <w:right w:w="57" w:type="dxa"/>
            </w:tcMar>
            <w:tmTcPr id="1766737683" protected="0"/>
          </w:tcPr>
          <w:p>
            <w:pPr>
              <w:spacing/>
              <w:jc w:val="center"/>
            </w:pPr>
            <w:r>
              <w:t>56,98</w:t>
            </w:r>
          </w:p>
        </w:tc>
        <w:tc>
          <w:tcPr>
            <w:tcW w:w="2050" w:type="dxa"/>
            <w:tcMar>
              <w:top w:w="57" w:type="dxa"/>
              <w:left w:w="57" w:type="dxa"/>
              <w:bottom w:w="57" w:type="dxa"/>
              <w:right w:w="57" w:type="dxa"/>
            </w:tcMar>
            <w:tmTcPr id="1766737683" protected="0"/>
          </w:tcPr>
          <w:p>
            <w:pPr>
              <w:spacing/>
              <w:jc w:val="center"/>
            </w:pPr>
            <w:r>
              <w:t>21,590</w:t>
            </w:r>
          </w:p>
        </w:tc>
        <w:tc>
          <w:tcPr>
            <w:tcW w:w="1196" w:type="dxa"/>
            <w:tcMar>
              <w:top w:w="57" w:type="dxa"/>
              <w:left w:w="57" w:type="dxa"/>
              <w:bottom w:w="57" w:type="dxa"/>
              <w:right w:w="57" w:type="dxa"/>
            </w:tcMar>
            <w:tmTcPr id="1766737683" protected="0"/>
          </w:tcPr>
          <w:p>
            <w:pPr>
              <w:spacing/>
              <w:jc w:val="center"/>
            </w:pPr>
            <w:r>
              <w:t>2,6:1</w:t>
            </w:r>
          </w:p>
        </w:tc>
        <w:tc>
          <w:tcPr>
            <w:tcW w:w="1168"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570" w:type="dxa"/>
            <w:tcMar>
              <w:top w:w="57" w:type="dxa"/>
              <w:left w:w="57" w:type="dxa"/>
              <w:bottom w:w="57" w:type="dxa"/>
              <w:right w:w="57" w:type="dxa"/>
            </w:tcMar>
            <w:tmTcPr id="1766737683" protected="0"/>
          </w:tcPr>
          <w:p>
            <w:pPr/>
            <w:r>
              <w:t>Rapsöl</w:t>
            </w:r>
          </w:p>
        </w:tc>
        <w:tc>
          <w:tcPr>
            <w:tcW w:w="2042" w:type="dxa"/>
            <w:tcMar>
              <w:top w:w="57" w:type="dxa"/>
              <w:left w:w="57" w:type="dxa"/>
              <w:bottom w:w="57" w:type="dxa"/>
              <w:right w:w="57" w:type="dxa"/>
            </w:tcMar>
            <w:tmTcPr id="1766737683" protected="0"/>
          </w:tcPr>
          <w:p>
            <w:pPr>
              <w:spacing/>
              <w:jc w:val="center"/>
            </w:pPr>
            <w:r>
              <w:t>8,58</w:t>
            </w:r>
          </w:p>
        </w:tc>
        <w:tc>
          <w:tcPr>
            <w:tcW w:w="2050" w:type="dxa"/>
            <w:tcMar>
              <w:top w:w="57" w:type="dxa"/>
              <w:left w:w="57" w:type="dxa"/>
              <w:bottom w:w="57" w:type="dxa"/>
              <w:right w:w="57" w:type="dxa"/>
            </w:tcMar>
            <w:tmTcPr id="1766737683" protected="0"/>
          </w:tcPr>
          <w:p>
            <w:pPr>
              <w:spacing/>
              <w:jc w:val="center"/>
            </w:pPr>
            <w:r>
              <w:t>14,953</w:t>
            </w:r>
          </w:p>
        </w:tc>
        <w:tc>
          <w:tcPr>
            <w:tcW w:w="1196" w:type="dxa"/>
            <w:tcMar>
              <w:top w:w="57" w:type="dxa"/>
              <w:left w:w="57" w:type="dxa"/>
              <w:bottom w:w="57" w:type="dxa"/>
              <w:right w:w="57" w:type="dxa"/>
            </w:tcMar>
            <w:tmTcPr id="1766737683" protected="0"/>
          </w:tcPr>
          <w:p>
            <w:pPr>
              <w:spacing/>
              <w:jc w:val="center"/>
            </w:pPr>
            <w:r>
              <w:t>1:1,7</w:t>
            </w:r>
          </w:p>
        </w:tc>
        <w:tc>
          <w:tcPr>
            <w:tcW w:w="1168"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570" w:type="dxa"/>
            <w:tcMar>
              <w:top w:w="57" w:type="dxa"/>
              <w:left w:w="57" w:type="dxa"/>
              <w:bottom w:w="57" w:type="dxa"/>
              <w:right w:w="57" w:type="dxa"/>
            </w:tcMar>
            <w:tmTcPr id="1766737683" protected="0"/>
          </w:tcPr>
          <w:p>
            <w:pPr/>
            <w:r>
              <w:t>Hanföl</w:t>
            </w:r>
          </w:p>
        </w:tc>
        <w:tc>
          <w:tcPr>
            <w:tcW w:w="2042" w:type="dxa"/>
            <w:tcMar>
              <w:top w:w="57" w:type="dxa"/>
              <w:left w:w="57" w:type="dxa"/>
              <w:bottom w:w="57" w:type="dxa"/>
              <w:right w:w="57" w:type="dxa"/>
            </w:tcMar>
            <w:tmTcPr id="1766737683" protected="0"/>
          </w:tcPr>
          <w:p>
            <w:pPr>
              <w:spacing/>
              <w:jc w:val="center"/>
            </w:pPr>
            <w:r>
              <w:t>22,00</w:t>
            </w:r>
          </w:p>
        </w:tc>
        <w:tc>
          <w:tcPr>
            <w:tcW w:w="2050" w:type="dxa"/>
            <w:tcMar>
              <w:top w:w="57" w:type="dxa"/>
              <w:left w:w="57" w:type="dxa"/>
              <w:bottom w:w="57" w:type="dxa"/>
              <w:right w:w="57" w:type="dxa"/>
            </w:tcMar>
            <w:tmTcPr id="1766737683" protected="0"/>
          </w:tcPr>
          <w:p>
            <w:pPr>
              <w:spacing/>
              <w:jc w:val="center"/>
            </w:pPr>
            <w:r>
              <w:t>56,000</w:t>
            </w:r>
          </w:p>
        </w:tc>
        <w:tc>
          <w:tcPr>
            <w:tcW w:w="1196" w:type="dxa"/>
            <w:tcMar>
              <w:top w:w="57" w:type="dxa"/>
              <w:left w:w="57" w:type="dxa"/>
              <w:bottom w:w="57" w:type="dxa"/>
              <w:right w:w="57" w:type="dxa"/>
            </w:tcMar>
            <w:tmTcPr id="1766737683" protected="0"/>
          </w:tcPr>
          <w:p>
            <w:pPr>
              <w:spacing/>
              <w:jc w:val="center"/>
            </w:pPr>
            <w:r>
              <w:t>1:2,5</w:t>
            </w:r>
          </w:p>
        </w:tc>
        <w:tc>
          <w:tcPr>
            <w:tcW w:w="1168"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570" w:type="dxa"/>
            <w:tcMar>
              <w:top w:w="57" w:type="dxa"/>
              <w:left w:w="57" w:type="dxa"/>
              <w:bottom w:w="57" w:type="dxa"/>
              <w:right w:w="57" w:type="dxa"/>
            </w:tcMar>
            <w:tmTcPr id="1766737683" protected="0"/>
          </w:tcPr>
          <w:p>
            <w:pPr/>
            <w:r>
              <w:t>Walnussöl</w:t>
            </w:r>
          </w:p>
        </w:tc>
        <w:tc>
          <w:tcPr>
            <w:tcW w:w="2042" w:type="dxa"/>
            <w:tcMar>
              <w:top w:w="57" w:type="dxa"/>
              <w:left w:w="57" w:type="dxa"/>
              <w:bottom w:w="57" w:type="dxa"/>
              <w:right w:w="57" w:type="dxa"/>
            </w:tcMar>
            <w:tmTcPr id="1766737683" protected="0"/>
          </w:tcPr>
          <w:p>
            <w:pPr>
              <w:spacing/>
              <w:jc w:val="center"/>
            </w:pPr>
            <w:r>
              <w:t>12,20</w:t>
            </w:r>
          </w:p>
        </w:tc>
        <w:tc>
          <w:tcPr>
            <w:tcW w:w="2050" w:type="dxa"/>
            <w:tcMar>
              <w:top w:w="57" w:type="dxa"/>
              <w:left w:w="57" w:type="dxa"/>
              <w:bottom w:w="57" w:type="dxa"/>
              <w:right w:w="57" w:type="dxa"/>
            </w:tcMar>
            <w:tmTcPr id="1766737683" protected="0"/>
          </w:tcPr>
          <w:p>
            <w:pPr>
              <w:spacing/>
              <w:jc w:val="center"/>
            </w:pPr>
            <w:r>
              <w:t>52,400</w:t>
            </w:r>
          </w:p>
        </w:tc>
        <w:tc>
          <w:tcPr>
            <w:tcW w:w="1196" w:type="dxa"/>
            <w:tcMar>
              <w:top w:w="57" w:type="dxa"/>
              <w:left w:w="57" w:type="dxa"/>
              <w:bottom w:w="57" w:type="dxa"/>
              <w:right w:w="57" w:type="dxa"/>
            </w:tcMar>
            <w:tmTcPr id="1766737683" protected="0"/>
          </w:tcPr>
          <w:p>
            <w:pPr>
              <w:spacing/>
              <w:jc w:val="center"/>
            </w:pPr>
            <w:r>
              <w:t>1:4,3</w:t>
            </w:r>
          </w:p>
        </w:tc>
        <w:tc>
          <w:tcPr>
            <w:tcW w:w="1168"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570" w:type="dxa"/>
            <w:tcMar>
              <w:top w:w="57" w:type="dxa"/>
              <w:left w:w="57" w:type="dxa"/>
              <w:bottom w:w="57" w:type="dxa"/>
              <w:right w:w="57" w:type="dxa"/>
            </w:tcMar>
            <w:tmTcPr id="1766737683" protected="0"/>
          </w:tcPr>
          <w:p>
            <w:pPr/>
            <w:r>
              <w:t>Sojaöl</w:t>
            </w:r>
          </w:p>
        </w:tc>
        <w:tc>
          <w:tcPr>
            <w:tcW w:w="2042" w:type="dxa"/>
            <w:tcMar>
              <w:top w:w="57" w:type="dxa"/>
              <w:left w:w="57" w:type="dxa"/>
              <w:bottom w:w="57" w:type="dxa"/>
              <w:right w:w="57" w:type="dxa"/>
            </w:tcMar>
            <w:tmTcPr id="1766737683" protected="0"/>
          </w:tcPr>
          <w:p>
            <w:pPr>
              <w:spacing/>
              <w:jc w:val="center"/>
            </w:pPr>
            <w:r>
              <w:t>7,70</w:t>
            </w:r>
          </w:p>
        </w:tc>
        <w:tc>
          <w:tcPr>
            <w:tcW w:w="2050" w:type="dxa"/>
            <w:tcMar>
              <w:top w:w="57" w:type="dxa"/>
              <w:left w:w="57" w:type="dxa"/>
              <w:bottom w:w="57" w:type="dxa"/>
              <w:right w:w="57" w:type="dxa"/>
            </w:tcMar>
            <w:tmTcPr id="1766737683" protected="0"/>
          </w:tcPr>
          <w:p>
            <w:pPr>
              <w:spacing/>
              <w:jc w:val="center"/>
            </w:pPr>
            <w:r>
              <w:t>52,850</w:t>
            </w:r>
          </w:p>
        </w:tc>
        <w:tc>
          <w:tcPr>
            <w:tcW w:w="1196" w:type="dxa"/>
            <w:tcMar>
              <w:top w:w="57" w:type="dxa"/>
              <w:left w:w="57" w:type="dxa"/>
              <w:bottom w:w="57" w:type="dxa"/>
              <w:right w:w="57" w:type="dxa"/>
            </w:tcMar>
            <w:tmTcPr id="1766737683" protected="0"/>
          </w:tcPr>
          <w:p>
            <w:pPr>
              <w:spacing/>
              <w:jc w:val="center"/>
            </w:pPr>
            <w:r>
              <w:t>1:6,9</w:t>
            </w:r>
          </w:p>
        </w:tc>
        <w:tc>
          <w:tcPr>
            <w:tcW w:w="1168"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570" w:type="dxa"/>
            <w:tcMar>
              <w:top w:w="57" w:type="dxa"/>
              <w:left w:w="57" w:type="dxa"/>
              <w:bottom w:w="57" w:type="dxa"/>
              <w:right w:w="57" w:type="dxa"/>
            </w:tcMar>
            <w:tmTcPr id="1766737683" protected="0"/>
          </w:tcPr>
          <w:p>
            <w:pPr/>
            <w:r>
              <w:t>Weizenkeimöl</w:t>
            </w:r>
          </w:p>
        </w:tc>
        <w:tc>
          <w:tcPr>
            <w:tcW w:w="2042" w:type="dxa"/>
            <w:tcMar>
              <w:top w:w="57" w:type="dxa"/>
              <w:left w:w="57" w:type="dxa"/>
              <w:bottom w:w="57" w:type="dxa"/>
              <w:right w:w="57" w:type="dxa"/>
            </w:tcMar>
            <w:tmTcPr id="1766737683" protected="0"/>
          </w:tcPr>
          <w:p>
            <w:pPr>
              <w:spacing/>
              <w:jc w:val="center"/>
            </w:pPr>
            <w:r>
              <w:t>7,80</w:t>
            </w:r>
          </w:p>
        </w:tc>
        <w:tc>
          <w:tcPr>
            <w:tcW w:w="2050" w:type="dxa"/>
            <w:tcMar>
              <w:top w:w="57" w:type="dxa"/>
              <w:left w:w="57" w:type="dxa"/>
              <w:bottom w:w="57" w:type="dxa"/>
              <w:right w:w="57" w:type="dxa"/>
            </w:tcMar>
            <w:tmTcPr id="1766737683" protected="0"/>
          </w:tcPr>
          <w:p>
            <w:pPr>
              <w:spacing/>
              <w:jc w:val="center"/>
            </w:pPr>
            <w:r>
              <w:t>55,664</w:t>
            </w:r>
          </w:p>
        </w:tc>
        <w:tc>
          <w:tcPr>
            <w:tcW w:w="1196" w:type="dxa"/>
            <w:tcMar>
              <w:top w:w="57" w:type="dxa"/>
              <w:left w:w="57" w:type="dxa"/>
              <w:bottom w:w="57" w:type="dxa"/>
              <w:right w:w="57" w:type="dxa"/>
            </w:tcMar>
            <w:tmTcPr id="1766737683" protected="0"/>
          </w:tcPr>
          <w:p>
            <w:pPr>
              <w:spacing/>
              <w:jc w:val="center"/>
            </w:pPr>
            <w:r>
              <w:t>1:7,1</w:t>
            </w:r>
          </w:p>
        </w:tc>
        <w:tc>
          <w:tcPr>
            <w:tcW w:w="1168"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570" w:type="dxa"/>
            <w:tcMar>
              <w:top w:w="57" w:type="dxa"/>
              <w:left w:w="57" w:type="dxa"/>
              <w:bottom w:w="57" w:type="dxa"/>
              <w:right w:w="57" w:type="dxa"/>
            </w:tcMar>
            <w:tmTcPr id="1766737683" protected="0"/>
          </w:tcPr>
          <w:p>
            <w:pPr/>
            <w:r>
              <w:fldChar w:fldCharType="begin"/>
              <w:instrText xml:space="preserve">XE "Olivenöl" \G </w:instrText>
              <w:fldChar w:fldCharType="end"/>
              <w:t>Olivenöl</w:t>
            </w:r>
          </w:p>
        </w:tc>
        <w:tc>
          <w:tcPr>
            <w:tcW w:w="2042" w:type="dxa"/>
            <w:tcMar>
              <w:top w:w="57" w:type="dxa"/>
              <w:left w:w="57" w:type="dxa"/>
              <w:bottom w:w="57" w:type="dxa"/>
              <w:right w:w="57" w:type="dxa"/>
            </w:tcMar>
            <w:tmTcPr id="1766737683" protected="0"/>
          </w:tcPr>
          <w:p>
            <w:pPr>
              <w:spacing/>
              <w:jc w:val="center"/>
            </w:pPr>
            <w:r>
              <w:t>0,86</w:t>
            </w:r>
          </w:p>
        </w:tc>
        <w:tc>
          <w:tcPr>
            <w:tcW w:w="2050" w:type="dxa"/>
            <w:tcMar>
              <w:top w:w="57" w:type="dxa"/>
              <w:left w:w="57" w:type="dxa"/>
              <w:bottom w:w="57" w:type="dxa"/>
              <w:right w:w="57" w:type="dxa"/>
            </w:tcMar>
            <w:tmTcPr id="1766737683" protected="0"/>
          </w:tcPr>
          <w:p>
            <w:pPr>
              <w:spacing/>
              <w:jc w:val="center"/>
            </w:pPr>
            <w:r>
              <w:t>8,286</w:t>
            </w:r>
          </w:p>
        </w:tc>
        <w:tc>
          <w:tcPr>
            <w:tcW w:w="1196" w:type="dxa"/>
            <w:tcMar>
              <w:top w:w="57" w:type="dxa"/>
              <w:left w:w="57" w:type="dxa"/>
              <w:bottom w:w="57" w:type="dxa"/>
              <w:right w:w="57" w:type="dxa"/>
            </w:tcMar>
            <w:tmTcPr id="1766737683" protected="0"/>
          </w:tcPr>
          <w:p>
            <w:pPr>
              <w:spacing/>
              <w:jc w:val="center"/>
            </w:pPr>
            <w:r>
              <w:t>1:9,7</w:t>
            </w:r>
          </w:p>
        </w:tc>
        <w:tc>
          <w:tcPr>
            <w:tcW w:w="1168"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570" w:type="dxa"/>
            <w:tcMar>
              <w:top w:w="57" w:type="dxa"/>
              <w:left w:w="57" w:type="dxa"/>
              <w:bottom w:w="57" w:type="dxa"/>
              <w:right w:w="57" w:type="dxa"/>
            </w:tcMar>
            <w:tmTcPr id="1766737683" protected="0"/>
          </w:tcPr>
          <w:p>
            <w:pPr/>
            <w:r>
              <w:t>Maiskeimöl</w:t>
            </w:r>
          </w:p>
        </w:tc>
        <w:tc>
          <w:tcPr>
            <w:tcW w:w="2042" w:type="dxa"/>
            <w:tcMar>
              <w:top w:w="57" w:type="dxa"/>
              <w:left w:w="57" w:type="dxa"/>
              <w:bottom w:w="57" w:type="dxa"/>
              <w:right w:w="57" w:type="dxa"/>
            </w:tcMar>
            <w:tmTcPr id="1766737683" protected="0"/>
          </w:tcPr>
          <w:p>
            <w:pPr>
              <w:spacing/>
              <w:jc w:val="center"/>
            </w:pPr>
            <w:r>
              <w:t>0,96</w:t>
            </w:r>
          </w:p>
        </w:tc>
        <w:tc>
          <w:tcPr>
            <w:tcW w:w="2050" w:type="dxa"/>
            <w:tcMar>
              <w:top w:w="57" w:type="dxa"/>
              <w:left w:w="57" w:type="dxa"/>
              <w:bottom w:w="57" w:type="dxa"/>
              <w:right w:w="57" w:type="dxa"/>
            </w:tcMar>
            <w:tmTcPr id="1766737683" protected="0"/>
          </w:tcPr>
          <w:p>
            <w:pPr>
              <w:spacing/>
              <w:jc w:val="center"/>
            </w:pPr>
            <w:r>
              <w:t>55,529</w:t>
            </w:r>
          </w:p>
        </w:tc>
        <w:tc>
          <w:tcPr>
            <w:tcW w:w="1196" w:type="dxa"/>
            <w:tcMar>
              <w:top w:w="57" w:type="dxa"/>
              <w:left w:w="57" w:type="dxa"/>
              <w:bottom w:w="57" w:type="dxa"/>
              <w:right w:w="57" w:type="dxa"/>
            </w:tcMar>
            <w:tmTcPr id="1766737683" protected="0"/>
          </w:tcPr>
          <w:p>
            <w:pPr>
              <w:spacing/>
              <w:jc w:val="center"/>
            </w:pPr>
            <w:r>
              <w:t>1:57,8</w:t>
            </w:r>
          </w:p>
        </w:tc>
        <w:tc>
          <w:tcPr>
            <w:tcW w:w="1168"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570" w:type="dxa"/>
            <w:tcMar>
              <w:top w:w="57" w:type="dxa"/>
              <w:left w:w="57" w:type="dxa"/>
              <w:bottom w:w="57" w:type="dxa"/>
              <w:right w:w="57" w:type="dxa"/>
            </w:tcMar>
            <w:tmTcPr id="1766737683" protected="0"/>
          </w:tcPr>
          <w:p>
            <w:pPr/>
            <w:r>
              <w:t>Kürbiskernöl</w:t>
            </w:r>
          </w:p>
        </w:tc>
        <w:tc>
          <w:tcPr>
            <w:tcW w:w="2042" w:type="dxa"/>
            <w:tcMar>
              <w:top w:w="57" w:type="dxa"/>
              <w:left w:w="57" w:type="dxa"/>
              <w:bottom w:w="57" w:type="dxa"/>
              <w:right w:w="57" w:type="dxa"/>
            </w:tcMar>
            <w:tmTcPr id="1766737683" protected="0"/>
          </w:tcPr>
          <w:p>
            <w:pPr>
              <w:spacing/>
              <w:jc w:val="center"/>
            </w:pPr>
            <w:r>
              <w:t>0,48</w:t>
            </w:r>
          </w:p>
        </w:tc>
        <w:tc>
          <w:tcPr>
            <w:tcW w:w="2050" w:type="dxa"/>
            <w:tcMar>
              <w:top w:w="57" w:type="dxa"/>
              <w:left w:w="57" w:type="dxa"/>
              <w:bottom w:w="57" w:type="dxa"/>
              <w:right w:w="57" w:type="dxa"/>
            </w:tcMar>
            <w:tmTcPr id="1766737683" protected="0"/>
          </w:tcPr>
          <w:p>
            <w:pPr>
              <w:spacing/>
              <w:jc w:val="center"/>
            </w:pPr>
            <w:r>
              <w:t>49,180</w:t>
            </w:r>
          </w:p>
        </w:tc>
        <w:tc>
          <w:tcPr>
            <w:tcW w:w="1196" w:type="dxa"/>
            <w:tcMar>
              <w:top w:w="57" w:type="dxa"/>
              <w:left w:w="57" w:type="dxa"/>
              <w:bottom w:w="57" w:type="dxa"/>
              <w:right w:w="57" w:type="dxa"/>
            </w:tcMar>
            <w:tmTcPr id="1766737683" protected="0"/>
          </w:tcPr>
          <w:p>
            <w:pPr>
              <w:spacing/>
              <w:jc w:val="center"/>
            </w:pPr>
            <w:r>
              <w:t>1:102,5</w:t>
            </w:r>
          </w:p>
        </w:tc>
        <w:tc>
          <w:tcPr>
            <w:tcW w:w="1168"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570" w:type="dxa"/>
            <w:tcMar>
              <w:top w:w="57" w:type="dxa"/>
              <w:left w:w="57" w:type="dxa"/>
              <w:bottom w:w="57" w:type="dxa"/>
              <w:right w:w="57" w:type="dxa"/>
            </w:tcMar>
            <w:tmTcPr id="1766737683" protected="0"/>
          </w:tcPr>
          <w:p>
            <w:pPr/>
            <w:r>
              <w:t>Traubenkernöl</w:t>
            </w:r>
          </w:p>
        </w:tc>
        <w:tc>
          <w:tcPr>
            <w:tcW w:w="2042" w:type="dxa"/>
            <w:tcMar>
              <w:top w:w="57" w:type="dxa"/>
              <w:left w:w="57" w:type="dxa"/>
              <w:bottom w:w="57" w:type="dxa"/>
              <w:right w:w="57" w:type="dxa"/>
            </w:tcMar>
            <w:tmTcPr id="1766737683" protected="0"/>
          </w:tcPr>
          <w:p>
            <w:pPr>
              <w:spacing/>
              <w:jc w:val="center"/>
            </w:pPr>
            <w:r>
              <w:t>0,48</w:t>
            </w:r>
          </w:p>
        </w:tc>
        <w:tc>
          <w:tcPr>
            <w:tcW w:w="2050" w:type="dxa"/>
            <w:tcMar>
              <w:top w:w="57" w:type="dxa"/>
              <w:left w:w="57" w:type="dxa"/>
              <w:bottom w:w="57" w:type="dxa"/>
              <w:right w:w="57" w:type="dxa"/>
            </w:tcMar>
            <w:tmTcPr id="1766737683" protected="0"/>
          </w:tcPr>
          <w:p>
            <w:pPr>
              <w:spacing/>
              <w:jc w:val="center"/>
            </w:pPr>
            <w:r>
              <w:t>65,900</w:t>
            </w:r>
          </w:p>
        </w:tc>
        <w:tc>
          <w:tcPr>
            <w:tcW w:w="1196" w:type="dxa"/>
            <w:tcMar>
              <w:top w:w="57" w:type="dxa"/>
              <w:left w:w="57" w:type="dxa"/>
              <w:bottom w:w="57" w:type="dxa"/>
              <w:right w:w="57" w:type="dxa"/>
            </w:tcMar>
            <w:tmTcPr id="1766737683" protected="0"/>
          </w:tcPr>
          <w:p>
            <w:pPr>
              <w:spacing/>
              <w:jc w:val="center"/>
            </w:pPr>
            <w:r>
              <w:t>1:137,3</w:t>
            </w:r>
          </w:p>
        </w:tc>
        <w:tc>
          <w:tcPr>
            <w:tcW w:w="1168"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570" w:type="dxa"/>
            <w:tcMar>
              <w:top w:w="57" w:type="dxa"/>
              <w:left w:w="57" w:type="dxa"/>
              <w:bottom w:w="57" w:type="dxa"/>
              <w:right w:w="57" w:type="dxa"/>
            </w:tcMar>
            <w:tmTcPr id="1766737683" protected="0"/>
          </w:tcPr>
          <w:p>
            <w:pPr/>
            <w:r>
              <w:t>Distelöl</w:t>
            </w:r>
          </w:p>
        </w:tc>
        <w:tc>
          <w:tcPr>
            <w:tcW w:w="2042" w:type="dxa"/>
            <w:tcMar>
              <w:top w:w="57" w:type="dxa"/>
              <w:left w:w="57" w:type="dxa"/>
              <w:bottom w:w="57" w:type="dxa"/>
              <w:right w:w="57" w:type="dxa"/>
            </w:tcMar>
            <w:tmTcPr id="1766737683" protected="0"/>
          </w:tcPr>
          <w:p>
            <w:pPr>
              <w:spacing/>
              <w:jc w:val="center"/>
            </w:pPr>
            <w:r>
              <w:t>0,47</w:t>
            </w:r>
          </w:p>
        </w:tc>
        <w:tc>
          <w:tcPr>
            <w:tcW w:w="2050" w:type="dxa"/>
            <w:tcMar>
              <w:top w:w="57" w:type="dxa"/>
              <w:left w:w="57" w:type="dxa"/>
              <w:bottom w:w="57" w:type="dxa"/>
              <w:right w:w="57" w:type="dxa"/>
            </w:tcMar>
            <w:tmTcPr id="1766737683" protected="0"/>
          </w:tcPr>
          <w:p>
            <w:pPr>
              <w:spacing/>
              <w:jc w:val="center"/>
            </w:pPr>
            <w:r>
              <w:t>75,120</w:t>
            </w:r>
          </w:p>
        </w:tc>
        <w:tc>
          <w:tcPr>
            <w:tcW w:w="1196" w:type="dxa"/>
            <w:tcMar>
              <w:top w:w="57" w:type="dxa"/>
              <w:left w:w="57" w:type="dxa"/>
              <w:bottom w:w="57" w:type="dxa"/>
              <w:right w:w="57" w:type="dxa"/>
            </w:tcMar>
            <w:tmTcPr id="1766737683" protected="0"/>
          </w:tcPr>
          <w:p>
            <w:pPr>
              <w:spacing/>
              <w:jc w:val="center"/>
            </w:pPr>
            <w:r>
              <w:t>1:159,8</w:t>
            </w:r>
          </w:p>
        </w:tc>
        <w:tc>
          <w:tcPr>
            <w:tcW w:w="1168"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570" w:type="dxa"/>
            <w:tcMar>
              <w:top w:w="57" w:type="dxa"/>
              <w:left w:w="57" w:type="dxa"/>
              <w:bottom w:w="57" w:type="dxa"/>
              <w:right w:w="57" w:type="dxa"/>
            </w:tcMar>
            <w:tmTcPr id="1766737683" protected="0"/>
          </w:tcPr>
          <w:p>
            <w:pPr/>
            <w:r>
              <w:t>Sonnenblumenöl</w:t>
            </w:r>
          </w:p>
        </w:tc>
        <w:tc>
          <w:tcPr>
            <w:tcW w:w="2042" w:type="dxa"/>
            <w:tcMar>
              <w:top w:w="57" w:type="dxa"/>
              <w:left w:w="57" w:type="dxa"/>
              <w:bottom w:w="57" w:type="dxa"/>
              <w:right w:w="57" w:type="dxa"/>
            </w:tcMar>
            <w:tmTcPr id="1766737683" protected="0"/>
          </w:tcPr>
          <w:p>
            <w:pPr>
              <w:spacing/>
              <w:jc w:val="center"/>
            </w:pPr>
            <w:r>
              <w:t>0,18</w:t>
            </w:r>
          </w:p>
        </w:tc>
        <w:tc>
          <w:tcPr>
            <w:tcW w:w="2050" w:type="dxa"/>
            <w:tcMar>
              <w:top w:w="57" w:type="dxa"/>
              <w:left w:w="57" w:type="dxa"/>
              <w:bottom w:w="57" w:type="dxa"/>
              <w:right w:w="57" w:type="dxa"/>
            </w:tcMar>
            <w:tmTcPr id="1766737683" protected="0"/>
          </w:tcPr>
          <w:p>
            <w:pPr>
              <w:spacing/>
              <w:jc w:val="center"/>
            </w:pPr>
            <w:r>
              <w:t>50,176</w:t>
            </w:r>
          </w:p>
        </w:tc>
        <w:tc>
          <w:tcPr>
            <w:tcW w:w="1196" w:type="dxa"/>
            <w:tcMar>
              <w:top w:w="57" w:type="dxa"/>
              <w:left w:w="57" w:type="dxa"/>
              <w:bottom w:w="57" w:type="dxa"/>
              <w:right w:w="57" w:type="dxa"/>
            </w:tcMar>
            <w:tmTcPr id="1766737683" protected="0"/>
          </w:tcPr>
          <w:p>
            <w:pPr>
              <w:spacing/>
              <w:jc w:val="center"/>
            </w:pPr>
            <w:r>
              <w:t>1:281,9</w:t>
            </w:r>
          </w:p>
        </w:tc>
        <w:tc>
          <w:tcPr>
            <w:tcW w:w="1168"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570" w:type="dxa"/>
            <w:tcMar>
              <w:top w:w="57" w:type="dxa"/>
              <w:left w:w="57" w:type="dxa"/>
              <w:bottom w:w="57" w:type="dxa"/>
              <w:right w:w="57" w:type="dxa"/>
            </w:tcMar>
            <w:tmTcPr id="1766737683" protected="0"/>
          </w:tcPr>
          <w:p>
            <w:pPr/>
            <w:r>
              <w:t>Margarine</w:t>
            </w:r>
          </w:p>
        </w:tc>
        <w:tc>
          <w:tcPr>
            <w:tcW w:w="2042" w:type="dxa"/>
            <w:tcMar>
              <w:top w:w="57" w:type="dxa"/>
              <w:left w:w="57" w:type="dxa"/>
              <w:bottom w:w="57" w:type="dxa"/>
              <w:right w:w="57" w:type="dxa"/>
            </w:tcMar>
            <w:tmTcPr id="1766737683" protected="0"/>
          </w:tcPr>
          <w:p>
            <w:pPr>
              <w:spacing/>
              <w:jc w:val="center"/>
            </w:pPr>
            <w:r>
              <w:t>2,60</w:t>
            </w:r>
          </w:p>
        </w:tc>
        <w:tc>
          <w:tcPr>
            <w:tcW w:w="2050" w:type="dxa"/>
            <w:tcMar>
              <w:top w:w="57" w:type="dxa"/>
              <w:left w:w="57" w:type="dxa"/>
              <w:bottom w:w="57" w:type="dxa"/>
              <w:right w:w="57" w:type="dxa"/>
            </w:tcMar>
            <w:tmTcPr id="1766737683" protected="0"/>
          </w:tcPr>
          <w:p>
            <w:pPr>
              <w:spacing/>
              <w:jc w:val="center"/>
            </w:pPr>
            <w:r>
              <w:t>17,100</w:t>
            </w:r>
          </w:p>
        </w:tc>
        <w:tc>
          <w:tcPr>
            <w:tcW w:w="1196" w:type="dxa"/>
            <w:tcMar>
              <w:top w:w="57" w:type="dxa"/>
              <w:left w:w="57" w:type="dxa"/>
              <w:bottom w:w="57" w:type="dxa"/>
              <w:right w:w="57" w:type="dxa"/>
            </w:tcMar>
            <w:tmTcPr id="1766737683" protected="0"/>
          </w:tcPr>
          <w:p>
            <w:pPr>
              <w:spacing/>
              <w:jc w:val="center"/>
            </w:pPr>
            <w:r>
              <w:t>1:6,6</w:t>
            </w:r>
          </w:p>
        </w:tc>
        <w:tc>
          <w:tcPr>
            <w:tcW w:w="1168"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570" w:type="dxa"/>
            <w:tcMar>
              <w:top w:w="57" w:type="dxa"/>
              <w:left w:w="57" w:type="dxa"/>
              <w:bottom w:w="57" w:type="dxa"/>
              <w:right w:w="57" w:type="dxa"/>
            </w:tcMar>
            <w:tmTcPr id="1766737683" protected="0"/>
          </w:tcPr>
          <w:p>
            <w:pPr/>
            <w:r>
              <w:t>Sesamöl</w:t>
            </w:r>
          </w:p>
        </w:tc>
        <w:tc>
          <w:tcPr>
            <w:tcW w:w="2042" w:type="dxa"/>
            <w:tcMar>
              <w:top w:w="57" w:type="dxa"/>
              <w:left w:w="57" w:type="dxa"/>
              <w:bottom w:w="57" w:type="dxa"/>
              <w:right w:w="57" w:type="dxa"/>
            </w:tcMar>
            <w:tmTcPr id="1766737683" protected="0"/>
          </w:tcPr>
          <w:p>
            <w:pPr>
              <w:spacing/>
              <w:jc w:val="center"/>
            </w:pPr>
            <w:r>
              <w:t>2,0</w:t>
            </w:r>
          </w:p>
        </w:tc>
        <w:tc>
          <w:tcPr>
            <w:tcW w:w="2050" w:type="dxa"/>
            <w:tcMar>
              <w:top w:w="57" w:type="dxa"/>
              <w:left w:w="57" w:type="dxa"/>
              <w:bottom w:w="57" w:type="dxa"/>
              <w:right w:w="57" w:type="dxa"/>
            </w:tcMar>
            <w:tmTcPr id="1766737683" protected="0"/>
          </w:tcPr>
          <w:p>
            <w:pPr>
              <w:spacing/>
              <w:jc w:val="center"/>
            </w:pPr>
            <w:r>
              <w:t>42,700</w:t>
            </w:r>
          </w:p>
        </w:tc>
        <w:tc>
          <w:tcPr>
            <w:tcW w:w="1196" w:type="dxa"/>
            <w:tcMar>
              <w:top w:w="57" w:type="dxa"/>
              <w:left w:w="57" w:type="dxa"/>
              <w:bottom w:w="57" w:type="dxa"/>
              <w:right w:w="57" w:type="dxa"/>
            </w:tcMar>
            <w:tmTcPr id="1766737683" protected="0"/>
          </w:tcPr>
          <w:p>
            <w:pPr>
              <w:spacing/>
              <w:jc w:val="center"/>
            </w:pPr>
            <w:r>
              <w:t>1:21,3</w:t>
            </w:r>
          </w:p>
        </w:tc>
        <w:tc>
          <w:tcPr>
            <w:tcW w:w="1168" w:type="dxa"/>
            <w:tcMar>
              <w:top w:w="57" w:type="dxa"/>
              <w:left w:w="57" w:type="dxa"/>
              <w:bottom w:w="57" w:type="dxa"/>
              <w:right w:w="57" w:type="dxa"/>
            </w:tcMar>
            <w:tmTcPr id="1766737683" protected="0"/>
          </w:tcPr>
          <w:p>
            <w:pPr>
              <w:spacing/>
              <w:jc w:val="center"/>
              <w:rPr>
                <w:color w:val="ff0000"/>
              </w:rPr>
            </w:pPr>
            <w:r>
              <w:rPr>
                <w:color w:val="ff0000"/>
              </w:rPr>
              <w:t>**</w:t>
            </w:r>
          </w:p>
        </w:tc>
      </w:tr>
    </w:tbl>
    <w:p>
      <w:r/>
    </w:p>
    <w:tbl>
      <w:tblPr>
        <w:tblStyle w:val="TableGrid"/>
        <w:name w:val="Tabelle49"/>
        <w:tabOrder w:val="0"/>
        <w:jc w:val="left"/>
        <w:tblInd w:w="0" w:type="dxa"/>
        <w:tblW w:w="9066" w:type="dxa"/>
        <w:pPr>
          <w:spacing/>
          <w:jc w:val="left"/>
        </w:pPr>
        <w:tblLook w:val="04A0" w:firstRow="1" w:lastRow="0" w:firstColumn="1" w:lastColumn="0" w:noHBand="0" w:noVBand="1"/>
      </w:tblPr>
      <w:tblGrid>
        <w:gridCol w:w="2571"/>
        <w:gridCol w:w="2050"/>
        <w:gridCol w:w="2070"/>
        <w:gridCol w:w="1215"/>
        <w:gridCol w:w="1160"/>
      </w:tblGrid>
      <w:tr>
        <w:trPr>
          <w:tblHeader w:val="0"/>
          <w:cantSplit w:val="0"/>
          <w:trHeight w:val="0" w:hRule="auto"/>
        </w:trPr>
        <w:tc>
          <w:tcPr>
            <w:tcW w:w="2571" w:type="dxa"/>
            <w:tcMar>
              <w:top w:w="57" w:type="dxa"/>
              <w:left w:w="57" w:type="dxa"/>
              <w:bottom w:w="57" w:type="dxa"/>
              <w:right w:w="57" w:type="dxa"/>
            </w:tcMar>
            <w:tmTcPr id="1766737683" protected="0"/>
          </w:tcPr>
          <w:p>
            <w:pPr/>
            <w:r>
              <w:t>Hülsenfrüchte und Getreide</w:t>
            </w:r>
          </w:p>
        </w:tc>
        <w:tc>
          <w:tcPr>
            <w:tcW w:w="2050" w:type="dxa"/>
            <w:tcMar>
              <w:top w:w="57" w:type="dxa"/>
              <w:left w:w="57" w:type="dxa"/>
              <w:bottom w:w="57" w:type="dxa"/>
              <w:right w:w="57" w:type="dxa"/>
            </w:tcMar>
            <w:tmTcPr id="1766737683" protected="0"/>
          </w:tcPr>
          <w:p>
            <w:pPr>
              <w:spacing/>
              <w:jc w:val="center"/>
            </w:pPr>
            <w:r>
              <w:t>Omega-3 (g/100g)</w:t>
            </w:r>
          </w:p>
        </w:tc>
        <w:tc>
          <w:tcPr>
            <w:tcW w:w="2070" w:type="dxa"/>
            <w:tcMar>
              <w:top w:w="57" w:type="dxa"/>
              <w:left w:w="57" w:type="dxa"/>
              <w:bottom w:w="57" w:type="dxa"/>
              <w:right w:w="57" w:type="dxa"/>
            </w:tcMar>
            <w:tmTcPr id="1766737683" protected="0"/>
          </w:tcPr>
          <w:p>
            <w:pPr>
              <w:spacing/>
              <w:jc w:val="center"/>
            </w:pPr>
            <w:r>
              <w:t>Omega-6 (g/100g)</w:t>
            </w:r>
          </w:p>
        </w:tc>
        <w:tc>
          <w:tcPr>
            <w:tcW w:w="1215" w:type="dxa"/>
            <w:tcMar>
              <w:top w:w="57" w:type="dxa"/>
              <w:left w:w="57" w:type="dxa"/>
              <w:bottom w:w="57" w:type="dxa"/>
              <w:right w:w="57" w:type="dxa"/>
            </w:tcMar>
            <w:tmTcPr id="1766737683" protected="0"/>
          </w:tcPr>
          <w:p>
            <w:pPr>
              <w:spacing/>
              <w:jc w:val="center"/>
            </w:pPr>
            <w:r>
              <w:t>Verhältnis</w:t>
            </w:r>
          </w:p>
        </w:tc>
        <w:tc>
          <w:tcPr>
            <w:tcW w:w="1160" w:type="dxa"/>
            <w:tcMar>
              <w:top w:w="57" w:type="dxa"/>
              <w:left w:w="57" w:type="dxa"/>
              <w:bottom w:w="57" w:type="dxa"/>
              <w:right w:w="57" w:type="dxa"/>
            </w:tcMar>
            <w:tmTcPr id="1766737683" protected="0"/>
          </w:tcPr>
          <w:p>
            <w:pPr>
              <w:spacing/>
              <w:jc w:val="center"/>
            </w:pPr>
            <w:r>
              <w:t>Omega-Punkte</w:t>
            </w:r>
          </w:p>
        </w:tc>
      </w:tr>
      <w:tr>
        <w:trPr>
          <w:tblHeader w:val="0"/>
          <w:cantSplit w:val="0"/>
          <w:trHeight w:val="0" w:hRule="auto"/>
        </w:trPr>
        <w:tc>
          <w:tcPr>
            <w:tcW w:w="2571" w:type="dxa"/>
            <w:tcMar>
              <w:top w:w="57" w:type="dxa"/>
              <w:left w:w="57" w:type="dxa"/>
              <w:bottom w:w="57" w:type="dxa"/>
              <w:right w:w="57" w:type="dxa"/>
            </w:tcMar>
            <w:tmTcPr id="1766737683" protected="0"/>
          </w:tcPr>
          <w:p>
            <w:pPr/>
            <w:r>
              <w:t>Sojabohne</w:t>
            </w:r>
          </w:p>
        </w:tc>
        <w:tc>
          <w:tcPr>
            <w:tcW w:w="2050" w:type="dxa"/>
            <w:tcMar>
              <w:top w:w="57" w:type="dxa"/>
              <w:left w:w="57" w:type="dxa"/>
              <w:bottom w:w="57" w:type="dxa"/>
              <w:right w:w="57" w:type="dxa"/>
            </w:tcMar>
            <w:tmTcPr id="1766737683" protected="0"/>
          </w:tcPr>
          <w:p>
            <w:pPr>
              <w:spacing/>
              <w:jc w:val="center"/>
            </w:pPr>
            <w:r>
              <w:t>0,35</w:t>
            </w:r>
          </w:p>
        </w:tc>
        <w:tc>
          <w:tcPr>
            <w:tcW w:w="2070" w:type="dxa"/>
            <w:tcMar>
              <w:top w:w="57" w:type="dxa"/>
              <w:left w:w="57" w:type="dxa"/>
              <w:bottom w:w="57" w:type="dxa"/>
              <w:right w:w="57" w:type="dxa"/>
            </w:tcMar>
            <w:tmTcPr id="1766737683" protected="0"/>
          </w:tcPr>
          <w:p>
            <w:pPr>
              <w:spacing/>
              <w:jc w:val="center"/>
            </w:pPr>
            <w:r>
              <w:t>2,480</w:t>
            </w:r>
          </w:p>
        </w:tc>
        <w:tc>
          <w:tcPr>
            <w:tcW w:w="1215" w:type="dxa"/>
            <w:tcMar>
              <w:top w:w="57" w:type="dxa"/>
              <w:left w:w="57" w:type="dxa"/>
              <w:bottom w:w="57" w:type="dxa"/>
              <w:right w:w="57" w:type="dxa"/>
            </w:tcMar>
            <w:tmTcPr id="1766737683" protected="0"/>
          </w:tcPr>
          <w:p>
            <w:pPr>
              <w:spacing/>
              <w:jc w:val="center"/>
            </w:pPr>
            <w:r>
              <w:t>1:7,1</w:t>
            </w:r>
          </w:p>
        </w:tc>
        <w:tc>
          <w:tcPr>
            <w:tcW w:w="1160"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571" w:type="dxa"/>
            <w:tcMar>
              <w:top w:w="57" w:type="dxa"/>
              <w:left w:w="57" w:type="dxa"/>
              <w:bottom w:w="57" w:type="dxa"/>
              <w:right w:w="57" w:type="dxa"/>
            </w:tcMar>
            <w:tmTcPr id="1766737683" protected="0"/>
          </w:tcPr>
          <w:p>
            <w:pPr/>
            <w:r>
              <w:t>Weizenmehl Typ 550</w:t>
            </w:r>
          </w:p>
        </w:tc>
        <w:tc>
          <w:tcPr>
            <w:tcW w:w="2050" w:type="dxa"/>
            <w:tcMar>
              <w:top w:w="57" w:type="dxa"/>
              <w:left w:w="57" w:type="dxa"/>
              <w:bottom w:w="57" w:type="dxa"/>
              <w:right w:w="57" w:type="dxa"/>
            </w:tcMar>
            <w:tmTcPr id="1766737683" protected="0"/>
          </w:tcPr>
          <w:p>
            <w:pPr>
              <w:spacing/>
              <w:jc w:val="center"/>
            </w:pPr>
            <w:r>
              <w:t>0,03</w:t>
            </w:r>
          </w:p>
        </w:tc>
        <w:tc>
          <w:tcPr>
            <w:tcW w:w="2070" w:type="dxa"/>
            <w:tcMar>
              <w:top w:w="57" w:type="dxa"/>
              <w:left w:w="57" w:type="dxa"/>
              <w:bottom w:w="57" w:type="dxa"/>
              <w:right w:w="57" w:type="dxa"/>
            </w:tcMar>
            <w:tmTcPr id="1766737683" protected="0"/>
          </w:tcPr>
          <w:p>
            <w:pPr>
              <w:spacing/>
              <w:jc w:val="center"/>
            </w:pPr>
            <w:r>
              <w:t>0,483</w:t>
            </w:r>
          </w:p>
        </w:tc>
        <w:tc>
          <w:tcPr>
            <w:tcW w:w="1215" w:type="dxa"/>
            <w:tcMar>
              <w:top w:w="57" w:type="dxa"/>
              <w:left w:w="57" w:type="dxa"/>
              <w:bottom w:w="57" w:type="dxa"/>
              <w:right w:w="57" w:type="dxa"/>
            </w:tcMar>
            <w:tmTcPr id="1766737683" protected="0"/>
          </w:tcPr>
          <w:p>
            <w:pPr>
              <w:spacing/>
              <w:jc w:val="center"/>
            </w:pPr>
            <w:r>
              <w:t>1:14,6</w:t>
            </w:r>
          </w:p>
        </w:tc>
        <w:tc>
          <w:tcPr>
            <w:tcW w:w="1160"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571" w:type="dxa"/>
            <w:tcMar>
              <w:top w:w="57" w:type="dxa"/>
              <w:left w:w="57" w:type="dxa"/>
              <w:bottom w:w="57" w:type="dxa"/>
              <w:right w:w="57" w:type="dxa"/>
            </w:tcMar>
            <w:tmTcPr id="1766737683" protected="0"/>
          </w:tcPr>
          <w:p>
            <w:pPr/>
            <w:r>
              <w:t>Weizen-Vollkornmehl</w:t>
            </w:r>
          </w:p>
        </w:tc>
        <w:tc>
          <w:tcPr>
            <w:tcW w:w="2050" w:type="dxa"/>
            <w:tcMar>
              <w:top w:w="57" w:type="dxa"/>
              <w:left w:w="57" w:type="dxa"/>
              <w:bottom w:w="57" w:type="dxa"/>
              <w:right w:w="57" w:type="dxa"/>
            </w:tcMar>
            <w:tmTcPr id="1766737683" protected="0"/>
          </w:tcPr>
          <w:p>
            <w:pPr>
              <w:spacing/>
              <w:jc w:val="center"/>
            </w:pPr>
            <w:r>
              <w:t>0,07</w:t>
            </w:r>
          </w:p>
        </w:tc>
        <w:tc>
          <w:tcPr>
            <w:tcW w:w="2070" w:type="dxa"/>
            <w:tcMar>
              <w:top w:w="57" w:type="dxa"/>
              <w:left w:w="57" w:type="dxa"/>
              <w:bottom w:w="57" w:type="dxa"/>
              <w:right w:w="57" w:type="dxa"/>
            </w:tcMar>
            <w:tmTcPr id="1766737683" protected="0"/>
          </w:tcPr>
          <w:p>
            <w:pPr>
              <w:spacing/>
              <w:jc w:val="center"/>
            </w:pPr>
            <w:r>
              <w:t>1,010</w:t>
            </w:r>
          </w:p>
        </w:tc>
        <w:tc>
          <w:tcPr>
            <w:tcW w:w="1215" w:type="dxa"/>
            <w:tcMar>
              <w:top w:w="57" w:type="dxa"/>
              <w:left w:w="57" w:type="dxa"/>
              <w:bottom w:w="57" w:type="dxa"/>
              <w:right w:w="57" w:type="dxa"/>
            </w:tcMar>
            <w:tmTcPr id="1766737683" protected="0"/>
          </w:tcPr>
          <w:p>
            <w:pPr>
              <w:spacing/>
              <w:jc w:val="center"/>
            </w:pPr>
            <w:r>
              <w:t>1:14,9</w:t>
            </w:r>
          </w:p>
        </w:tc>
        <w:tc>
          <w:tcPr>
            <w:tcW w:w="1160" w:type="dxa"/>
            <w:tcMar>
              <w:top w:w="57" w:type="dxa"/>
              <w:left w:w="57" w:type="dxa"/>
              <w:bottom w:w="57" w:type="dxa"/>
              <w:right w:w="57" w:type="dxa"/>
            </w:tcMar>
            <w:tmTcPr id="1766737683" protected="0"/>
          </w:tcPr>
          <w:p>
            <w:pPr>
              <w:spacing/>
              <w:jc w:val="center"/>
              <w:rPr>
                <w:color w:val="ff0000"/>
              </w:rPr>
            </w:pPr>
            <w:r>
              <w:rPr>
                <w:color w:val="ff0000"/>
              </w:rPr>
              <w:t>*</w:t>
            </w:r>
          </w:p>
        </w:tc>
      </w:tr>
    </w:tbl>
    <w:p>
      <w:r/>
    </w:p>
    <w:p>
      <w:r/>
    </w:p>
    <w:p>
      <w:r>
        <w:br w:type="page"/>
      </w:r>
    </w:p>
    <w:tbl>
      <w:tblPr>
        <w:tblStyle w:val="TableGrid"/>
        <w:name w:val="Tabelle50"/>
        <w:tabOrder w:val="0"/>
        <w:jc w:val="left"/>
        <w:tblInd w:w="0" w:type="dxa"/>
        <w:tblW w:w="9066" w:type="dxa"/>
        <w:pPr>
          <w:spacing/>
          <w:jc w:val="left"/>
        </w:pPr>
        <w:tblLook w:val="04A0" w:firstRow="1" w:lastRow="0" w:firstColumn="1" w:lastColumn="0" w:noHBand="0" w:noVBand="1"/>
      </w:tblPr>
      <w:tblGrid>
        <w:gridCol w:w="2384"/>
        <w:gridCol w:w="2131"/>
        <w:gridCol w:w="2167"/>
        <w:gridCol w:w="1233"/>
        <w:gridCol w:w="1151"/>
      </w:tblGrid>
      <w:tr>
        <w:trPr>
          <w:tblHeader w:val="0"/>
          <w:cantSplit w:val="0"/>
          <w:trHeight w:val="0" w:hRule="auto"/>
        </w:trPr>
        <w:tc>
          <w:tcPr>
            <w:tcW w:w="2384" w:type="dxa"/>
            <w:tcMar>
              <w:top w:w="57" w:type="dxa"/>
              <w:left w:w="57" w:type="dxa"/>
              <w:bottom w:w="57" w:type="dxa"/>
              <w:right w:w="0" w:type="dxa"/>
            </w:tcMar>
            <w:tmTcPr id="1766737683" protected="0"/>
          </w:tcPr>
          <w:p>
            <w:pPr/>
            <w:r>
              <w:t>Obst</w:t>
            </w:r>
          </w:p>
        </w:tc>
        <w:tc>
          <w:tcPr>
            <w:tcW w:w="2131" w:type="dxa"/>
            <w:tcMar>
              <w:top w:w="57" w:type="dxa"/>
              <w:left w:w="57" w:type="dxa"/>
              <w:bottom w:w="57" w:type="dxa"/>
              <w:right w:w="0" w:type="dxa"/>
            </w:tcMar>
            <w:tmTcPr id="1766737683" protected="0"/>
          </w:tcPr>
          <w:p>
            <w:pPr>
              <w:spacing/>
              <w:jc w:val="center"/>
            </w:pPr>
            <w:r>
              <w:t>Omega-3 (g/100g)</w:t>
            </w:r>
          </w:p>
        </w:tc>
        <w:tc>
          <w:tcPr>
            <w:tcW w:w="2167" w:type="dxa"/>
            <w:tcMar>
              <w:top w:w="57" w:type="dxa"/>
              <w:left w:w="57" w:type="dxa"/>
              <w:bottom w:w="57" w:type="dxa"/>
              <w:right w:w="0" w:type="dxa"/>
            </w:tcMar>
            <w:tmTcPr id="1766737683" protected="0"/>
          </w:tcPr>
          <w:p>
            <w:pPr>
              <w:spacing/>
              <w:jc w:val="center"/>
            </w:pPr>
            <w:r>
              <w:t>Omega-6 (g/100g)</w:t>
            </w:r>
          </w:p>
        </w:tc>
        <w:tc>
          <w:tcPr>
            <w:tcW w:w="1233" w:type="dxa"/>
            <w:tcMar>
              <w:top w:w="57" w:type="dxa"/>
              <w:left w:w="57" w:type="dxa"/>
              <w:bottom w:w="57" w:type="dxa"/>
              <w:right w:w="0" w:type="dxa"/>
            </w:tcMar>
            <w:tmTcPr id="1766737683" protected="0"/>
          </w:tcPr>
          <w:p>
            <w:pPr>
              <w:spacing/>
              <w:jc w:val="center"/>
            </w:pPr>
            <w:r>
              <w:t>Verhältnis</w:t>
            </w:r>
          </w:p>
        </w:tc>
        <w:tc>
          <w:tcPr>
            <w:tcW w:w="1151" w:type="dxa"/>
            <w:tcMar>
              <w:top w:w="57" w:type="dxa"/>
              <w:left w:w="57" w:type="dxa"/>
              <w:bottom w:w="57" w:type="dxa"/>
              <w:right w:w="0" w:type="dxa"/>
            </w:tcMar>
            <w:tmTcPr id="1766737683" protected="0"/>
          </w:tcPr>
          <w:p>
            <w:pPr>
              <w:spacing/>
              <w:jc w:val="center"/>
            </w:pPr>
            <w:r>
              <w:t>Omega-Punkte</w:t>
            </w:r>
          </w:p>
        </w:tc>
      </w:tr>
      <w:tr>
        <w:trPr>
          <w:tblHeader w:val="0"/>
          <w:cantSplit w:val="0"/>
          <w:trHeight w:val="0" w:hRule="auto"/>
        </w:trPr>
        <w:tc>
          <w:tcPr>
            <w:tcW w:w="2384" w:type="dxa"/>
            <w:tcMar>
              <w:top w:w="57" w:type="dxa"/>
              <w:left w:w="57" w:type="dxa"/>
              <w:bottom w:w="57" w:type="dxa"/>
              <w:right w:w="0" w:type="dxa"/>
            </w:tcMar>
            <w:tmTcPr id="1766737683" protected="0"/>
          </w:tcPr>
          <w:p>
            <w:pPr/>
            <w:r>
              <w:t>Mango</w:t>
            </w:r>
          </w:p>
        </w:tc>
        <w:tc>
          <w:tcPr>
            <w:tcW w:w="2131" w:type="dxa"/>
            <w:tcMar>
              <w:top w:w="57" w:type="dxa"/>
              <w:left w:w="57" w:type="dxa"/>
              <w:bottom w:w="57" w:type="dxa"/>
              <w:right w:w="0" w:type="dxa"/>
            </w:tcMar>
            <w:tmTcPr id="1766737683" protected="0"/>
          </w:tcPr>
          <w:p>
            <w:pPr>
              <w:spacing/>
              <w:jc w:val="center"/>
            </w:pPr>
            <w:r>
              <w:t>0,07</w:t>
            </w:r>
          </w:p>
        </w:tc>
        <w:tc>
          <w:tcPr>
            <w:tcW w:w="2167" w:type="dxa"/>
            <w:tcMar>
              <w:top w:w="57" w:type="dxa"/>
              <w:left w:w="57" w:type="dxa"/>
              <w:bottom w:w="57" w:type="dxa"/>
              <w:right w:w="0" w:type="dxa"/>
            </w:tcMar>
            <w:tmTcPr id="1766737683" protected="0"/>
          </w:tcPr>
          <w:p>
            <w:pPr>
              <w:spacing/>
              <w:jc w:val="center"/>
            </w:pPr>
            <w:r>
              <w:t>0,009</w:t>
            </w:r>
          </w:p>
        </w:tc>
        <w:tc>
          <w:tcPr>
            <w:tcW w:w="1233" w:type="dxa"/>
            <w:tcMar>
              <w:top w:w="57" w:type="dxa"/>
              <w:left w:w="57" w:type="dxa"/>
              <w:bottom w:w="57" w:type="dxa"/>
              <w:right w:w="0" w:type="dxa"/>
            </w:tcMar>
            <w:tmTcPr id="1766737683" protected="0"/>
          </w:tcPr>
          <w:p>
            <w:pPr>
              <w:spacing/>
              <w:jc w:val="center"/>
            </w:pPr>
            <w:r>
              <w:t>7,4:1</w:t>
            </w:r>
          </w:p>
        </w:tc>
        <w:tc>
          <w:tcPr>
            <w:tcW w:w="1151" w:type="dxa"/>
            <w:tcMar>
              <w:top w:w="57" w:type="dxa"/>
              <w:left w:w="57" w:type="dxa"/>
              <w:bottom w:w="57" w:type="dxa"/>
              <w:right w:w="0" w:type="dxa"/>
            </w:tcMar>
            <w:tmTcPr id="1766737683" protected="0"/>
          </w:tcPr>
          <w:p>
            <w:pPr>
              <w:spacing/>
              <w:jc w:val="center"/>
              <w:rPr>
                <w:color w:val="007f7f"/>
              </w:rPr>
            </w:pPr>
            <w:r>
              <w:rPr>
                <w:color w:val="007f7f"/>
              </w:rPr>
              <w:t>*</w:t>
            </w:r>
          </w:p>
        </w:tc>
      </w:tr>
      <w:tr>
        <w:trPr>
          <w:tblHeader w:val="0"/>
          <w:cantSplit w:val="0"/>
          <w:trHeight w:val="0" w:hRule="auto"/>
        </w:trPr>
        <w:tc>
          <w:tcPr>
            <w:tcW w:w="2384" w:type="dxa"/>
            <w:tcMar>
              <w:top w:w="57" w:type="dxa"/>
              <w:left w:w="57" w:type="dxa"/>
              <w:bottom w:w="57" w:type="dxa"/>
              <w:right w:w="0" w:type="dxa"/>
            </w:tcMar>
            <w:tmTcPr id="1766737683" protected="0"/>
          </w:tcPr>
          <w:p>
            <w:pPr/>
            <w:r>
              <w:t>Erdbeere</w:t>
            </w:r>
          </w:p>
        </w:tc>
        <w:tc>
          <w:tcPr>
            <w:tcW w:w="2131" w:type="dxa"/>
            <w:tcMar>
              <w:top w:w="57" w:type="dxa"/>
              <w:left w:w="57" w:type="dxa"/>
              <w:bottom w:w="57" w:type="dxa"/>
              <w:right w:w="0" w:type="dxa"/>
            </w:tcMar>
            <w:tmTcPr id="1766737683" protected="0"/>
          </w:tcPr>
          <w:p>
            <w:pPr>
              <w:spacing/>
              <w:jc w:val="center"/>
            </w:pPr>
            <w:r>
              <w:t>0,11</w:t>
            </w:r>
          </w:p>
        </w:tc>
        <w:tc>
          <w:tcPr>
            <w:tcW w:w="2167" w:type="dxa"/>
            <w:tcMar>
              <w:top w:w="57" w:type="dxa"/>
              <w:left w:w="57" w:type="dxa"/>
              <w:bottom w:w="57" w:type="dxa"/>
              <w:right w:w="0" w:type="dxa"/>
            </w:tcMar>
            <w:tmTcPr id="1766737683" protected="0"/>
          </w:tcPr>
          <w:p>
            <w:pPr>
              <w:spacing/>
              <w:jc w:val="center"/>
            </w:pPr>
            <w:r>
              <w:t>0,129</w:t>
            </w:r>
          </w:p>
        </w:tc>
        <w:tc>
          <w:tcPr>
            <w:tcW w:w="1233" w:type="dxa"/>
            <w:tcMar>
              <w:top w:w="57" w:type="dxa"/>
              <w:left w:w="57" w:type="dxa"/>
              <w:bottom w:w="57" w:type="dxa"/>
              <w:right w:w="0" w:type="dxa"/>
            </w:tcMar>
            <w:tmTcPr id="1766737683" protected="0"/>
          </w:tcPr>
          <w:p>
            <w:pPr>
              <w:spacing/>
              <w:jc w:val="center"/>
            </w:pPr>
            <w:r>
              <w:t>1:1,2</w:t>
            </w:r>
          </w:p>
        </w:tc>
        <w:tc>
          <w:tcPr>
            <w:tcW w:w="1151" w:type="dxa"/>
            <w:tcMar>
              <w:top w:w="57" w:type="dxa"/>
              <w:left w:w="57" w:type="dxa"/>
              <w:bottom w:w="57" w:type="dxa"/>
              <w:right w:w="0" w:type="dxa"/>
            </w:tcMar>
            <w:tmTcPr id="1766737683" protected="0"/>
          </w:tcPr>
          <w:p>
            <w:pPr>
              <w:spacing/>
              <w:jc w:val="center"/>
              <w:rPr>
                <w:color w:val="007f7f"/>
              </w:rPr>
            </w:pPr>
            <w:r>
              <w:rPr>
                <w:color w:val="007f7f"/>
              </w:rPr>
              <w:t>*</w:t>
            </w:r>
          </w:p>
        </w:tc>
      </w:tr>
      <w:tr>
        <w:trPr>
          <w:tblHeader w:val="0"/>
          <w:cantSplit w:val="0"/>
          <w:trHeight w:val="0" w:hRule="auto"/>
        </w:trPr>
        <w:tc>
          <w:tcPr>
            <w:tcW w:w="2384" w:type="dxa"/>
            <w:tcMar>
              <w:top w:w="57" w:type="dxa"/>
              <w:left w:w="57" w:type="dxa"/>
              <w:bottom w:w="57" w:type="dxa"/>
              <w:right w:w="0" w:type="dxa"/>
            </w:tcMar>
            <w:tmTcPr id="1766737683" protected="0"/>
          </w:tcPr>
          <w:p>
            <w:pPr/>
            <w:r>
              <w:t>Banane</w:t>
            </w:r>
          </w:p>
        </w:tc>
        <w:tc>
          <w:tcPr>
            <w:tcW w:w="2131" w:type="dxa"/>
            <w:tcMar>
              <w:top w:w="57" w:type="dxa"/>
              <w:left w:w="57" w:type="dxa"/>
              <w:bottom w:w="57" w:type="dxa"/>
              <w:right w:w="0" w:type="dxa"/>
            </w:tcMar>
            <w:tmTcPr id="1766737683" protected="0"/>
          </w:tcPr>
          <w:p>
            <w:pPr>
              <w:spacing/>
              <w:jc w:val="center"/>
            </w:pPr>
            <w:r>
              <w:t>0,03</w:t>
            </w:r>
          </w:p>
        </w:tc>
        <w:tc>
          <w:tcPr>
            <w:tcW w:w="2167" w:type="dxa"/>
            <w:tcMar>
              <w:top w:w="57" w:type="dxa"/>
              <w:left w:w="57" w:type="dxa"/>
              <w:bottom w:w="57" w:type="dxa"/>
              <w:right w:w="0" w:type="dxa"/>
            </w:tcMar>
            <w:tmTcPr id="1766737683" protected="0"/>
          </w:tcPr>
          <w:p>
            <w:pPr>
              <w:spacing/>
              <w:jc w:val="center"/>
            </w:pPr>
            <w:r>
              <w:t>0,035</w:t>
            </w:r>
          </w:p>
        </w:tc>
        <w:tc>
          <w:tcPr>
            <w:tcW w:w="1233" w:type="dxa"/>
            <w:tcMar>
              <w:top w:w="57" w:type="dxa"/>
              <w:left w:w="57" w:type="dxa"/>
              <w:bottom w:w="57" w:type="dxa"/>
              <w:right w:w="0" w:type="dxa"/>
            </w:tcMar>
            <w:tmTcPr id="1766737683" protected="0"/>
          </w:tcPr>
          <w:p>
            <w:pPr>
              <w:spacing/>
              <w:jc w:val="center"/>
            </w:pPr>
            <w:r>
              <w:t>1:1,4</w:t>
            </w:r>
          </w:p>
        </w:tc>
        <w:tc>
          <w:tcPr>
            <w:tcW w:w="1151" w:type="dxa"/>
            <w:tcMar>
              <w:top w:w="57" w:type="dxa"/>
              <w:left w:w="57" w:type="dxa"/>
              <w:bottom w:w="57" w:type="dxa"/>
              <w:right w:w="0" w:type="dxa"/>
            </w:tcMar>
            <w:tmTcPr id="1766737683" protected="0"/>
          </w:tcPr>
          <w:p>
            <w:pPr>
              <w:spacing/>
              <w:jc w:val="center"/>
              <w:rPr>
                <w:color w:val="007f7f"/>
              </w:rPr>
            </w:pPr>
            <w:r>
              <w:rPr>
                <w:color w:val="007f7f"/>
              </w:rPr>
              <w:t>*</w:t>
            </w:r>
          </w:p>
        </w:tc>
      </w:tr>
      <w:tr>
        <w:trPr>
          <w:tblHeader w:val="0"/>
          <w:cantSplit w:val="0"/>
          <w:trHeight w:val="0" w:hRule="auto"/>
        </w:trPr>
        <w:tc>
          <w:tcPr>
            <w:tcW w:w="2384" w:type="dxa"/>
            <w:tcMar>
              <w:top w:w="57" w:type="dxa"/>
              <w:left w:w="57" w:type="dxa"/>
              <w:bottom w:w="57" w:type="dxa"/>
              <w:right w:w="0" w:type="dxa"/>
            </w:tcMar>
            <w:tmTcPr id="1766737683" protected="0"/>
          </w:tcPr>
          <w:p>
            <w:pPr/>
            <w:r>
              <w:t>Avocado</w:t>
            </w:r>
          </w:p>
        </w:tc>
        <w:tc>
          <w:tcPr>
            <w:tcW w:w="2131" w:type="dxa"/>
            <w:tcMar>
              <w:top w:w="57" w:type="dxa"/>
              <w:left w:w="57" w:type="dxa"/>
              <w:bottom w:w="57" w:type="dxa"/>
              <w:right w:w="0" w:type="dxa"/>
            </w:tcMar>
            <w:tmTcPr id="1766737683" protected="0"/>
          </w:tcPr>
          <w:p>
            <w:pPr>
              <w:spacing/>
              <w:jc w:val="center"/>
            </w:pPr>
            <w:r>
              <w:t>0,10</w:t>
            </w:r>
          </w:p>
        </w:tc>
        <w:tc>
          <w:tcPr>
            <w:tcW w:w="2167" w:type="dxa"/>
            <w:tcMar>
              <w:top w:w="57" w:type="dxa"/>
              <w:left w:w="57" w:type="dxa"/>
              <w:bottom w:w="57" w:type="dxa"/>
              <w:right w:w="0" w:type="dxa"/>
            </w:tcMar>
            <w:tmTcPr id="1766737683" protected="0"/>
          </w:tcPr>
          <w:p>
            <w:pPr>
              <w:spacing/>
              <w:jc w:val="center"/>
            </w:pPr>
            <w:r>
              <w:t>1,413</w:t>
            </w:r>
          </w:p>
        </w:tc>
        <w:tc>
          <w:tcPr>
            <w:tcW w:w="1233" w:type="dxa"/>
            <w:tcMar>
              <w:top w:w="57" w:type="dxa"/>
              <w:left w:w="57" w:type="dxa"/>
              <w:bottom w:w="57" w:type="dxa"/>
              <w:right w:w="0" w:type="dxa"/>
            </w:tcMar>
            <w:tmTcPr id="1766737683" protected="0"/>
          </w:tcPr>
          <w:p>
            <w:pPr>
              <w:spacing/>
              <w:jc w:val="center"/>
            </w:pPr>
            <w:r>
              <w:t>1:13,6</w:t>
            </w:r>
          </w:p>
        </w:tc>
        <w:tc>
          <w:tcPr>
            <w:tcW w:w="1151" w:type="dxa"/>
            <w:tcMar>
              <w:top w:w="57" w:type="dxa"/>
              <w:left w:w="57" w:type="dxa"/>
              <w:bottom w:w="57" w:type="dxa"/>
              <w:right w:w="0" w:type="dxa"/>
            </w:tcMar>
            <w:tmTcPr id="1766737683" protected="0"/>
          </w:tcPr>
          <w:p>
            <w:pPr>
              <w:spacing/>
              <w:jc w:val="center"/>
              <w:rPr>
                <w:color w:val="ff0000"/>
              </w:rPr>
            </w:pPr>
            <w:r>
              <w:rPr>
                <w:color w:val="ff0000"/>
              </w:rPr>
              <w:t>*</w:t>
            </w:r>
          </w:p>
        </w:tc>
      </w:tr>
      <w:tr>
        <w:trPr>
          <w:tblHeader w:val="0"/>
          <w:cantSplit w:val="0"/>
          <w:trHeight w:val="0" w:hRule="auto"/>
        </w:trPr>
        <w:tc>
          <w:tcPr>
            <w:tcW w:w="2384" w:type="dxa"/>
            <w:tcMar>
              <w:top w:w="57" w:type="dxa"/>
              <w:left w:w="57" w:type="dxa"/>
              <w:bottom w:w="57" w:type="dxa"/>
              <w:right w:w="0" w:type="dxa"/>
            </w:tcMar>
            <w:tmTcPr id="1766737683" protected="0"/>
          </w:tcPr>
          <w:p>
            <w:pPr/>
            <w:r>
              <w:t>Apfel</w:t>
            </w:r>
          </w:p>
        </w:tc>
        <w:tc>
          <w:tcPr>
            <w:tcW w:w="2131" w:type="dxa"/>
            <w:tcMar>
              <w:top w:w="57" w:type="dxa"/>
              <w:left w:w="57" w:type="dxa"/>
              <w:bottom w:w="57" w:type="dxa"/>
              <w:right w:w="0" w:type="dxa"/>
            </w:tcMar>
            <w:tmTcPr id="1766737683" protected="0"/>
          </w:tcPr>
          <w:p>
            <w:pPr>
              <w:spacing/>
              <w:jc w:val="center"/>
            </w:pPr>
            <w:r>
              <w:t>0,04</w:t>
            </w:r>
          </w:p>
        </w:tc>
        <w:tc>
          <w:tcPr>
            <w:tcW w:w="2167" w:type="dxa"/>
            <w:tcMar>
              <w:top w:w="57" w:type="dxa"/>
              <w:left w:w="57" w:type="dxa"/>
              <w:bottom w:w="57" w:type="dxa"/>
              <w:right w:w="0" w:type="dxa"/>
            </w:tcMar>
            <w:tmTcPr id="1766737683" protected="0"/>
          </w:tcPr>
          <w:p>
            <w:pPr>
              <w:spacing/>
              <w:jc w:val="center"/>
            </w:pPr>
            <w:r>
              <w:t>0,201</w:t>
            </w:r>
          </w:p>
        </w:tc>
        <w:tc>
          <w:tcPr>
            <w:tcW w:w="1233" w:type="dxa"/>
            <w:tcMar>
              <w:top w:w="57" w:type="dxa"/>
              <w:left w:w="57" w:type="dxa"/>
              <w:bottom w:w="57" w:type="dxa"/>
              <w:right w:w="0" w:type="dxa"/>
            </w:tcMar>
            <w:tmTcPr id="1766737683" protected="0"/>
          </w:tcPr>
          <w:p>
            <w:pPr>
              <w:spacing/>
              <w:jc w:val="center"/>
            </w:pPr>
            <w:r>
              <w:t>1:4,6</w:t>
            </w:r>
          </w:p>
        </w:tc>
        <w:tc>
          <w:tcPr>
            <w:tcW w:w="1151" w:type="dxa"/>
            <w:tcMar>
              <w:top w:w="57" w:type="dxa"/>
              <w:left w:w="57" w:type="dxa"/>
              <w:bottom w:w="57" w:type="dxa"/>
              <w:right w:w="0" w:type="dxa"/>
            </w:tcMar>
            <w:tmTcPr id="1766737683" protected="0"/>
          </w:tcPr>
          <w:p>
            <w:pPr>
              <w:spacing/>
              <w:jc w:val="center"/>
              <w:rPr>
                <w:color w:val="007f7f"/>
              </w:rPr>
            </w:pPr>
            <w:r>
              <w:rPr>
                <w:color w:val="007f7f"/>
              </w:rPr>
              <w:t>*</w:t>
            </w:r>
          </w:p>
        </w:tc>
      </w:tr>
      <w:tr>
        <w:trPr>
          <w:tblHeader w:val="0"/>
          <w:cantSplit w:val="0"/>
          <w:trHeight w:val="0" w:hRule="auto"/>
        </w:trPr>
        <w:tc>
          <w:tcPr>
            <w:tcW w:w="2384" w:type="dxa"/>
            <w:tcMar>
              <w:top w:w="57" w:type="dxa"/>
              <w:left w:w="57" w:type="dxa"/>
              <w:bottom w:w="57" w:type="dxa"/>
              <w:right w:w="0" w:type="dxa"/>
            </w:tcMar>
            <w:tmTcPr id="1766737683" protected="0"/>
          </w:tcPr>
          <w:p>
            <w:pPr/>
            <w:r>
              <w:t>Birne</w:t>
            </w:r>
          </w:p>
        </w:tc>
        <w:tc>
          <w:tcPr>
            <w:tcW w:w="2131" w:type="dxa"/>
            <w:tcMar>
              <w:top w:w="57" w:type="dxa"/>
              <w:left w:w="57" w:type="dxa"/>
              <w:bottom w:w="57" w:type="dxa"/>
              <w:right w:w="0" w:type="dxa"/>
            </w:tcMar>
            <w:tmTcPr id="1766737683" protected="0"/>
          </w:tcPr>
          <w:p>
            <w:pPr>
              <w:spacing/>
              <w:jc w:val="center"/>
            </w:pPr>
            <w:r>
              <w:t>0,02</w:t>
            </w:r>
          </w:p>
        </w:tc>
        <w:tc>
          <w:tcPr>
            <w:tcW w:w="2167" w:type="dxa"/>
            <w:tcMar>
              <w:top w:w="57" w:type="dxa"/>
              <w:left w:w="57" w:type="dxa"/>
              <w:bottom w:w="57" w:type="dxa"/>
              <w:right w:w="0" w:type="dxa"/>
            </w:tcMar>
            <w:tmTcPr id="1766737683" protected="0"/>
          </w:tcPr>
          <w:p>
            <w:pPr>
              <w:spacing/>
              <w:jc w:val="center"/>
            </w:pPr>
            <w:r>
              <w:t>0,108</w:t>
            </w:r>
          </w:p>
        </w:tc>
        <w:tc>
          <w:tcPr>
            <w:tcW w:w="1233" w:type="dxa"/>
            <w:tcMar>
              <w:top w:w="57" w:type="dxa"/>
              <w:left w:w="57" w:type="dxa"/>
              <w:bottom w:w="57" w:type="dxa"/>
              <w:right w:w="0" w:type="dxa"/>
            </w:tcMar>
            <w:tmTcPr id="1766737683" protected="0"/>
          </w:tcPr>
          <w:p>
            <w:pPr>
              <w:spacing/>
              <w:jc w:val="center"/>
            </w:pPr>
            <w:r>
              <w:t>1:5,7</w:t>
            </w:r>
          </w:p>
        </w:tc>
        <w:tc>
          <w:tcPr>
            <w:tcW w:w="1151" w:type="dxa"/>
            <w:tcMar>
              <w:top w:w="57" w:type="dxa"/>
              <w:left w:w="57" w:type="dxa"/>
              <w:bottom w:w="57" w:type="dxa"/>
              <w:right w:w="0" w:type="dxa"/>
            </w:tcMar>
            <w:tmTcPr id="1766737683" protected="0"/>
          </w:tcPr>
          <w:p>
            <w:pPr>
              <w:spacing/>
              <w:jc w:val="center"/>
              <w:rPr>
                <w:color w:val="007f7f"/>
              </w:rPr>
            </w:pPr>
            <w:r>
              <w:rPr>
                <w:color w:val="007f7f"/>
              </w:rPr>
              <w:t>*</w:t>
            </w:r>
          </w:p>
        </w:tc>
      </w:tr>
      <w:tr>
        <w:trPr>
          <w:tblHeader w:val="0"/>
          <w:cantSplit w:val="0"/>
          <w:trHeight w:val="0" w:hRule="auto"/>
        </w:trPr>
        <w:tc>
          <w:tcPr>
            <w:tcW w:w="2384" w:type="dxa"/>
            <w:tcMar>
              <w:top w:w="57" w:type="dxa"/>
              <w:left w:w="57" w:type="dxa"/>
              <w:bottom w:w="57" w:type="dxa"/>
              <w:right w:w="0" w:type="dxa"/>
            </w:tcMar>
            <w:tmTcPr id="1766737683" protected="0"/>
          </w:tcPr>
          <w:p>
            <w:pPr/>
            <w:r>
              <w:t>Ananas</w:t>
            </w:r>
          </w:p>
        </w:tc>
        <w:tc>
          <w:tcPr>
            <w:tcW w:w="2131" w:type="dxa"/>
            <w:tcMar>
              <w:top w:w="57" w:type="dxa"/>
              <w:left w:w="57" w:type="dxa"/>
              <w:bottom w:w="57" w:type="dxa"/>
              <w:right w:w="0" w:type="dxa"/>
            </w:tcMar>
            <w:tmTcPr id="1766737683" protected="0"/>
          </w:tcPr>
          <w:p>
            <w:pPr>
              <w:spacing/>
              <w:jc w:val="center"/>
            </w:pPr>
            <w:r>
              <w:t>0,03</w:t>
            </w:r>
          </w:p>
        </w:tc>
        <w:tc>
          <w:tcPr>
            <w:tcW w:w="2167" w:type="dxa"/>
            <w:tcMar>
              <w:top w:w="57" w:type="dxa"/>
              <w:left w:w="57" w:type="dxa"/>
              <w:bottom w:w="57" w:type="dxa"/>
              <w:right w:w="0" w:type="dxa"/>
            </w:tcMar>
            <w:tmTcPr id="1766737683" protected="0"/>
          </w:tcPr>
          <w:p>
            <w:pPr>
              <w:spacing/>
              <w:jc w:val="center"/>
            </w:pPr>
            <w:r>
              <w:t>0,045</w:t>
            </w:r>
          </w:p>
        </w:tc>
        <w:tc>
          <w:tcPr>
            <w:tcW w:w="1233" w:type="dxa"/>
            <w:tcMar>
              <w:top w:w="57" w:type="dxa"/>
              <w:left w:w="57" w:type="dxa"/>
              <w:bottom w:w="57" w:type="dxa"/>
              <w:right w:w="0" w:type="dxa"/>
            </w:tcMar>
            <w:tmTcPr id="1766737683" protected="0"/>
          </w:tcPr>
          <w:p>
            <w:pPr>
              <w:spacing/>
              <w:jc w:val="center"/>
            </w:pPr>
            <w:r>
              <w:t>1:1,4</w:t>
            </w:r>
          </w:p>
        </w:tc>
        <w:tc>
          <w:tcPr>
            <w:tcW w:w="1151" w:type="dxa"/>
            <w:tcMar>
              <w:top w:w="57" w:type="dxa"/>
              <w:left w:w="57" w:type="dxa"/>
              <w:bottom w:w="57" w:type="dxa"/>
              <w:right w:w="0" w:type="dxa"/>
            </w:tcMar>
            <w:tmTcPr id="1766737683" protected="0"/>
          </w:tcPr>
          <w:p>
            <w:pPr>
              <w:spacing/>
              <w:jc w:val="center"/>
              <w:rPr>
                <w:color w:val="007f7f"/>
              </w:rPr>
            </w:pPr>
            <w:r>
              <w:rPr>
                <w:color w:val="007f7f"/>
              </w:rPr>
              <w:t>*</w:t>
            </w:r>
          </w:p>
        </w:tc>
      </w:tr>
    </w:tbl>
    <w:p>
      <w:pPr>
        <w:spacing w:after="0" w:line="240" w:lineRule="auto"/>
      </w:pPr>
      <w:r/>
    </w:p>
    <w:tbl>
      <w:tblPr>
        <w:tblStyle w:val="TableGrid"/>
        <w:name w:val="Tabelle51"/>
        <w:tabOrder w:val="0"/>
        <w:jc w:val="left"/>
        <w:tblInd w:w="0" w:type="dxa"/>
        <w:tblW w:w="9066" w:type="dxa"/>
        <w:pPr>
          <w:spacing/>
          <w:jc w:val="left"/>
        </w:pPr>
        <w:tblLook w:val="04A0" w:firstRow="1" w:lastRow="0" w:firstColumn="1" w:lastColumn="0" w:noHBand="0" w:noVBand="1"/>
      </w:tblPr>
      <w:tblGrid>
        <w:gridCol w:w="2366"/>
        <w:gridCol w:w="2140"/>
        <w:gridCol w:w="2158"/>
        <w:gridCol w:w="1278"/>
        <w:gridCol w:w="1124"/>
      </w:tblGrid>
      <w:tr>
        <w:trPr>
          <w:tblHeader w:val="0"/>
          <w:cantSplit w:val="0"/>
          <w:trHeight w:val="0" w:hRule="auto"/>
        </w:trPr>
        <w:tc>
          <w:tcPr>
            <w:tcW w:w="2366" w:type="dxa"/>
            <w:tcMar>
              <w:top w:w="57" w:type="dxa"/>
              <w:left w:w="57" w:type="dxa"/>
              <w:bottom w:w="57" w:type="dxa"/>
              <w:right w:w="57" w:type="dxa"/>
            </w:tcMar>
            <w:tmTcPr id="1766737683" protected="0"/>
          </w:tcPr>
          <w:p>
            <w:pPr/>
            <w:r>
              <w:t>Gemüse</w:t>
            </w:r>
          </w:p>
        </w:tc>
        <w:tc>
          <w:tcPr>
            <w:tcW w:w="2140" w:type="dxa"/>
            <w:tcMar>
              <w:top w:w="57" w:type="dxa"/>
              <w:left w:w="57" w:type="dxa"/>
              <w:bottom w:w="57" w:type="dxa"/>
              <w:right w:w="57" w:type="dxa"/>
            </w:tcMar>
            <w:tmTcPr id="1766737683" protected="0"/>
          </w:tcPr>
          <w:p>
            <w:pPr>
              <w:spacing/>
              <w:jc w:val="center"/>
            </w:pPr>
            <w:r>
              <w:t>Omega-3 (g/100g)</w:t>
            </w:r>
          </w:p>
        </w:tc>
        <w:tc>
          <w:tcPr>
            <w:tcW w:w="2158" w:type="dxa"/>
            <w:tcMar>
              <w:top w:w="57" w:type="dxa"/>
              <w:left w:w="57" w:type="dxa"/>
              <w:bottom w:w="57" w:type="dxa"/>
              <w:right w:w="57" w:type="dxa"/>
            </w:tcMar>
            <w:tmTcPr id="1766737683" protected="0"/>
          </w:tcPr>
          <w:p>
            <w:pPr>
              <w:spacing/>
              <w:jc w:val="center"/>
            </w:pPr>
            <w:r>
              <w:t>Omega-6 (g/100g)</w:t>
            </w:r>
          </w:p>
        </w:tc>
        <w:tc>
          <w:tcPr>
            <w:tcW w:w="1278" w:type="dxa"/>
            <w:tcMar>
              <w:top w:w="57" w:type="dxa"/>
              <w:left w:w="57" w:type="dxa"/>
              <w:bottom w:w="57" w:type="dxa"/>
              <w:right w:w="57" w:type="dxa"/>
            </w:tcMar>
            <w:tmTcPr id="1766737683" protected="0"/>
          </w:tcPr>
          <w:p>
            <w:pPr>
              <w:spacing/>
              <w:jc w:val="center"/>
            </w:pPr>
            <w:r>
              <w:t>Verhältnis</w:t>
            </w:r>
          </w:p>
        </w:tc>
        <w:tc>
          <w:tcPr>
            <w:tcW w:w="1124" w:type="dxa"/>
            <w:tcMar>
              <w:top w:w="57" w:type="dxa"/>
              <w:left w:w="57" w:type="dxa"/>
              <w:bottom w:w="57" w:type="dxa"/>
              <w:right w:w="57" w:type="dxa"/>
            </w:tcMar>
            <w:tmTcPr id="1766737683" protected="0"/>
          </w:tcPr>
          <w:p>
            <w:pPr>
              <w:spacing/>
              <w:jc w:val="center"/>
            </w:pPr>
            <w:r>
              <w:t>Omega-Punkte</w:t>
            </w:r>
          </w:p>
        </w:tc>
      </w:tr>
      <w:tr>
        <w:trPr>
          <w:tblHeader w:val="0"/>
          <w:cantSplit w:val="0"/>
          <w:trHeight w:val="0" w:hRule="auto"/>
        </w:trPr>
        <w:tc>
          <w:tcPr>
            <w:tcW w:w="2366" w:type="dxa"/>
            <w:tcMar>
              <w:top w:w="57" w:type="dxa"/>
              <w:left w:w="57" w:type="dxa"/>
              <w:bottom w:w="57" w:type="dxa"/>
              <w:right w:w="57" w:type="dxa"/>
            </w:tcMar>
            <w:tmTcPr id="1766737683" protected="0"/>
          </w:tcPr>
          <w:p>
            <w:pPr/>
            <w:r>
              <w:t>Waldpilze</w:t>
            </w:r>
          </w:p>
        </w:tc>
        <w:tc>
          <w:tcPr>
            <w:tcW w:w="2140" w:type="dxa"/>
            <w:tcMar>
              <w:top w:w="57" w:type="dxa"/>
              <w:left w:w="57" w:type="dxa"/>
              <w:bottom w:w="57" w:type="dxa"/>
              <w:right w:w="57" w:type="dxa"/>
            </w:tcMar>
            <w:tmTcPr id="1766737683" protected="0"/>
          </w:tcPr>
          <w:p>
            <w:pPr>
              <w:spacing/>
              <w:jc w:val="center"/>
            </w:pPr>
            <w:r>
              <w:t>0,30</w:t>
            </w:r>
          </w:p>
        </w:tc>
        <w:tc>
          <w:tcPr>
            <w:tcW w:w="2158" w:type="dxa"/>
            <w:tcMar>
              <w:top w:w="57" w:type="dxa"/>
              <w:left w:w="57" w:type="dxa"/>
              <w:bottom w:w="57" w:type="dxa"/>
              <w:right w:w="57" w:type="dxa"/>
            </w:tcMar>
            <w:tmTcPr id="1766737683" protected="0"/>
          </w:tcPr>
          <w:p>
            <w:pPr>
              <w:spacing/>
              <w:jc w:val="center"/>
            </w:pPr>
            <w:r>
              <w:t>0,072</w:t>
            </w:r>
          </w:p>
        </w:tc>
        <w:tc>
          <w:tcPr>
            <w:tcW w:w="1278" w:type="dxa"/>
            <w:tcMar>
              <w:top w:w="57" w:type="dxa"/>
              <w:left w:w="57" w:type="dxa"/>
              <w:bottom w:w="57" w:type="dxa"/>
              <w:right w:w="57" w:type="dxa"/>
            </w:tcMar>
            <w:tmTcPr id="1766737683" protected="0"/>
          </w:tcPr>
          <w:p>
            <w:pPr>
              <w:spacing/>
              <w:jc w:val="center"/>
            </w:pPr>
            <w:r>
              <w:t>4,2:1</w:t>
            </w:r>
          </w:p>
        </w:tc>
        <w:tc>
          <w:tcPr>
            <w:tcW w:w="1124"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Brokkoli</w:t>
            </w:r>
          </w:p>
        </w:tc>
        <w:tc>
          <w:tcPr>
            <w:tcW w:w="2140" w:type="dxa"/>
            <w:tcMar>
              <w:top w:w="57" w:type="dxa"/>
              <w:left w:w="57" w:type="dxa"/>
              <w:bottom w:w="57" w:type="dxa"/>
              <w:right w:w="57" w:type="dxa"/>
            </w:tcMar>
            <w:tmTcPr id="1766737683" protected="0"/>
          </w:tcPr>
          <w:p>
            <w:pPr>
              <w:spacing/>
              <w:jc w:val="center"/>
            </w:pPr>
            <w:r>
              <w:t>0,09</w:t>
            </w:r>
          </w:p>
        </w:tc>
        <w:tc>
          <w:tcPr>
            <w:tcW w:w="2158" w:type="dxa"/>
            <w:tcMar>
              <w:top w:w="57" w:type="dxa"/>
              <w:left w:w="57" w:type="dxa"/>
              <w:bottom w:w="57" w:type="dxa"/>
              <w:right w:w="57" w:type="dxa"/>
            </w:tcMar>
            <w:tmTcPr id="1766737683" protected="0"/>
          </w:tcPr>
          <w:p>
            <w:pPr>
              <w:spacing/>
              <w:jc w:val="center"/>
            </w:pPr>
            <w:r>
              <w:t>0,020</w:t>
            </w:r>
          </w:p>
        </w:tc>
        <w:tc>
          <w:tcPr>
            <w:tcW w:w="1278" w:type="dxa"/>
            <w:tcMar>
              <w:top w:w="57" w:type="dxa"/>
              <w:left w:w="57" w:type="dxa"/>
              <w:bottom w:w="57" w:type="dxa"/>
              <w:right w:w="57" w:type="dxa"/>
            </w:tcMar>
            <w:tmTcPr id="1766737683" protected="0"/>
          </w:tcPr>
          <w:p>
            <w:pPr>
              <w:spacing/>
              <w:jc w:val="center"/>
            </w:pPr>
            <w:r>
              <w:t>4,4:1</w:t>
            </w:r>
          </w:p>
        </w:tc>
        <w:tc>
          <w:tcPr>
            <w:tcW w:w="1124"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Blumenkohl</w:t>
            </w:r>
          </w:p>
        </w:tc>
        <w:tc>
          <w:tcPr>
            <w:tcW w:w="2140" w:type="dxa"/>
            <w:tcMar>
              <w:top w:w="57" w:type="dxa"/>
              <w:left w:w="57" w:type="dxa"/>
              <w:bottom w:w="57" w:type="dxa"/>
              <w:right w:w="57" w:type="dxa"/>
            </w:tcMar>
            <w:tmTcPr id="1766737683" protected="0"/>
          </w:tcPr>
          <w:p>
            <w:pPr>
              <w:spacing/>
              <w:jc w:val="center"/>
            </w:pPr>
            <w:r>
              <w:t>0,11</w:t>
            </w:r>
          </w:p>
        </w:tc>
        <w:tc>
          <w:tcPr>
            <w:tcW w:w="2158" w:type="dxa"/>
            <w:tcMar>
              <w:top w:w="57" w:type="dxa"/>
              <w:left w:w="57" w:type="dxa"/>
              <w:bottom w:w="57" w:type="dxa"/>
              <w:right w:w="57" w:type="dxa"/>
            </w:tcMar>
            <w:tmTcPr id="1766737683" protected="0"/>
          </w:tcPr>
          <w:p>
            <w:pPr>
              <w:spacing/>
              <w:jc w:val="center"/>
            </w:pPr>
            <w:r>
              <w:t>0,029</w:t>
            </w:r>
          </w:p>
        </w:tc>
        <w:tc>
          <w:tcPr>
            <w:tcW w:w="1278" w:type="dxa"/>
            <w:tcMar>
              <w:top w:w="57" w:type="dxa"/>
              <w:left w:w="57" w:type="dxa"/>
              <w:bottom w:w="57" w:type="dxa"/>
              <w:right w:w="57" w:type="dxa"/>
            </w:tcMar>
            <w:tmTcPr id="1766737683" protected="0"/>
          </w:tcPr>
          <w:p>
            <w:pPr>
              <w:spacing/>
              <w:jc w:val="center"/>
            </w:pPr>
            <w:r>
              <w:t>3,8:1</w:t>
            </w:r>
          </w:p>
        </w:tc>
        <w:tc>
          <w:tcPr>
            <w:tcW w:w="1124"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Champignons</w:t>
            </w:r>
          </w:p>
        </w:tc>
        <w:tc>
          <w:tcPr>
            <w:tcW w:w="2140" w:type="dxa"/>
            <w:tcMar>
              <w:top w:w="57" w:type="dxa"/>
              <w:left w:w="57" w:type="dxa"/>
              <w:bottom w:w="57" w:type="dxa"/>
              <w:right w:w="57" w:type="dxa"/>
            </w:tcMar>
            <w:tmTcPr id="1766737683" protected="0"/>
          </w:tcPr>
          <w:p>
            <w:pPr>
              <w:spacing/>
              <w:jc w:val="center"/>
            </w:pPr>
            <w:r>
              <w:t>0,11</w:t>
            </w:r>
          </w:p>
        </w:tc>
        <w:tc>
          <w:tcPr>
            <w:tcW w:w="2158" w:type="dxa"/>
            <w:tcMar>
              <w:top w:w="57" w:type="dxa"/>
              <w:left w:w="57" w:type="dxa"/>
              <w:bottom w:w="57" w:type="dxa"/>
              <w:right w:w="57" w:type="dxa"/>
            </w:tcMar>
            <w:tmTcPr id="1766737683" protected="0"/>
          </w:tcPr>
          <w:p>
            <w:pPr>
              <w:spacing/>
              <w:jc w:val="center"/>
            </w:pPr>
            <w:r>
              <w:t>0,149</w:t>
            </w:r>
          </w:p>
        </w:tc>
        <w:tc>
          <w:tcPr>
            <w:tcW w:w="1278" w:type="dxa"/>
            <w:tcMar>
              <w:top w:w="57" w:type="dxa"/>
              <w:left w:w="57" w:type="dxa"/>
              <w:bottom w:w="57" w:type="dxa"/>
              <w:right w:w="57" w:type="dxa"/>
            </w:tcMar>
            <w:tmTcPr id="1766737683" protected="0"/>
          </w:tcPr>
          <w:p>
            <w:pPr>
              <w:spacing/>
              <w:jc w:val="center"/>
            </w:pPr>
            <w:r>
              <w:t>1:1,4</w:t>
            </w:r>
          </w:p>
        </w:tc>
        <w:tc>
          <w:tcPr>
            <w:tcW w:w="1124"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Paprika (rot)</w:t>
            </w:r>
          </w:p>
        </w:tc>
        <w:tc>
          <w:tcPr>
            <w:tcW w:w="2140" w:type="dxa"/>
            <w:tcMar>
              <w:top w:w="57" w:type="dxa"/>
              <w:left w:w="57" w:type="dxa"/>
              <w:bottom w:w="57" w:type="dxa"/>
              <w:right w:w="57" w:type="dxa"/>
            </w:tcMar>
            <w:tmTcPr id="1766737683" protected="0"/>
          </w:tcPr>
          <w:p>
            <w:pPr>
              <w:spacing/>
              <w:jc w:val="center"/>
            </w:pPr>
            <w:r>
              <w:t>0,05</w:t>
            </w:r>
          </w:p>
        </w:tc>
        <w:tc>
          <w:tcPr>
            <w:tcW w:w="2158" w:type="dxa"/>
            <w:tcMar>
              <w:top w:w="57" w:type="dxa"/>
              <w:left w:w="57" w:type="dxa"/>
              <w:bottom w:w="57" w:type="dxa"/>
              <w:right w:w="57" w:type="dxa"/>
            </w:tcMar>
            <w:tmTcPr id="1766737683" protected="0"/>
          </w:tcPr>
          <w:p>
            <w:pPr>
              <w:spacing/>
              <w:jc w:val="center"/>
            </w:pPr>
            <w:r>
              <w:t>0,229</w:t>
            </w:r>
          </w:p>
        </w:tc>
        <w:tc>
          <w:tcPr>
            <w:tcW w:w="1278" w:type="dxa"/>
            <w:tcMar>
              <w:top w:w="57" w:type="dxa"/>
              <w:left w:w="57" w:type="dxa"/>
              <w:bottom w:w="57" w:type="dxa"/>
              <w:right w:w="57" w:type="dxa"/>
            </w:tcMar>
            <w:tmTcPr id="1766737683" protected="0"/>
          </w:tcPr>
          <w:p>
            <w:pPr>
              <w:spacing/>
              <w:jc w:val="center"/>
            </w:pPr>
            <w:r>
              <w:t>1:4,8</w:t>
            </w:r>
          </w:p>
        </w:tc>
        <w:tc>
          <w:tcPr>
            <w:tcW w:w="1124"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Karotte</w:t>
            </w:r>
          </w:p>
        </w:tc>
        <w:tc>
          <w:tcPr>
            <w:tcW w:w="2140" w:type="dxa"/>
            <w:tcMar>
              <w:top w:w="57" w:type="dxa"/>
              <w:left w:w="57" w:type="dxa"/>
              <w:bottom w:w="57" w:type="dxa"/>
              <w:right w:w="57" w:type="dxa"/>
            </w:tcMar>
            <w:tmTcPr id="1766737683" protected="0"/>
          </w:tcPr>
          <w:p>
            <w:pPr>
              <w:spacing/>
              <w:jc w:val="center"/>
            </w:pPr>
            <w:r>
              <w:t>0,01</w:t>
            </w:r>
          </w:p>
        </w:tc>
        <w:tc>
          <w:tcPr>
            <w:tcW w:w="2158" w:type="dxa"/>
            <w:tcMar>
              <w:top w:w="57" w:type="dxa"/>
              <w:left w:w="57" w:type="dxa"/>
              <w:bottom w:w="57" w:type="dxa"/>
              <w:right w:w="57" w:type="dxa"/>
            </w:tcMar>
            <w:tmTcPr id="1766737683" protected="0"/>
          </w:tcPr>
          <w:p>
            <w:pPr>
              <w:spacing/>
              <w:jc w:val="center"/>
            </w:pPr>
            <w:r>
              <w:t>0,105</w:t>
            </w:r>
          </w:p>
        </w:tc>
        <w:tc>
          <w:tcPr>
            <w:tcW w:w="1278" w:type="dxa"/>
            <w:tcMar>
              <w:top w:w="57" w:type="dxa"/>
              <w:left w:w="57" w:type="dxa"/>
              <w:bottom w:w="57" w:type="dxa"/>
              <w:right w:w="57" w:type="dxa"/>
            </w:tcMar>
            <w:tmTcPr id="1766737683" protected="0"/>
          </w:tcPr>
          <w:p>
            <w:pPr>
              <w:spacing/>
              <w:jc w:val="center"/>
            </w:pPr>
            <w:r>
              <w:t>1:8,8</w:t>
            </w:r>
          </w:p>
        </w:tc>
        <w:tc>
          <w:tcPr>
            <w:tcW w:w="1124"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Tomate</w:t>
            </w:r>
          </w:p>
        </w:tc>
        <w:tc>
          <w:tcPr>
            <w:tcW w:w="2140" w:type="dxa"/>
            <w:tcMar>
              <w:top w:w="57" w:type="dxa"/>
              <w:left w:w="57" w:type="dxa"/>
              <w:bottom w:w="57" w:type="dxa"/>
              <w:right w:w="57" w:type="dxa"/>
            </w:tcMar>
            <w:tmTcPr id="1766737683" protected="0"/>
          </w:tcPr>
          <w:p>
            <w:pPr>
              <w:spacing/>
              <w:jc w:val="center"/>
            </w:pPr>
            <w:r>
              <w:t>0,01</w:t>
            </w:r>
          </w:p>
        </w:tc>
        <w:tc>
          <w:tcPr>
            <w:tcW w:w="2158" w:type="dxa"/>
            <w:tcMar>
              <w:top w:w="57" w:type="dxa"/>
              <w:left w:w="57" w:type="dxa"/>
              <w:bottom w:w="57" w:type="dxa"/>
              <w:right w:w="57" w:type="dxa"/>
            </w:tcMar>
            <w:tmTcPr id="1766737683" protected="0"/>
          </w:tcPr>
          <w:p>
            <w:pPr>
              <w:spacing/>
              <w:jc w:val="center"/>
            </w:pPr>
            <w:r>
              <w:t>0,094</w:t>
            </w:r>
          </w:p>
        </w:tc>
        <w:tc>
          <w:tcPr>
            <w:tcW w:w="1278" w:type="dxa"/>
            <w:tcMar>
              <w:top w:w="57" w:type="dxa"/>
              <w:left w:w="57" w:type="dxa"/>
              <w:bottom w:w="57" w:type="dxa"/>
              <w:right w:w="57" w:type="dxa"/>
            </w:tcMar>
            <w:tmTcPr id="1766737683" protected="0"/>
          </w:tcPr>
          <w:p>
            <w:pPr>
              <w:spacing/>
              <w:jc w:val="center"/>
            </w:pPr>
            <w:r>
              <w:t>1:10,4</w:t>
            </w:r>
          </w:p>
        </w:tc>
        <w:tc>
          <w:tcPr>
            <w:tcW w:w="1124"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Gurke</w:t>
            </w:r>
          </w:p>
        </w:tc>
        <w:tc>
          <w:tcPr>
            <w:tcW w:w="2140" w:type="dxa"/>
            <w:tcMar>
              <w:top w:w="57" w:type="dxa"/>
              <w:left w:w="57" w:type="dxa"/>
              <w:bottom w:w="57" w:type="dxa"/>
              <w:right w:w="57" w:type="dxa"/>
            </w:tcMar>
            <w:tmTcPr id="1766737683" protected="0"/>
          </w:tcPr>
          <w:p>
            <w:pPr>
              <w:spacing/>
              <w:jc w:val="center"/>
            </w:pPr>
            <w:r>
              <w:t>0,04</w:t>
            </w:r>
          </w:p>
        </w:tc>
        <w:tc>
          <w:tcPr>
            <w:tcW w:w="2158" w:type="dxa"/>
            <w:tcMar>
              <w:top w:w="57" w:type="dxa"/>
              <w:left w:w="57" w:type="dxa"/>
              <w:bottom w:w="57" w:type="dxa"/>
              <w:right w:w="57" w:type="dxa"/>
            </w:tcMar>
            <w:tmTcPr id="1766737683" protected="0"/>
          </w:tcPr>
          <w:p>
            <w:pPr>
              <w:spacing/>
              <w:jc w:val="center"/>
            </w:pPr>
            <w:r>
              <w:t>0,046</w:t>
            </w:r>
          </w:p>
        </w:tc>
        <w:tc>
          <w:tcPr>
            <w:tcW w:w="1278" w:type="dxa"/>
            <w:tcMar>
              <w:top w:w="57" w:type="dxa"/>
              <w:left w:w="57" w:type="dxa"/>
              <w:bottom w:w="57" w:type="dxa"/>
              <w:right w:w="57" w:type="dxa"/>
            </w:tcMar>
            <w:tmTcPr id="1766737683" protected="0"/>
          </w:tcPr>
          <w:p>
            <w:pPr>
              <w:spacing/>
              <w:jc w:val="center"/>
            </w:pPr>
            <w:r>
              <w:t>1:1,1</w:t>
            </w:r>
          </w:p>
        </w:tc>
        <w:tc>
          <w:tcPr>
            <w:tcW w:w="1124"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Zucchini</w:t>
            </w:r>
          </w:p>
        </w:tc>
        <w:tc>
          <w:tcPr>
            <w:tcW w:w="2140" w:type="dxa"/>
            <w:tcMar>
              <w:top w:w="57" w:type="dxa"/>
              <w:left w:w="57" w:type="dxa"/>
              <w:bottom w:w="57" w:type="dxa"/>
              <w:right w:w="57" w:type="dxa"/>
            </w:tcMar>
            <w:tmTcPr id="1766737683" protected="0"/>
          </w:tcPr>
          <w:p>
            <w:pPr>
              <w:spacing/>
              <w:jc w:val="center"/>
            </w:pPr>
            <w:r>
              <w:t>0,09</w:t>
            </w:r>
          </w:p>
        </w:tc>
        <w:tc>
          <w:tcPr>
            <w:tcW w:w="2158" w:type="dxa"/>
            <w:tcMar>
              <w:top w:w="57" w:type="dxa"/>
              <w:left w:w="57" w:type="dxa"/>
              <w:bottom w:w="57" w:type="dxa"/>
              <w:right w:w="57" w:type="dxa"/>
            </w:tcMar>
            <w:tmTcPr id="1766737683" protected="0"/>
          </w:tcPr>
          <w:p>
            <w:pPr>
              <w:spacing/>
              <w:jc w:val="center"/>
            </w:pPr>
            <w:r>
              <w:t>0,052</w:t>
            </w:r>
          </w:p>
        </w:tc>
        <w:tc>
          <w:tcPr>
            <w:tcW w:w="1278" w:type="dxa"/>
            <w:tcMar>
              <w:top w:w="57" w:type="dxa"/>
              <w:left w:w="57" w:type="dxa"/>
              <w:bottom w:w="57" w:type="dxa"/>
              <w:right w:w="57" w:type="dxa"/>
            </w:tcMar>
            <w:tmTcPr id="1766737683" protected="0"/>
          </w:tcPr>
          <w:p>
            <w:pPr>
              <w:spacing/>
              <w:jc w:val="center"/>
            </w:pPr>
            <w:r>
              <w:t>1,7:1</w:t>
            </w:r>
          </w:p>
        </w:tc>
        <w:tc>
          <w:tcPr>
            <w:tcW w:w="1124" w:type="dxa"/>
            <w:tcMar>
              <w:top w:w="57" w:type="dxa"/>
              <w:left w:w="57" w:type="dxa"/>
              <w:bottom w:w="57" w:type="dxa"/>
              <w:right w:w="57" w:type="dxa"/>
            </w:tcMar>
            <w:tmTcPr id="1766737683" protected="0"/>
          </w:tcPr>
          <w:p>
            <w:pPr>
              <w:spacing/>
              <w:jc w:val="center"/>
              <w:rPr>
                <w:color w:val="007f7f"/>
              </w:rPr>
            </w:pPr>
            <w:r>
              <w:rPr>
                <w:color w:val="007f7f"/>
              </w:rPr>
              <w:t>*</w:t>
            </w:r>
          </w:p>
        </w:tc>
      </w:tr>
    </w:tbl>
    <w:p>
      <w:pPr>
        <w:spacing w:after="0" w:line="240" w:lineRule="auto"/>
      </w:pPr>
      <w:r/>
    </w:p>
    <w:tbl>
      <w:tblPr>
        <w:tblStyle w:val="TableGrid"/>
        <w:name w:val="Tabelle52"/>
        <w:tabOrder w:val="0"/>
        <w:jc w:val="left"/>
        <w:tblInd w:w="0" w:type="dxa"/>
        <w:tblW w:w="9065" w:type="dxa"/>
        <w:pPr>
          <w:spacing/>
          <w:jc w:val="left"/>
        </w:pPr>
        <w:tblLook w:val="04A0" w:firstRow="1" w:lastRow="0" w:firstColumn="1" w:lastColumn="0" w:noHBand="0" w:noVBand="1"/>
      </w:tblPr>
      <w:tblGrid>
        <w:gridCol w:w="2366"/>
        <w:gridCol w:w="2103"/>
        <w:gridCol w:w="2185"/>
        <w:gridCol w:w="1296"/>
        <w:gridCol w:w="1115"/>
      </w:tblGrid>
      <w:tr>
        <w:trPr>
          <w:tblHeader w:val="0"/>
          <w:cantSplit w:val="0"/>
          <w:trHeight w:val="0" w:hRule="auto"/>
        </w:trPr>
        <w:tc>
          <w:tcPr>
            <w:tcW w:w="2366" w:type="dxa"/>
            <w:tcMar>
              <w:top w:w="57" w:type="dxa"/>
              <w:left w:w="57" w:type="dxa"/>
              <w:bottom w:w="57" w:type="dxa"/>
              <w:right w:w="57" w:type="dxa"/>
            </w:tcMar>
            <w:tmTcPr id="1766737683" protected="0"/>
          </w:tcPr>
          <w:p>
            <w:pPr/>
            <w:r>
              <w:t>Kräuter</w:t>
            </w:r>
          </w:p>
        </w:tc>
        <w:tc>
          <w:tcPr>
            <w:tcW w:w="2103" w:type="dxa"/>
            <w:tcMar>
              <w:top w:w="57" w:type="dxa"/>
              <w:left w:w="57" w:type="dxa"/>
              <w:bottom w:w="57" w:type="dxa"/>
              <w:right w:w="57" w:type="dxa"/>
            </w:tcMar>
            <w:tmTcPr id="1766737683" protected="0"/>
          </w:tcPr>
          <w:p>
            <w:pPr>
              <w:spacing/>
              <w:jc w:val="center"/>
            </w:pPr>
            <w:r>
              <w:t>Omega-3 (g/100g)</w:t>
            </w:r>
          </w:p>
        </w:tc>
        <w:tc>
          <w:tcPr>
            <w:tcW w:w="2185" w:type="dxa"/>
            <w:tcMar>
              <w:top w:w="57" w:type="dxa"/>
              <w:left w:w="57" w:type="dxa"/>
              <w:bottom w:w="57" w:type="dxa"/>
              <w:right w:w="57" w:type="dxa"/>
            </w:tcMar>
            <w:tmTcPr id="1766737683" protected="0"/>
          </w:tcPr>
          <w:p>
            <w:pPr>
              <w:spacing/>
              <w:jc w:val="center"/>
            </w:pPr>
            <w:r>
              <w:t>Omega-6 (g/100g)</w:t>
            </w:r>
          </w:p>
        </w:tc>
        <w:tc>
          <w:tcPr>
            <w:tcW w:w="1296" w:type="dxa"/>
            <w:tcMar>
              <w:top w:w="57" w:type="dxa"/>
              <w:left w:w="57" w:type="dxa"/>
              <w:bottom w:w="57" w:type="dxa"/>
              <w:right w:w="57" w:type="dxa"/>
            </w:tcMar>
            <w:tmTcPr id="1766737683" protected="0"/>
          </w:tcPr>
          <w:p>
            <w:pPr>
              <w:spacing/>
              <w:jc w:val="center"/>
            </w:pPr>
            <w:r>
              <w:t>Verhältnis</w:t>
            </w:r>
          </w:p>
        </w:tc>
        <w:tc>
          <w:tcPr>
            <w:tcW w:w="1115" w:type="dxa"/>
            <w:tcMar>
              <w:top w:w="57" w:type="dxa"/>
              <w:left w:w="57" w:type="dxa"/>
              <w:bottom w:w="57" w:type="dxa"/>
              <w:right w:w="57" w:type="dxa"/>
            </w:tcMar>
            <w:tmTcPr id="1766737683" protected="0"/>
          </w:tcPr>
          <w:p>
            <w:pPr>
              <w:spacing/>
              <w:jc w:val="center"/>
            </w:pPr>
            <w:r>
              <w:t>Omega-Punkte</w:t>
            </w:r>
          </w:p>
        </w:tc>
      </w:tr>
      <w:tr>
        <w:trPr>
          <w:tblHeader w:val="0"/>
          <w:cantSplit w:val="0"/>
          <w:trHeight w:val="0" w:hRule="auto"/>
        </w:trPr>
        <w:tc>
          <w:tcPr>
            <w:tcW w:w="2366" w:type="dxa"/>
            <w:tcMar>
              <w:top w:w="57" w:type="dxa"/>
              <w:left w:w="57" w:type="dxa"/>
              <w:bottom w:w="57" w:type="dxa"/>
              <w:right w:w="57" w:type="dxa"/>
            </w:tcMar>
            <w:tmTcPr id="1766737683" protected="0"/>
          </w:tcPr>
          <w:p>
            <w:pPr/>
            <w:r>
              <w:t>Petersilie (frisch)</w:t>
            </w:r>
          </w:p>
        </w:tc>
        <w:tc>
          <w:tcPr>
            <w:tcW w:w="2103" w:type="dxa"/>
            <w:tcMar>
              <w:top w:w="57" w:type="dxa"/>
              <w:left w:w="57" w:type="dxa"/>
              <w:bottom w:w="57" w:type="dxa"/>
              <w:right w:w="57" w:type="dxa"/>
            </w:tcMar>
            <w:tmTcPr id="1766737683" protected="0"/>
          </w:tcPr>
          <w:p>
            <w:pPr>
              <w:spacing/>
              <w:jc w:val="center"/>
            </w:pPr>
            <w:r>
              <w:t>0,12</w:t>
            </w:r>
          </w:p>
        </w:tc>
        <w:tc>
          <w:tcPr>
            <w:tcW w:w="2185" w:type="dxa"/>
            <w:tcMar>
              <w:top w:w="57" w:type="dxa"/>
              <w:left w:w="57" w:type="dxa"/>
              <w:bottom w:w="57" w:type="dxa"/>
              <w:right w:w="57" w:type="dxa"/>
            </w:tcMar>
            <w:tmTcPr id="1766737683" protected="0"/>
          </w:tcPr>
          <w:p>
            <w:pPr>
              <w:spacing/>
              <w:jc w:val="center"/>
            </w:pPr>
            <w:r>
              <w:t>0,072</w:t>
            </w:r>
          </w:p>
        </w:tc>
        <w:tc>
          <w:tcPr>
            <w:tcW w:w="1296" w:type="dxa"/>
            <w:tcMar>
              <w:top w:w="57" w:type="dxa"/>
              <w:left w:w="57" w:type="dxa"/>
              <w:bottom w:w="57" w:type="dxa"/>
              <w:right w:w="57" w:type="dxa"/>
            </w:tcMar>
            <w:tmTcPr id="1766737683" protected="0"/>
          </w:tcPr>
          <w:p>
            <w:pPr>
              <w:spacing/>
              <w:jc w:val="center"/>
            </w:pPr>
            <w:r>
              <w:t>1,7:1</w:t>
            </w:r>
          </w:p>
        </w:tc>
        <w:tc>
          <w:tcPr>
            <w:tcW w:w="1115"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Dill (frisch)</w:t>
            </w:r>
          </w:p>
        </w:tc>
        <w:tc>
          <w:tcPr>
            <w:tcW w:w="2103" w:type="dxa"/>
            <w:tcMar>
              <w:top w:w="57" w:type="dxa"/>
              <w:left w:w="57" w:type="dxa"/>
              <w:bottom w:w="57" w:type="dxa"/>
              <w:right w:w="57" w:type="dxa"/>
            </w:tcMar>
            <w:tmTcPr id="1766737683" protected="0"/>
          </w:tcPr>
          <w:p>
            <w:pPr>
              <w:spacing/>
              <w:jc w:val="center"/>
            </w:pPr>
            <w:r>
              <w:t>0,19</w:t>
            </w:r>
          </w:p>
        </w:tc>
        <w:tc>
          <w:tcPr>
            <w:tcW w:w="2185" w:type="dxa"/>
            <w:tcMar>
              <w:top w:w="57" w:type="dxa"/>
              <w:left w:w="57" w:type="dxa"/>
              <w:bottom w:w="57" w:type="dxa"/>
              <w:right w:w="57" w:type="dxa"/>
            </w:tcMar>
            <w:tmTcPr id="1766737683" protected="0"/>
          </w:tcPr>
          <w:p>
            <w:pPr>
              <w:spacing/>
              <w:jc w:val="center"/>
            </w:pPr>
            <w:r>
              <w:t>0,257</w:t>
            </w:r>
          </w:p>
        </w:tc>
        <w:tc>
          <w:tcPr>
            <w:tcW w:w="1296" w:type="dxa"/>
            <w:tcMar>
              <w:top w:w="57" w:type="dxa"/>
              <w:left w:w="57" w:type="dxa"/>
              <w:bottom w:w="57" w:type="dxa"/>
              <w:right w:w="57" w:type="dxa"/>
            </w:tcMar>
            <w:tmTcPr id="1766737683" protected="0"/>
          </w:tcPr>
          <w:p>
            <w:pPr>
              <w:spacing/>
              <w:jc w:val="center"/>
            </w:pPr>
            <w:r>
              <w:t>1:1,3</w:t>
            </w:r>
          </w:p>
        </w:tc>
        <w:tc>
          <w:tcPr>
            <w:tcW w:w="1115"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Schnittlauch (frisch)</w:t>
            </w:r>
          </w:p>
        </w:tc>
        <w:tc>
          <w:tcPr>
            <w:tcW w:w="2103" w:type="dxa"/>
            <w:tcMar>
              <w:top w:w="57" w:type="dxa"/>
              <w:left w:w="57" w:type="dxa"/>
              <w:bottom w:w="57" w:type="dxa"/>
              <w:right w:w="57" w:type="dxa"/>
            </w:tcMar>
            <w:tmTcPr id="1766737683" protected="0"/>
          </w:tcPr>
          <w:p>
            <w:pPr>
              <w:spacing/>
              <w:jc w:val="center"/>
            </w:pPr>
            <w:r>
              <w:t>0,29</w:t>
            </w:r>
          </w:p>
        </w:tc>
        <w:tc>
          <w:tcPr>
            <w:tcW w:w="2185" w:type="dxa"/>
            <w:tcMar>
              <w:top w:w="57" w:type="dxa"/>
              <w:left w:w="57" w:type="dxa"/>
              <w:bottom w:w="57" w:type="dxa"/>
              <w:right w:w="57" w:type="dxa"/>
            </w:tcMar>
            <w:tmTcPr id="1766737683" protected="0"/>
          </w:tcPr>
          <w:p>
            <w:pPr>
              <w:spacing/>
              <w:jc w:val="center"/>
            </w:pPr>
            <w:r>
              <w:t>0,132</w:t>
            </w:r>
          </w:p>
        </w:tc>
        <w:tc>
          <w:tcPr>
            <w:tcW w:w="1296" w:type="dxa"/>
            <w:tcMar>
              <w:top w:w="57" w:type="dxa"/>
              <w:left w:w="57" w:type="dxa"/>
              <w:bottom w:w="57" w:type="dxa"/>
              <w:right w:w="57" w:type="dxa"/>
            </w:tcMar>
            <w:tmTcPr id="1766737683" protected="0"/>
          </w:tcPr>
          <w:p>
            <w:pPr>
              <w:spacing/>
              <w:jc w:val="center"/>
            </w:pPr>
            <w:r>
              <w:t>2,2:1</w:t>
            </w:r>
          </w:p>
        </w:tc>
        <w:tc>
          <w:tcPr>
            <w:tcW w:w="1115"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Oregano (frisch)</w:t>
            </w:r>
          </w:p>
        </w:tc>
        <w:tc>
          <w:tcPr>
            <w:tcW w:w="2103" w:type="dxa"/>
            <w:tcMar>
              <w:top w:w="57" w:type="dxa"/>
              <w:left w:w="57" w:type="dxa"/>
              <w:bottom w:w="57" w:type="dxa"/>
              <w:right w:w="57" w:type="dxa"/>
            </w:tcMar>
            <w:tmTcPr id="1766737683" protected="0"/>
          </w:tcPr>
          <w:p>
            <w:pPr>
              <w:spacing/>
              <w:jc w:val="center"/>
            </w:pPr>
            <w:r>
              <w:t>0,78</w:t>
            </w:r>
          </w:p>
        </w:tc>
        <w:tc>
          <w:tcPr>
            <w:tcW w:w="2185" w:type="dxa"/>
            <w:tcMar>
              <w:top w:w="57" w:type="dxa"/>
              <w:left w:w="57" w:type="dxa"/>
              <w:bottom w:w="57" w:type="dxa"/>
              <w:right w:w="57" w:type="dxa"/>
            </w:tcMar>
            <w:tmTcPr id="1766737683" protected="0"/>
          </w:tcPr>
          <w:p>
            <w:pPr>
              <w:spacing/>
              <w:jc w:val="center"/>
            </w:pPr>
            <w:r>
              <w:t>0,195</w:t>
            </w:r>
          </w:p>
        </w:tc>
        <w:tc>
          <w:tcPr>
            <w:tcW w:w="1296" w:type="dxa"/>
            <w:tcMar>
              <w:top w:w="57" w:type="dxa"/>
              <w:left w:w="57" w:type="dxa"/>
              <w:bottom w:w="57" w:type="dxa"/>
              <w:right w:w="57" w:type="dxa"/>
            </w:tcMar>
            <w:tmTcPr id="1766737683" protected="0"/>
          </w:tcPr>
          <w:p>
            <w:pPr>
              <w:spacing/>
              <w:jc w:val="center"/>
            </w:pPr>
            <w:r>
              <w:t>4:1</w:t>
            </w:r>
          </w:p>
        </w:tc>
        <w:tc>
          <w:tcPr>
            <w:tcW w:w="1115"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Basilikum (frisch)</w:t>
            </w:r>
          </w:p>
        </w:tc>
        <w:tc>
          <w:tcPr>
            <w:tcW w:w="2103" w:type="dxa"/>
            <w:tcMar>
              <w:top w:w="57" w:type="dxa"/>
              <w:left w:w="57" w:type="dxa"/>
              <w:bottom w:w="57" w:type="dxa"/>
              <w:right w:w="57" w:type="dxa"/>
            </w:tcMar>
            <w:tmTcPr id="1766737683" protected="0"/>
          </w:tcPr>
          <w:p>
            <w:pPr>
              <w:spacing/>
              <w:jc w:val="center"/>
            </w:pPr>
            <w:r>
              <w:t>0,19</w:t>
            </w:r>
          </w:p>
        </w:tc>
        <w:tc>
          <w:tcPr>
            <w:tcW w:w="2185" w:type="dxa"/>
            <w:tcMar>
              <w:top w:w="57" w:type="dxa"/>
              <w:left w:w="57" w:type="dxa"/>
              <w:bottom w:w="57" w:type="dxa"/>
              <w:right w:w="57" w:type="dxa"/>
            </w:tcMar>
            <w:tmTcPr id="1766737683" protected="0"/>
          </w:tcPr>
          <w:p>
            <w:pPr>
              <w:spacing/>
              <w:jc w:val="center"/>
            </w:pPr>
            <w:r>
              <w:t>0,257</w:t>
            </w:r>
          </w:p>
        </w:tc>
        <w:tc>
          <w:tcPr>
            <w:tcW w:w="1296" w:type="dxa"/>
            <w:tcMar>
              <w:top w:w="57" w:type="dxa"/>
              <w:left w:w="57" w:type="dxa"/>
              <w:bottom w:w="57" w:type="dxa"/>
              <w:right w:w="57" w:type="dxa"/>
            </w:tcMar>
            <w:tmTcPr id="1766737683" protected="0"/>
          </w:tcPr>
          <w:p>
            <w:pPr>
              <w:spacing/>
              <w:jc w:val="center"/>
            </w:pPr>
            <w:r>
              <w:t>1:1,3</w:t>
            </w:r>
          </w:p>
        </w:tc>
        <w:tc>
          <w:tcPr>
            <w:tcW w:w="1115"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Thymian (frisch)</w:t>
            </w:r>
          </w:p>
        </w:tc>
        <w:tc>
          <w:tcPr>
            <w:tcW w:w="2103" w:type="dxa"/>
            <w:tcMar>
              <w:top w:w="57" w:type="dxa"/>
              <w:left w:w="57" w:type="dxa"/>
              <w:bottom w:w="57" w:type="dxa"/>
              <w:right w:w="57" w:type="dxa"/>
            </w:tcMar>
            <w:tmTcPr id="1766737683" protected="0"/>
          </w:tcPr>
          <w:p>
            <w:pPr>
              <w:spacing/>
              <w:jc w:val="center"/>
            </w:pPr>
            <w:r>
              <w:t>0,15</w:t>
            </w:r>
          </w:p>
        </w:tc>
        <w:tc>
          <w:tcPr>
            <w:tcW w:w="2185" w:type="dxa"/>
            <w:tcMar>
              <w:top w:w="57" w:type="dxa"/>
              <w:left w:w="57" w:type="dxa"/>
              <w:bottom w:w="57" w:type="dxa"/>
              <w:right w:w="57" w:type="dxa"/>
            </w:tcMar>
            <w:tmTcPr id="1766737683" protected="0"/>
          </w:tcPr>
          <w:p>
            <w:pPr>
              <w:spacing/>
              <w:jc w:val="center"/>
            </w:pPr>
            <w:r>
              <w:t>0,107</w:t>
            </w:r>
          </w:p>
        </w:tc>
        <w:tc>
          <w:tcPr>
            <w:tcW w:w="1296" w:type="dxa"/>
            <w:tcMar>
              <w:top w:w="57" w:type="dxa"/>
              <w:left w:w="57" w:type="dxa"/>
              <w:bottom w:w="57" w:type="dxa"/>
              <w:right w:w="57" w:type="dxa"/>
            </w:tcMar>
            <w:tmTcPr id="1766737683" protected="0"/>
          </w:tcPr>
          <w:p>
            <w:pPr>
              <w:spacing/>
              <w:jc w:val="center"/>
            </w:pPr>
            <w:r>
              <w:t>1,4:1</w:t>
            </w:r>
          </w:p>
        </w:tc>
        <w:tc>
          <w:tcPr>
            <w:tcW w:w="1115" w:type="dxa"/>
            <w:tcMar>
              <w:top w:w="57" w:type="dxa"/>
              <w:left w:w="57" w:type="dxa"/>
              <w:bottom w:w="57" w:type="dxa"/>
              <w:right w:w="57" w:type="dxa"/>
            </w:tcMar>
            <w:tmTcPr id="1766737683" protected="0"/>
          </w:tcPr>
          <w:p>
            <w:pPr>
              <w:spacing/>
              <w:jc w:val="center"/>
              <w:rPr>
                <w:color w:val="007f7f"/>
              </w:rPr>
            </w:pPr>
            <w:r>
              <w:rPr>
                <w:color w:val="007f7f"/>
              </w:rPr>
              <w:t>*</w:t>
            </w:r>
          </w:p>
        </w:tc>
      </w:tr>
    </w:tbl>
    <w:p>
      <w:pPr>
        <w:spacing w:after="0" w:line="240" w:lineRule="auto"/>
      </w:pPr>
      <w:r/>
    </w:p>
    <w:tbl>
      <w:tblPr>
        <w:tblStyle w:val="TableGrid"/>
        <w:name w:val="Tabelle53"/>
        <w:tabOrder w:val="0"/>
        <w:jc w:val="left"/>
        <w:tblInd w:w="0" w:type="dxa"/>
        <w:tblW w:w="9065" w:type="dxa"/>
        <w:pPr>
          <w:spacing/>
          <w:jc w:val="left"/>
        </w:pPr>
        <w:tblLook w:val="04A0" w:firstRow="1" w:lastRow="0" w:firstColumn="1" w:lastColumn="0" w:noHBand="0" w:noVBand="1"/>
      </w:tblPr>
      <w:tblGrid>
        <w:gridCol w:w="2366"/>
        <w:gridCol w:w="2121"/>
        <w:gridCol w:w="2140"/>
        <w:gridCol w:w="1278"/>
        <w:gridCol w:w="1160"/>
      </w:tblGrid>
      <w:tr>
        <w:trPr>
          <w:tblHeader w:val="0"/>
          <w:cantSplit w:val="0"/>
          <w:trHeight w:val="0" w:hRule="auto"/>
        </w:trPr>
        <w:tc>
          <w:tcPr>
            <w:tcW w:w="2366" w:type="dxa"/>
            <w:tcMar>
              <w:top w:w="57" w:type="dxa"/>
              <w:left w:w="57" w:type="dxa"/>
              <w:bottom w:w="57" w:type="dxa"/>
              <w:right w:w="57" w:type="dxa"/>
            </w:tcMar>
            <w:tmTcPr id="1766737683" protected="0"/>
          </w:tcPr>
          <w:p>
            <w:pPr/>
            <w:r>
              <w:t>Salate</w:t>
            </w:r>
          </w:p>
        </w:tc>
        <w:tc>
          <w:tcPr>
            <w:tcW w:w="2121" w:type="dxa"/>
            <w:tcMar>
              <w:top w:w="57" w:type="dxa"/>
              <w:left w:w="57" w:type="dxa"/>
              <w:bottom w:w="57" w:type="dxa"/>
              <w:right w:w="57" w:type="dxa"/>
            </w:tcMar>
            <w:tmTcPr id="1766737683" protected="0"/>
          </w:tcPr>
          <w:p>
            <w:pPr>
              <w:spacing/>
              <w:jc w:val="center"/>
            </w:pPr>
            <w:r>
              <w:t>Omega-3 (g/100g)</w:t>
            </w:r>
          </w:p>
        </w:tc>
        <w:tc>
          <w:tcPr>
            <w:tcW w:w="2140" w:type="dxa"/>
            <w:tcMar>
              <w:top w:w="57" w:type="dxa"/>
              <w:left w:w="57" w:type="dxa"/>
              <w:bottom w:w="57" w:type="dxa"/>
              <w:right w:w="57" w:type="dxa"/>
            </w:tcMar>
            <w:tmTcPr id="1766737683" protected="0"/>
          </w:tcPr>
          <w:p>
            <w:pPr>
              <w:spacing/>
              <w:jc w:val="center"/>
            </w:pPr>
            <w:r>
              <w:t>Omega-6 (g/100g)</w:t>
            </w:r>
          </w:p>
        </w:tc>
        <w:tc>
          <w:tcPr>
            <w:tcW w:w="1278" w:type="dxa"/>
            <w:tcMar>
              <w:top w:w="57" w:type="dxa"/>
              <w:left w:w="57" w:type="dxa"/>
              <w:bottom w:w="57" w:type="dxa"/>
              <w:right w:w="57" w:type="dxa"/>
            </w:tcMar>
            <w:tmTcPr id="1766737683" protected="0"/>
          </w:tcPr>
          <w:p>
            <w:pPr>
              <w:spacing/>
              <w:jc w:val="center"/>
            </w:pPr>
            <w:r>
              <w:t>Verhältnis</w:t>
            </w:r>
          </w:p>
        </w:tc>
        <w:tc>
          <w:tcPr>
            <w:tcW w:w="1160" w:type="dxa"/>
            <w:tcMar>
              <w:top w:w="57" w:type="dxa"/>
              <w:left w:w="57" w:type="dxa"/>
              <w:bottom w:w="57" w:type="dxa"/>
              <w:right w:w="57" w:type="dxa"/>
            </w:tcMar>
            <w:tmTcPr id="1766737683" protected="0"/>
          </w:tcPr>
          <w:p>
            <w:pPr>
              <w:spacing/>
              <w:jc w:val="center"/>
            </w:pPr>
            <w:r>
              <w:t>Omega-Punkte</w:t>
            </w:r>
          </w:p>
        </w:tc>
      </w:tr>
      <w:tr>
        <w:trPr>
          <w:tblHeader w:val="0"/>
          <w:cantSplit w:val="0"/>
          <w:trHeight w:val="0" w:hRule="auto"/>
        </w:trPr>
        <w:tc>
          <w:tcPr>
            <w:tcW w:w="2366" w:type="dxa"/>
            <w:tcMar>
              <w:top w:w="57" w:type="dxa"/>
              <w:left w:w="57" w:type="dxa"/>
              <w:bottom w:w="57" w:type="dxa"/>
              <w:right w:w="57" w:type="dxa"/>
            </w:tcMar>
            <w:tmTcPr id="1766737683" protected="0"/>
          </w:tcPr>
          <w:p>
            <w:pPr/>
            <w:r>
              <w:t>Feldsalat</w:t>
            </w:r>
          </w:p>
        </w:tc>
        <w:tc>
          <w:tcPr>
            <w:tcW w:w="2121" w:type="dxa"/>
            <w:tcMar>
              <w:top w:w="57" w:type="dxa"/>
              <w:left w:w="57" w:type="dxa"/>
              <w:bottom w:w="57" w:type="dxa"/>
              <w:right w:w="57" w:type="dxa"/>
            </w:tcMar>
            <w:tmTcPr id="1766737683" protected="0"/>
          </w:tcPr>
          <w:p>
            <w:pPr>
              <w:spacing/>
              <w:jc w:val="center"/>
            </w:pPr>
            <w:r>
              <w:t>0,14</w:t>
            </w:r>
          </w:p>
        </w:tc>
        <w:tc>
          <w:tcPr>
            <w:tcW w:w="2140" w:type="dxa"/>
            <w:tcMar>
              <w:top w:w="57" w:type="dxa"/>
              <w:left w:w="57" w:type="dxa"/>
              <w:bottom w:w="57" w:type="dxa"/>
              <w:right w:w="57" w:type="dxa"/>
            </w:tcMar>
            <w:tmTcPr id="1766737683" protected="0"/>
          </w:tcPr>
          <w:p>
            <w:pPr>
              <w:spacing/>
              <w:jc w:val="center"/>
            </w:pPr>
            <w:r>
              <w:t>0,063</w:t>
            </w:r>
          </w:p>
        </w:tc>
        <w:tc>
          <w:tcPr>
            <w:tcW w:w="1278" w:type="dxa"/>
            <w:tcMar>
              <w:top w:w="57" w:type="dxa"/>
              <w:left w:w="57" w:type="dxa"/>
              <w:bottom w:w="57" w:type="dxa"/>
              <w:right w:w="57" w:type="dxa"/>
            </w:tcMar>
            <w:tmTcPr id="1766737683" protected="0"/>
          </w:tcPr>
          <w:p>
            <w:pPr>
              <w:spacing/>
              <w:jc w:val="center"/>
            </w:pPr>
            <w:r>
              <w:t>2,3:1</w:t>
            </w:r>
          </w:p>
        </w:tc>
        <w:tc>
          <w:tcPr>
            <w:tcW w:w="1160"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Rucola</w:t>
            </w:r>
          </w:p>
        </w:tc>
        <w:tc>
          <w:tcPr>
            <w:tcW w:w="2121" w:type="dxa"/>
            <w:tcMar>
              <w:top w:w="57" w:type="dxa"/>
              <w:left w:w="57" w:type="dxa"/>
              <w:bottom w:w="57" w:type="dxa"/>
              <w:right w:w="57" w:type="dxa"/>
            </w:tcMar>
            <w:tmTcPr id="1766737683" protected="0"/>
          </w:tcPr>
          <w:p>
            <w:pPr>
              <w:spacing/>
              <w:jc w:val="center"/>
            </w:pPr>
            <w:r>
              <w:t>0,18</w:t>
            </w:r>
          </w:p>
        </w:tc>
        <w:tc>
          <w:tcPr>
            <w:tcW w:w="2140" w:type="dxa"/>
            <w:tcMar>
              <w:top w:w="57" w:type="dxa"/>
              <w:left w:w="57" w:type="dxa"/>
              <w:bottom w:w="57" w:type="dxa"/>
              <w:right w:w="57" w:type="dxa"/>
            </w:tcMar>
            <w:tmTcPr id="1766737683" protected="0"/>
          </w:tcPr>
          <w:p>
            <w:pPr>
              <w:spacing/>
              <w:jc w:val="center"/>
            </w:pPr>
            <w:r>
              <w:t>0,096</w:t>
            </w:r>
          </w:p>
        </w:tc>
        <w:tc>
          <w:tcPr>
            <w:tcW w:w="1278" w:type="dxa"/>
            <w:tcMar>
              <w:top w:w="57" w:type="dxa"/>
              <w:left w:w="57" w:type="dxa"/>
              <w:bottom w:w="57" w:type="dxa"/>
              <w:right w:w="57" w:type="dxa"/>
            </w:tcMar>
            <w:tmTcPr id="1766737683" protected="0"/>
          </w:tcPr>
          <w:p>
            <w:pPr>
              <w:spacing/>
              <w:jc w:val="center"/>
            </w:pPr>
            <w:r>
              <w:t>1,9:1</w:t>
            </w:r>
          </w:p>
        </w:tc>
        <w:tc>
          <w:tcPr>
            <w:tcW w:w="1160"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Kopfsalat</w:t>
            </w:r>
          </w:p>
        </w:tc>
        <w:tc>
          <w:tcPr>
            <w:tcW w:w="2121" w:type="dxa"/>
            <w:tcMar>
              <w:top w:w="57" w:type="dxa"/>
              <w:left w:w="57" w:type="dxa"/>
              <w:bottom w:w="57" w:type="dxa"/>
              <w:right w:w="57" w:type="dxa"/>
            </w:tcMar>
            <w:tmTcPr id="1766737683" protected="0"/>
          </w:tcPr>
          <w:p>
            <w:pPr>
              <w:spacing/>
              <w:jc w:val="center"/>
            </w:pPr>
            <w:r>
              <w:t>0,07</w:t>
            </w:r>
          </w:p>
        </w:tc>
        <w:tc>
          <w:tcPr>
            <w:tcW w:w="2140" w:type="dxa"/>
            <w:tcMar>
              <w:top w:w="57" w:type="dxa"/>
              <w:left w:w="57" w:type="dxa"/>
              <w:bottom w:w="57" w:type="dxa"/>
              <w:right w:w="57" w:type="dxa"/>
            </w:tcMar>
            <w:tmTcPr id="1766737683" protected="0"/>
          </w:tcPr>
          <w:p>
            <w:pPr>
              <w:spacing/>
              <w:jc w:val="center"/>
            </w:pPr>
            <w:r>
              <w:t>0,052</w:t>
            </w:r>
          </w:p>
        </w:tc>
        <w:tc>
          <w:tcPr>
            <w:tcW w:w="1278" w:type="dxa"/>
            <w:tcMar>
              <w:top w:w="57" w:type="dxa"/>
              <w:left w:w="57" w:type="dxa"/>
              <w:bottom w:w="57" w:type="dxa"/>
              <w:right w:w="57" w:type="dxa"/>
            </w:tcMar>
            <w:tmTcPr id="1766737683" protected="0"/>
          </w:tcPr>
          <w:p>
            <w:pPr>
              <w:spacing/>
              <w:jc w:val="center"/>
            </w:pPr>
            <w:r>
              <w:t>1,4:1</w:t>
            </w:r>
          </w:p>
        </w:tc>
        <w:tc>
          <w:tcPr>
            <w:tcW w:w="1160"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spacing w:after="280" w:afterAutospacing="1" w:line="312" w:lineRule="auto"/>
            </w:pPr>
            <w:r>
              <w:t>Eisbergsalat</w:t>
            </w:r>
          </w:p>
        </w:tc>
        <w:tc>
          <w:tcPr>
            <w:tcW w:w="2121" w:type="dxa"/>
            <w:tcMar>
              <w:top w:w="57" w:type="dxa"/>
              <w:left w:w="57" w:type="dxa"/>
              <w:bottom w:w="57" w:type="dxa"/>
              <w:right w:w="57" w:type="dxa"/>
            </w:tcMar>
            <w:tmTcPr id="1766737683" protected="0"/>
          </w:tcPr>
          <w:p>
            <w:pPr>
              <w:spacing w:after="280" w:afterAutospacing="1" w:line="312" w:lineRule="auto"/>
              <w:jc w:val="center"/>
            </w:pPr>
            <w:r>
              <w:t>0,08</w:t>
            </w:r>
          </w:p>
        </w:tc>
        <w:tc>
          <w:tcPr>
            <w:tcW w:w="2140" w:type="dxa"/>
            <w:tcMar>
              <w:top w:w="57" w:type="dxa"/>
              <w:left w:w="57" w:type="dxa"/>
              <w:bottom w:w="57" w:type="dxa"/>
              <w:right w:w="57" w:type="dxa"/>
            </w:tcMar>
            <w:tmTcPr id="1766737683" protected="0"/>
          </w:tcPr>
          <w:p>
            <w:pPr>
              <w:spacing w:after="280" w:afterAutospacing="1" w:line="312" w:lineRule="auto"/>
              <w:jc w:val="center"/>
            </w:pPr>
            <w:r>
              <w:t>0,035</w:t>
            </w:r>
          </w:p>
        </w:tc>
        <w:tc>
          <w:tcPr>
            <w:tcW w:w="1278" w:type="dxa"/>
            <w:tcMar>
              <w:top w:w="57" w:type="dxa"/>
              <w:left w:w="57" w:type="dxa"/>
              <w:bottom w:w="57" w:type="dxa"/>
              <w:right w:w="57" w:type="dxa"/>
            </w:tcMar>
            <w:tmTcPr id="1766737683" protected="0"/>
          </w:tcPr>
          <w:p>
            <w:pPr>
              <w:spacing w:after="280" w:afterAutospacing="1" w:line="312" w:lineRule="auto"/>
              <w:jc w:val="center"/>
            </w:pPr>
            <w:r>
              <w:t>2,4:1</w:t>
            </w:r>
          </w:p>
        </w:tc>
        <w:tc>
          <w:tcPr>
            <w:tcW w:w="1160" w:type="dxa"/>
            <w:tcMar>
              <w:top w:w="57" w:type="dxa"/>
              <w:left w:w="57" w:type="dxa"/>
              <w:bottom w:w="57" w:type="dxa"/>
              <w:right w:w="57" w:type="dxa"/>
            </w:tcMar>
            <w:tmTcPr id="1766737683" protected="0"/>
          </w:tcPr>
          <w:p>
            <w:pPr>
              <w:spacing w:after="280" w:afterAutospacing="1" w:line="312" w:lineRule="auto"/>
              <w:jc w:val="center"/>
              <w:rPr>
                <w:color w:val="007f7f"/>
              </w:rPr>
            </w:pPr>
            <w:r>
              <w:rPr>
                <w:color w:val="007f7f"/>
              </w:rPr>
              <w:t>*</w:t>
            </w:r>
          </w:p>
        </w:tc>
      </w:tr>
    </w:tbl>
    <w:p>
      <w:r/>
    </w:p>
    <w:tbl>
      <w:tblPr>
        <w:tblStyle w:val="TableGrid"/>
        <w:name w:val="Tabelle54"/>
        <w:tabOrder w:val="0"/>
        <w:jc w:val="left"/>
        <w:tblInd w:w="0" w:type="dxa"/>
        <w:tblW w:w="9066" w:type="dxa"/>
        <w:pPr>
          <w:spacing/>
          <w:jc w:val="left"/>
        </w:pPr>
        <w:tblLook w:val="04A0" w:firstRow="1" w:lastRow="0" w:firstColumn="1" w:lastColumn="0" w:noHBand="0" w:noVBand="1"/>
      </w:tblPr>
      <w:tblGrid>
        <w:gridCol w:w="2366"/>
        <w:gridCol w:w="2103"/>
        <w:gridCol w:w="2140"/>
        <w:gridCol w:w="1287"/>
        <w:gridCol w:w="1170"/>
      </w:tblGrid>
      <w:tr>
        <w:trPr>
          <w:tblHeader w:val="0"/>
          <w:cantSplit w:val="0"/>
          <w:trHeight w:val="0" w:hRule="auto"/>
        </w:trPr>
        <w:tc>
          <w:tcPr>
            <w:tcW w:w="2366" w:type="dxa"/>
            <w:tcMar>
              <w:top w:w="57" w:type="dxa"/>
              <w:left w:w="57" w:type="dxa"/>
              <w:bottom w:w="57" w:type="dxa"/>
              <w:right w:w="57" w:type="dxa"/>
            </w:tcMar>
            <w:tmTcPr id="1766737683" protected="0"/>
          </w:tcPr>
          <w:p>
            <w:pPr/>
            <w:r>
              <w:t>Algen</w:t>
            </w:r>
          </w:p>
        </w:tc>
        <w:tc>
          <w:tcPr>
            <w:tcW w:w="2103" w:type="dxa"/>
            <w:tcMar>
              <w:top w:w="57" w:type="dxa"/>
              <w:left w:w="57" w:type="dxa"/>
              <w:bottom w:w="57" w:type="dxa"/>
              <w:right w:w="57" w:type="dxa"/>
            </w:tcMar>
            <w:tmTcPr id="1766737683" protected="0"/>
          </w:tcPr>
          <w:p>
            <w:pPr>
              <w:spacing/>
              <w:jc w:val="center"/>
            </w:pPr>
            <w:r>
              <w:t>Omega-3 (g/100g)</w:t>
            </w:r>
          </w:p>
        </w:tc>
        <w:tc>
          <w:tcPr>
            <w:tcW w:w="2140" w:type="dxa"/>
            <w:tcMar>
              <w:top w:w="57" w:type="dxa"/>
              <w:left w:w="57" w:type="dxa"/>
              <w:bottom w:w="57" w:type="dxa"/>
              <w:right w:w="57" w:type="dxa"/>
            </w:tcMar>
            <w:tmTcPr id="1766737683" protected="0"/>
          </w:tcPr>
          <w:p>
            <w:pPr>
              <w:spacing/>
              <w:jc w:val="center"/>
            </w:pPr>
            <w:r>
              <w:t>Omega-6 (g/100g</w:t>
            </w:r>
          </w:p>
        </w:tc>
        <w:tc>
          <w:tcPr>
            <w:tcW w:w="1287" w:type="dxa"/>
            <w:tcMar>
              <w:top w:w="57" w:type="dxa"/>
              <w:left w:w="57" w:type="dxa"/>
              <w:bottom w:w="57" w:type="dxa"/>
              <w:right w:w="57" w:type="dxa"/>
            </w:tcMar>
            <w:tmTcPr id="1766737683" protected="0"/>
          </w:tcPr>
          <w:p>
            <w:pPr>
              <w:spacing/>
              <w:jc w:val="center"/>
            </w:pPr>
            <w:r>
              <w:t>Verhältnis</w:t>
            </w:r>
          </w:p>
        </w:tc>
        <w:tc>
          <w:tcPr>
            <w:tcW w:w="1170" w:type="dxa"/>
            <w:tcMar>
              <w:top w:w="57" w:type="dxa"/>
              <w:left w:w="57" w:type="dxa"/>
              <w:bottom w:w="57" w:type="dxa"/>
              <w:right w:w="57" w:type="dxa"/>
            </w:tcMar>
            <w:tmTcPr id="1766737683" protected="0"/>
          </w:tcPr>
          <w:p>
            <w:pPr>
              <w:spacing/>
              <w:jc w:val="center"/>
            </w:pPr>
            <w:r>
              <w:t>Omega-Punkte</w:t>
            </w:r>
          </w:p>
        </w:tc>
      </w:tr>
      <w:tr>
        <w:trPr>
          <w:tblHeader w:val="0"/>
          <w:cantSplit w:val="0"/>
          <w:trHeight w:val="0" w:hRule="auto"/>
        </w:trPr>
        <w:tc>
          <w:tcPr>
            <w:tcW w:w="2366" w:type="dxa"/>
            <w:tcMar>
              <w:top w:w="57" w:type="dxa"/>
              <w:left w:w="57" w:type="dxa"/>
              <w:bottom w:w="57" w:type="dxa"/>
              <w:right w:w="57" w:type="dxa"/>
            </w:tcMar>
            <w:tmTcPr id="1766737683" protected="0"/>
          </w:tcPr>
          <w:p>
            <w:pPr/>
            <w:r>
              <w:t>Spirulina (Pulver)</w:t>
            </w:r>
          </w:p>
        </w:tc>
        <w:tc>
          <w:tcPr>
            <w:tcW w:w="2103" w:type="dxa"/>
            <w:tcMar>
              <w:top w:w="57" w:type="dxa"/>
              <w:left w:w="57" w:type="dxa"/>
              <w:bottom w:w="57" w:type="dxa"/>
              <w:right w:w="57" w:type="dxa"/>
            </w:tcMar>
            <w:tmTcPr id="1766737683" protected="0"/>
          </w:tcPr>
          <w:p>
            <w:pPr>
              <w:spacing/>
              <w:jc w:val="center"/>
            </w:pPr>
            <w:r>
              <w:t>0,44</w:t>
            </w:r>
          </w:p>
        </w:tc>
        <w:tc>
          <w:tcPr>
            <w:tcW w:w="2140" w:type="dxa"/>
            <w:tcMar>
              <w:top w:w="57" w:type="dxa"/>
              <w:left w:w="57" w:type="dxa"/>
              <w:bottom w:w="57" w:type="dxa"/>
              <w:right w:w="57" w:type="dxa"/>
            </w:tcMar>
            <w:tmTcPr id="1766737683" protected="0"/>
          </w:tcPr>
          <w:p>
            <w:pPr>
              <w:spacing/>
              <w:jc w:val="center"/>
            </w:pPr>
            <w:r>
              <w:t>0,675</w:t>
            </w:r>
          </w:p>
        </w:tc>
        <w:tc>
          <w:tcPr>
            <w:tcW w:w="1287" w:type="dxa"/>
            <w:tcMar>
              <w:top w:w="57" w:type="dxa"/>
              <w:left w:w="57" w:type="dxa"/>
              <w:bottom w:w="57" w:type="dxa"/>
              <w:right w:w="57" w:type="dxa"/>
            </w:tcMar>
            <w:tmTcPr id="1766737683" protected="0"/>
          </w:tcPr>
          <w:p>
            <w:pPr>
              <w:spacing/>
              <w:jc w:val="center"/>
            </w:pPr>
            <w:r>
              <w:t>1:1,5</w:t>
            </w:r>
          </w:p>
        </w:tc>
        <w:tc>
          <w:tcPr>
            <w:tcW w:w="1170"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Noriblatt</w:t>
            </w:r>
          </w:p>
        </w:tc>
        <w:tc>
          <w:tcPr>
            <w:tcW w:w="2103" w:type="dxa"/>
            <w:tcMar>
              <w:top w:w="57" w:type="dxa"/>
              <w:left w:w="57" w:type="dxa"/>
              <w:bottom w:w="57" w:type="dxa"/>
              <w:right w:w="57" w:type="dxa"/>
            </w:tcMar>
            <w:tmTcPr id="1766737683" protected="0"/>
          </w:tcPr>
          <w:p>
            <w:pPr>
              <w:spacing/>
              <w:jc w:val="center"/>
            </w:pPr>
            <w:r>
              <w:t>0,102</w:t>
            </w:r>
          </w:p>
        </w:tc>
        <w:tc>
          <w:tcPr>
            <w:tcW w:w="2140" w:type="dxa"/>
            <w:tcMar>
              <w:top w:w="57" w:type="dxa"/>
              <w:left w:w="57" w:type="dxa"/>
              <w:bottom w:w="57" w:type="dxa"/>
              <w:right w:w="57" w:type="dxa"/>
            </w:tcMar>
            <w:tmTcPr id="1766737683" protected="0"/>
          </w:tcPr>
          <w:p>
            <w:pPr>
              <w:spacing/>
              <w:jc w:val="center"/>
            </w:pPr>
            <w:r>
              <w:t>0,218</w:t>
            </w:r>
          </w:p>
        </w:tc>
        <w:tc>
          <w:tcPr>
            <w:tcW w:w="1287" w:type="dxa"/>
            <w:tcMar>
              <w:top w:w="57" w:type="dxa"/>
              <w:left w:w="57" w:type="dxa"/>
              <w:bottom w:w="57" w:type="dxa"/>
              <w:right w:w="57" w:type="dxa"/>
            </w:tcMar>
            <w:tmTcPr id="1766737683" protected="0"/>
          </w:tcPr>
          <w:p>
            <w:pPr>
              <w:spacing/>
              <w:jc w:val="center"/>
            </w:pPr>
            <w:r>
              <w:t>1:2,1</w:t>
            </w:r>
          </w:p>
        </w:tc>
        <w:tc>
          <w:tcPr>
            <w:tcW w:w="1170"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66" w:type="dxa"/>
            <w:tcMar>
              <w:top w:w="57" w:type="dxa"/>
              <w:left w:w="57" w:type="dxa"/>
              <w:bottom w:w="57" w:type="dxa"/>
              <w:right w:w="57" w:type="dxa"/>
            </w:tcMar>
            <w:tmTcPr id="1766737683" protected="0"/>
          </w:tcPr>
          <w:p>
            <w:pPr/>
            <w:r>
              <w:t>Rotalge (roh)</w:t>
            </w:r>
          </w:p>
        </w:tc>
        <w:tc>
          <w:tcPr>
            <w:tcW w:w="2103" w:type="dxa"/>
            <w:tcMar>
              <w:top w:w="57" w:type="dxa"/>
              <w:left w:w="57" w:type="dxa"/>
              <w:bottom w:w="57" w:type="dxa"/>
              <w:right w:w="57" w:type="dxa"/>
            </w:tcMar>
            <w:tmTcPr id="1766737683" protected="0"/>
          </w:tcPr>
          <w:p>
            <w:pPr>
              <w:spacing/>
              <w:jc w:val="center"/>
            </w:pPr>
            <w:r>
              <w:t>0,083</w:t>
            </w:r>
          </w:p>
        </w:tc>
        <w:tc>
          <w:tcPr>
            <w:tcW w:w="2140" w:type="dxa"/>
            <w:tcMar>
              <w:top w:w="57" w:type="dxa"/>
              <w:left w:w="57" w:type="dxa"/>
              <w:bottom w:w="57" w:type="dxa"/>
              <w:right w:w="57" w:type="dxa"/>
            </w:tcMar>
            <w:tmTcPr id="1766737683" protected="0"/>
          </w:tcPr>
          <w:p>
            <w:pPr>
              <w:spacing/>
              <w:jc w:val="center"/>
            </w:pPr>
            <w:r>
              <w:t>0,014</w:t>
            </w:r>
          </w:p>
        </w:tc>
        <w:tc>
          <w:tcPr>
            <w:tcW w:w="1287" w:type="dxa"/>
            <w:tcMar>
              <w:top w:w="57" w:type="dxa"/>
              <w:left w:w="57" w:type="dxa"/>
              <w:bottom w:w="57" w:type="dxa"/>
              <w:right w:w="57" w:type="dxa"/>
            </w:tcMar>
            <w:tmTcPr id="1766737683" protected="0"/>
          </w:tcPr>
          <w:p>
            <w:pPr>
              <w:spacing/>
              <w:jc w:val="center"/>
            </w:pPr>
            <w:r>
              <w:t>5,9:1</w:t>
            </w:r>
          </w:p>
        </w:tc>
        <w:tc>
          <w:tcPr>
            <w:tcW w:w="1170" w:type="dxa"/>
            <w:tcMar>
              <w:top w:w="57" w:type="dxa"/>
              <w:left w:w="57" w:type="dxa"/>
              <w:bottom w:w="57" w:type="dxa"/>
              <w:right w:w="57" w:type="dxa"/>
            </w:tcMar>
            <w:tmTcPr id="1766737683" protected="0"/>
          </w:tcPr>
          <w:p>
            <w:pPr>
              <w:spacing/>
              <w:jc w:val="center"/>
              <w:rPr>
                <w:color w:val="007f7f"/>
              </w:rPr>
            </w:pPr>
            <w:r>
              <w:rPr>
                <w:color w:val="007f7f"/>
              </w:rPr>
              <w:t>*</w:t>
            </w:r>
          </w:p>
        </w:tc>
      </w:tr>
    </w:tbl>
    <w:p>
      <w:pPr>
        <w:spacing w:after="0" w:line="240" w:lineRule="auto"/>
        <w:rPr>
          <w:sz w:val="20"/>
          <w:szCs w:val="20"/>
        </w:rPr>
      </w:pPr>
      <w:r>
        <w:rPr>
          <w:sz w:val="20"/>
          <w:szCs w:val="20"/>
        </w:rPr>
      </w:r>
    </w:p>
    <w:tbl>
      <w:tblPr>
        <w:tblStyle w:val="TableGrid"/>
        <w:name w:val="Tabelle55"/>
        <w:tabOrder w:val="0"/>
        <w:jc w:val="left"/>
        <w:tblInd w:w="0" w:type="dxa"/>
        <w:tblW w:w="9066" w:type="dxa"/>
        <w:pPr>
          <w:spacing/>
          <w:jc w:val="left"/>
        </w:pPr>
        <w:tblLook w:val="04A0" w:firstRow="1" w:lastRow="0" w:firstColumn="1" w:lastColumn="0" w:noHBand="0" w:noVBand="1"/>
      </w:tblPr>
      <w:tblGrid>
        <w:gridCol w:w="2348"/>
        <w:gridCol w:w="2094"/>
        <w:gridCol w:w="2158"/>
        <w:gridCol w:w="1269"/>
        <w:gridCol w:w="1197"/>
      </w:tblGrid>
      <w:tr>
        <w:trPr>
          <w:tblHeader w:val="0"/>
          <w:cantSplit w:val="0"/>
          <w:trHeight w:val="0" w:hRule="auto"/>
        </w:trPr>
        <w:tc>
          <w:tcPr>
            <w:tcW w:w="2348" w:type="dxa"/>
            <w:tcMar>
              <w:top w:w="57" w:type="dxa"/>
              <w:left w:w="57" w:type="dxa"/>
              <w:bottom w:w="57" w:type="dxa"/>
              <w:right w:w="57" w:type="dxa"/>
            </w:tcMar>
            <w:tmTcPr id="1766737683" protected="0"/>
          </w:tcPr>
          <w:p>
            <w:pPr>
              <w:spacing/>
              <w:jc w:val="left"/>
            </w:pPr>
            <w:r>
              <w:t>Fisch und Meeresfrüchte</w:t>
            </w:r>
          </w:p>
        </w:tc>
        <w:tc>
          <w:tcPr>
            <w:tcW w:w="2094" w:type="dxa"/>
            <w:tcMar>
              <w:top w:w="57" w:type="dxa"/>
              <w:left w:w="57" w:type="dxa"/>
              <w:bottom w:w="57" w:type="dxa"/>
              <w:right w:w="57" w:type="dxa"/>
            </w:tcMar>
            <w:tmTcPr id="1766737683" protected="0"/>
          </w:tcPr>
          <w:p>
            <w:pPr>
              <w:spacing/>
              <w:jc w:val="center"/>
            </w:pPr>
            <w:r>
              <w:t>Omega-3 (g/100g)</w:t>
            </w:r>
          </w:p>
        </w:tc>
        <w:tc>
          <w:tcPr>
            <w:tcW w:w="2158" w:type="dxa"/>
            <w:tcMar>
              <w:top w:w="57" w:type="dxa"/>
              <w:left w:w="57" w:type="dxa"/>
              <w:bottom w:w="57" w:type="dxa"/>
              <w:right w:w="57" w:type="dxa"/>
            </w:tcMar>
            <w:tmTcPr id="1766737683" protected="0"/>
          </w:tcPr>
          <w:p>
            <w:pPr>
              <w:spacing/>
              <w:jc w:val="center"/>
            </w:pPr>
            <w:r>
              <w:t>Omega-6 (g/100g)</w:t>
            </w:r>
          </w:p>
        </w:tc>
        <w:tc>
          <w:tcPr>
            <w:tcW w:w="1269" w:type="dxa"/>
            <w:tcMar>
              <w:top w:w="57" w:type="dxa"/>
              <w:left w:w="57" w:type="dxa"/>
              <w:bottom w:w="57" w:type="dxa"/>
              <w:right w:w="57" w:type="dxa"/>
            </w:tcMar>
            <w:tmTcPr id="1766737683" protected="0"/>
          </w:tcPr>
          <w:p>
            <w:pPr>
              <w:spacing/>
              <w:jc w:val="center"/>
            </w:pPr>
            <w:r>
              <w:t>Verhältnis</w:t>
            </w:r>
          </w:p>
        </w:tc>
        <w:tc>
          <w:tcPr>
            <w:tcW w:w="1197" w:type="dxa"/>
            <w:tcMar>
              <w:top w:w="57" w:type="dxa"/>
              <w:left w:w="57" w:type="dxa"/>
              <w:bottom w:w="57" w:type="dxa"/>
              <w:right w:w="57" w:type="dxa"/>
            </w:tcMar>
            <w:tmTcPr id="1766737683" protected="0"/>
          </w:tcPr>
          <w:p>
            <w:pPr>
              <w:spacing/>
              <w:jc w:val="center"/>
            </w:pPr>
            <w:r>
              <w:t>Omega-Punkte</w:t>
            </w:r>
          </w:p>
        </w:tc>
      </w:tr>
      <w:tr>
        <w:trPr>
          <w:tblHeader w:val="0"/>
          <w:cantSplit w:val="0"/>
          <w:trHeight w:val="0" w:hRule="auto"/>
        </w:trPr>
        <w:tc>
          <w:tcPr>
            <w:tcW w:w="2348" w:type="dxa"/>
            <w:tcMar>
              <w:top w:w="57" w:type="dxa"/>
              <w:left w:w="57" w:type="dxa"/>
              <w:bottom w:w="57" w:type="dxa"/>
              <w:right w:w="57" w:type="dxa"/>
            </w:tcMar>
            <w:tmTcPr id="1766737683" protected="0"/>
          </w:tcPr>
          <w:p>
            <w:pPr/>
            <w:r>
              <w:t>Hering</w:t>
            </w:r>
          </w:p>
        </w:tc>
        <w:tc>
          <w:tcPr>
            <w:tcW w:w="2094" w:type="dxa"/>
            <w:tcMar>
              <w:top w:w="57" w:type="dxa"/>
              <w:left w:w="57" w:type="dxa"/>
              <w:bottom w:w="57" w:type="dxa"/>
              <w:right w:w="57" w:type="dxa"/>
            </w:tcMar>
            <w:tmTcPr id="1766737683" protected="0"/>
          </w:tcPr>
          <w:p>
            <w:pPr>
              <w:spacing/>
              <w:jc w:val="center"/>
            </w:pPr>
            <w:r>
              <w:t>4,035</w:t>
            </w:r>
          </w:p>
        </w:tc>
        <w:tc>
          <w:tcPr>
            <w:tcW w:w="2158" w:type="dxa"/>
            <w:tcMar>
              <w:top w:w="57" w:type="dxa"/>
              <w:left w:w="57" w:type="dxa"/>
              <w:bottom w:w="57" w:type="dxa"/>
              <w:right w:w="57" w:type="dxa"/>
            </w:tcMar>
            <w:tmTcPr id="1766737683" protected="0"/>
          </w:tcPr>
          <w:p>
            <w:pPr>
              <w:spacing/>
              <w:jc w:val="center"/>
            </w:pPr>
            <w:r>
              <w:t>0,334</w:t>
            </w:r>
          </w:p>
        </w:tc>
        <w:tc>
          <w:tcPr>
            <w:tcW w:w="1269" w:type="dxa"/>
            <w:tcMar>
              <w:top w:w="57" w:type="dxa"/>
              <w:left w:w="57" w:type="dxa"/>
              <w:bottom w:w="57" w:type="dxa"/>
              <w:right w:w="57" w:type="dxa"/>
            </w:tcMar>
            <w:tmTcPr id="1766737683" protected="0"/>
          </w:tcPr>
          <w:p>
            <w:pPr>
              <w:spacing/>
              <w:jc w:val="center"/>
            </w:pPr>
            <w:r>
              <w:t>12,1:1</w:t>
            </w:r>
          </w:p>
        </w:tc>
        <w:tc>
          <w:tcPr>
            <w:tcW w:w="1197"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48" w:type="dxa"/>
            <w:tcMar>
              <w:top w:w="57" w:type="dxa"/>
              <w:left w:w="57" w:type="dxa"/>
              <w:bottom w:w="57" w:type="dxa"/>
              <w:right w:w="57" w:type="dxa"/>
            </w:tcMar>
            <w:tmTcPr id="1766737683" protected="0"/>
          </w:tcPr>
          <w:p>
            <w:pPr/>
            <w:r>
              <w:t>Lachs</w:t>
            </w:r>
          </w:p>
        </w:tc>
        <w:tc>
          <w:tcPr>
            <w:tcW w:w="2094" w:type="dxa"/>
            <w:tcMar>
              <w:top w:w="57" w:type="dxa"/>
              <w:left w:w="57" w:type="dxa"/>
              <w:bottom w:w="57" w:type="dxa"/>
              <w:right w:w="57" w:type="dxa"/>
            </w:tcMar>
            <w:tmTcPr id="1766737683" protected="0"/>
          </w:tcPr>
          <w:p>
            <w:pPr>
              <w:spacing/>
              <w:jc w:val="center"/>
            </w:pPr>
            <w:r>
              <w:t>2,363</w:t>
            </w:r>
          </w:p>
        </w:tc>
        <w:tc>
          <w:tcPr>
            <w:tcW w:w="2158" w:type="dxa"/>
            <w:tcMar>
              <w:top w:w="57" w:type="dxa"/>
              <w:left w:w="57" w:type="dxa"/>
              <w:bottom w:w="57" w:type="dxa"/>
              <w:right w:w="57" w:type="dxa"/>
            </w:tcMar>
            <w:tmTcPr id="1766737683" protected="0"/>
          </w:tcPr>
          <w:p>
            <w:pPr>
              <w:spacing/>
              <w:jc w:val="center"/>
            </w:pPr>
            <w:r>
              <w:t>0,863</w:t>
            </w:r>
          </w:p>
        </w:tc>
        <w:tc>
          <w:tcPr>
            <w:tcW w:w="1269" w:type="dxa"/>
            <w:tcMar>
              <w:top w:w="57" w:type="dxa"/>
              <w:left w:w="57" w:type="dxa"/>
              <w:bottom w:w="57" w:type="dxa"/>
              <w:right w:w="57" w:type="dxa"/>
            </w:tcMar>
            <w:tmTcPr id="1766737683" protected="0"/>
          </w:tcPr>
          <w:p>
            <w:pPr>
              <w:spacing/>
              <w:jc w:val="center"/>
            </w:pPr>
            <w:r>
              <w:t>2,7:1</w:t>
            </w:r>
          </w:p>
        </w:tc>
        <w:tc>
          <w:tcPr>
            <w:tcW w:w="1197"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48" w:type="dxa"/>
            <w:tcMar>
              <w:top w:w="57" w:type="dxa"/>
              <w:left w:w="57" w:type="dxa"/>
              <w:bottom w:w="57" w:type="dxa"/>
              <w:right w:w="57" w:type="dxa"/>
            </w:tcMar>
            <w:tmTcPr id="1766737683" protected="0"/>
          </w:tcPr>
          <w:p>
            <w:pPr/>
            <w:r>
              <w:t>Makrele</w:t>
            </w:r>
          </w:p>
        </w:tc>
        <w:tc>
          <w:tcPr>
            <w:tcW w:w="2094" w:type="dxa"/>
            <w:tcMar>
              <w:top w:w="57" w:type="dxa"/>
              <w:left w:w="57" w:type="dxa"/>
              <w:bottom w:w="57" w:type="dxa"/>
              <w:right w:w="57" w:type="dxa"/>
            </w:tcMar>
            <w:tmTcPr id="1766737683" protected="0"/>
          </w:tcPr>
          <w:p>
            <w:pPr>
              <w:spacing/>
              <w:jc w:val="center"/>
            </w:pPr>
            <w:r>
              <w:t>2,315</w:t>
            </w:r>
          </w:p>
        </w:tc>
        <w:tc>
          <w:tcPr>
            <w:tcW w:w="2158" w:type="dxa"/>
            <w:tcMar>
              <w:top w:w="57" w:type="dxa"/>
              <w:left w:w="57" w:type="dxa"/>
              <w:bottom w:w="57" w:type="dxa"/>
              <w:right w:w="57" w:type="dxa"/>
            </w:tcMar>
            <w:tmTcPr id="1766737683" protected="0"/>
          </w:tcPr>
          <w:p>
            <w:pPr>
              <w:spacing/>
              <w:jc w:val="center"/>
            </w:pPr>
            <w:r>
              <w:t>0,533</w:t>
            </w:r>
          </w:p>
        </w:tc>
        <w:tc>
          <w:tcPr>
            <w:tcW w:w="1269" w:type="dxa"/>
            <w:tcMar>
              <w:top w:w="57" w:type="dxa"/>
              <w:left w:w="57" w:type="dxa"/>
              <w:bottom w:w="57" w:type="dxa"/>
              <w:right w:w="57" w:type="dxa"/>
            </w:tcMar>
            <w:tmTcPr id="1766737683" protected="0"/>
          </w:tcPr>
          <w:p>
            <w:pPr>
              <w:spacing/>
              <w:jc w:val="center"/>
            </w:pPr>
            <w:r>
              <w:t>4,3:1</w:t>
            </w:r>
          </w:p>
        </w:tc>
        <w:tc>
          <w:tcPr>
            <w:tcW w:w="1197"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48" w:type="dxa"/>
            <w:tcMar>
              <w:top w:w="57" w:type="dxa"/>
              <w:left w:w="57" w:type="dxa"/>
              <w:bottom w:w="57" w:type="dxa"/>
              <w:right w:w="57" w:type="dxa"/>
            </w:tcMar>
            <w:tmTcPr id="1766737683" protected="0"/>
          </w:tcPr>
          <w:p>
            <w:pPr/>
            <w:r>
              <w:t>Sardine</w:t>
            </w:r>
          </w:p>
        </w:tc>
        <w:tc>
          <w:tcPr>
            <w:tcW w:w="2094" w:type="dxa"/>
            <w:tcMar>
              <w:top w:w="57" w:type="dxa"/>
              <w:left w:w="57" w:type="dxa"/>
              <w:bottom w:w="57" w:type="dxa"/>
              <w:right w:w="57" w:type="dxa"/>
            </w:tcMar>
            <w:tmTcPr id="1766737683" protected="0"/>
          </w:tcPr>
          <w:p>
            <w:pPr>
              <w:spacing/>
              <w:jc w:val="center"/>
            </w:pPr>
            <w:r>
              <w:t>1,523</w:t>
            </w:r>
          </w:p>
        </w:tc>
        <w:tc>
          <w:tcPr>
            <w:tcW w:w="2158" w:type="dxa"/>
            <w:tcMar>
              <w:top w:w="57" w:type="dxa"/>
              <w:left w:w="57" w:type="dxa"/>
              <w:bottom w:w="57" w:type="dxa"/>
              <w:right w:w="57" w:type="dxa"/>
            </w:tcMar>
            <w:tmTcPr id="1766737683" protected="0"/>
          </w:tcPr>
          <w:p>
            <w:pPr>
              <w:spacing/>
              <w:jc w:val="center"/>
            </w:pPr>
            <w:r>
              <w:t>0,150</w:t>
            </w:r>
          </w:p>
        </w:tc>
        <w:tc>
          <w:tcPr>
            <w:tcW w:w="1269" w:type="dxa"/>
            <w:tcMar>
              <w:top w:w="57" w:type="dxa"/>
              <w:left w:w="57" w:type="dxa"/>
              <w:bottom w:w="57" w:type="dxa"/>
              <w:right w:w="57" w:type="dxa"/>
            </w:tcMar>
            <w:tmTcPr id="1766737683" protected="0"/>
          </w:tcPr>
          <w:p>
            <w:pPr>
              <w:spacing/>
              <w:jc w:val="center"/>
            </w:pPr>
            <w:r>
              <w:t>10,2:1</w:t>
            </w:r>
          </w:p>
        </w:tc>
        <w:tc>
          <w:tcPr>
            <w:tcW w:w="1197"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48" w:type="dxa"/>
            <w:tcMar>
              <w:top w:w="57" w:type="dxa"/>
              <w:left w:w="57" w:type="dxa"/>
              <w:bottom w:w="57" w:type="dxa"/>
              <w:right w:w="57" w:type="dxa"/>
            </w:tcMar>
            <w:tmTcPr id="1766737683" protected="0"/>
          </w:tcPr>
          <w:p>
            <w:pPr/>
            <w:r>
              <w:t>Forelle</w:t>
            </w:r>
          </w:p>
        </w:tc>
        <w:tc>
          <w:tcPr>
            <w:tcW w:w="2094" w:type="dxa"/>
            <w:tcMar>
              <w:top w:w="57" w:type="dxa"/>
              <w:left w:w="57" w:type="dxa"/>
              <w:bottom w:w="57" w:type="dxa"/>
              <w:right w:w="57" w:type="dxa"/>
            </w:tcMar>
            <w:tmTcPr id="1766737683" protected="0"/>
          </w:tcPr>
          <w:p>
            <w:pPr>
              <w:spacing/>
              <w:jc w:val="center"/>
            </w:pPr>
            <w:r>
              <w:t>0,764</w:t>
            </w:r>
          </w:p>
        </w:tc>
        <w:tc>
          <w:tcPr>
            <w:tcW w:w="2158" w:type="dxa"/>
            <w:tcMar>
              <w:top w:w="57" w:type="dxa"/>
              <w:left w:w="57" w:type="dxa"/>
              <w:bottom w:w="57" w:type="dxa"/>
              <w:right w:w="57" w:type="dxa"/>
            </w:tcMar>
            <w:tmTcPr id="1766737683" protected="0"/>
          </w:tcPr>
          <w:p>
            <w:pPr>
              <w:spacing/>
              <w:jc w:val="center"/>
            </w:pPr>
            <w:r>
              <w:t>0,286</w:t>
            </w:r>
          </w:p>
        </w:tc>
        <w:tc>
          <w:tcPr>
            <w:tcW w:w="1269" w:type="dxa"/>
            <w:tcMar>
              <w:top w:w="57" w:type="dxa"/>
              <w:left w:w="57" w:type="dxa"/>
              <w:bottom w:w="57" w:type="dxa"/>
              <w:right w:w="57" w:type="dxa"/>
            </w:tcMar>
            <w:tmTcPr id="1766737683" protected="0"/>
          </w:tcPr>
          <w:p>
            <w:pPr>
              <w:spacing/>
              <w:jc w:val="center"/>
            </w:pPr>
            <w:r>
              <w:t>2,7:1</w:t>
            </w:r>
          </w:p>
        </w:tc>
        <w:tc>
          <w:tcPr>
            <w:tcW w:w="1197"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48" w:type="dxa"/>
            <w:tcMar>
              <w:top w:w="57" w:type="dxa"/>
              <w:left w:w="57" w:type="dxa"/>
              <w:bottom w:w="57" w:type="dxa"/>
              <w:right w:w="57" w:type="dxa"/>
            </w:tcMar>
            <w:tmTcPr id="1766737683" protected="0"/>
          </w:tcPr>
          <w:p>
            <w:pPr/>
            <w:r>
              <w:t>Hummer</w:t>
            </w:r>
          </w:p>
        </w:tc>
        <w:tc>
          <w:tcPr>
            <w:tcW w:w="2094" w:type="dxa"/>
            <w:tcMar>
              <w:top w:w="57" w:type="dxa"/>
              <w:left w:w="57" w:type="dxa"/>
              <w:bottom w:w="57" w:type="dxa"/>
              <w:right w:w="57" w:type="dxa"/>
            </w:tcMar>
            <w:tmTcPr id="1766737683" protected="0"/>
          </w:tcPr>
          <w:p>
            <w:pPr>
              <w:spacing/>
              <w:jc w:val="center"/>
            </w:pPr>
            <w:r>
              <w:t>0,618</w:t>
            </w:r>
          </w:p>
        </w:tc>
        <w:tc>
          <w:tcPr>
            <w:tcW w:w="2158" w:type="dxa"/>
            <w:tcMar>
              <w:top w:w="57" w:type="dxa"/>
              <w:left w:w="57" w:type="dxa"/>
              <w:bottom w:w="57" w:type="dxa"/>
              <w:right w:w="57" w:type="dxa"/>
            </w:tcMar>
            <w:tmTcPr id="1766737683" protected="0"/>
          </w:tcPr>
          <w:p>
            <w:pPr>
              <w:spacing/>
              <w:jc w:val="center"/>
            </w:pPr>
            <w:r>
              <w:t>0,105</w:t>
            </w:r>
          </w:p>
        </w:tc>
        <w:tc>
          <w:tcPr>
            <w:tcW w:w="1269" w:type="dxa"/>
            <w:tcMar>
              <w:top w:w="57" w:type="dxa"/>
              <w:left w:w="57" w:type="dxa"/>
              <w:bottom w:w="57" w:type="dxa"/>
              <w:right w:w="57" w:type="dxa"/>
            </w:tcMar>
            <w:tmTcPr id="1766737683" protected="0"/>
          </w:tcPr>
          <w:p>
            <w:pPr>
              <w:spacing/>
              <w:jc w:val="center"/>
            </w:pPr>
            <w:r>
              <w:t>5,9:1</w:t>
            </w:r>
          </w:p>
        </w:tc>
        <w:tc>
          <w:tcPr>
            <w:tcW w:w="1197"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48" w:type="dxa"/>
            <w:tcMar>
              <w:top w:w="57" w:type="dxa"/>
              <w:left w:w="57" w:type="dxa"/>
              <w:bottom w:w="57" w:type="dxa"/>
              <w:right w:w="57" w:type="dxa"/>
            </w:tcMar>
            <w:tmTcPr id="1766737683" protected="0"/>
          </w:tcPr>
          <w:p>
            <w:pPr/>
            <w:r>
              <w:t>Rotbarsch</w:t>
            </w:r>
          </w:p>
        </w:tc>
        <w:tc>
          <w:tcPr>
            <w:tcW w:w="2094" w:type="dxa"/>
            <w:tcMar>
              <w:top w:w="57" w:type="dxa"/>
              <w:left w:w="57" w:type="dxa"/>
              <w:bottom w:w="57" w:type="dxa"/>
              <w:right w:w="57" w:type="dxa"/>
            </w:tcMar>
            <w:tmTcPr id="1766737683" protected="0"/>
          </w:tcPr>
          <w:p>
            <w:pPr>
              <w:spacing/>
              <w:jc w:val="center"/>
            </w:pPr>
            <w:r>
              <w:t>0,550</w:t>
            </w:r>
          </w:p>
        </w:tc>
        <w:tc>
          <w:tcPr>
            <w:tcW w:w="2158" w:type="dxa"/>
            <w:tcMar>
              <w:top w:w="57" w:type="dxa"/>
              <w:left w:w="57" w:type="dxa"/>
              <w:bottom w:w="57" w:type="dxa"/>
              <w:right w:w="57" w:type="dxa"/>
            </w:tcMar>
            <w:tmTcPr id="1766737683" protected="0"/>
          </w:tcPr>
          <w:p>
            <w:pPr>
              <w:spacing/>
              <w:jc w:val="center"/>
            </w:pPr>
            <w:r>
              <w:t>0,340</w:t>
            </w:r>
          </w:p>
        </w:tc>
        <w:tc>
          <w:tcPr>
            <w:tcW w:w="1269" w:type="dxa"/>
            <w:tcMar>
              <w:top w:w="57" w:type="dxa"/>
              <w:left w:w="57" w:type="dxa"/>
              <w:bottom w:w="57" w:type="dxa"/>
              <w:right w:w="57" w:type="dxa"/>
            </w:tcMar>
            <w:tmTcPr id="1766737683" protected="0"/>
          </w:tcPr>
          <w:p>
            <w:pPr>
              <w:spacing/>
              <w:jc w:val="center"/>
            </w:pPr>
            <w:r>
              <w:t>1,6:1</w:t>
            </w:r>
          </w:p>
        </w:tc>
        <w:tc>
          <w:tcPr>
            <w:tcW w:w="1197"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48" w:type="dxa"/>
            <w:tcMar>
              <w:top w:w="57" w:type="dxa"/>
              <w:left w:w="57" w:type="dxa"/>
              <w:bottom w:w="57" w:type="dxa"/>
              <w:right w:w="57" w:type="dxa"/>
            </w:tcMar>
            <w:tmTcPr id="1766737683" protected="0"/>
          </w:tcPr>
          <w:p>
            <w:pPr/>
            <w:r>
              <w:t>Garnelen</w:t>
            </w:r>
          </w:p>
        </w:tc>
        <w:tc>
          <w:tcPr>
            <w:tcW w:w="2094" w:type="dxa"/>
            <w:tcMar>
              <w:top w:w="57" w:type="dxa"/>
              <w:left w:w="57" w:type="dxa"/>
              <w:bottom w:w="57" w:type="dxa"/>
              <w:right w:w="57" w:type="dxa"/>
            </w:tcMar>
            <w:tmTcPr id="1766737683" protected="0"/>
          </w:tcPr>
          <w:p>
            <w:pPr>
              <w:spacing/>
              <w:jc w:val="center"/>
            </w:pPr>
            <w:r>
              <w:t>0,404</w:t>
            </w:r>
          </w:p>
        </w:tc>
        <w:tc>
          <w:tcPr>
            <w:tcW w:w="2158" w:type="dxa"/>
            <w:tcMar>
              <w:top w:w="57" w:type="dxa"/>
              <w:left w:w="57" w:type="dxa"/>
              <w:bottom w:w="57" w:type="dxa"/>
              <w:right w:w="57" w:type="dxa"/>
            </w:tcMar>
            <w:tmTcPr id="1766737683" protected="0"/>
          </w:tcPr>
          <w:p>
            <w:pPr>
              <w:spacing/>
              <w:jc w:val="center"/>
            </w:pPr>
            <w:r>
              <w:t>0,162</w:t>
            </w:r>
          </w:p>
        </w:tc>
        <w:tc>
          <w:tcPr>
            <w:tcW w:w="1269" w:type="dxa"/>
            <w:tcMar>
              <w:top w:w="57" w:type="dxa"/>
              <w:left w:w="57" w:type="dxa"/>
              <w:bottom w:w="57" w:type="dxa"/>
              <w:right w:w="57" w:type="dxa"/>
            </w:tcMar>
            <w:tmTcPr id="1766737683" protected="0"/>
          </w:tcPr>
          <w:p>
            <w:pPr>
              <w:spacing/>
              <w:jc w:val="center"/>
            </w:pPr>
            <w:r>
              <w:t>2,5:1</w:t>
            </w:r>
          </w:p>
        </w:tc>
        <w:tc>
          <w:tcPr>
            <w:tcW w:w="1197"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48" w:type="dxa"/>
            <w:tcMar>
              <w:top w:w="57" w:type="dxa"/>
              <w:left w:w="57" w:type="dxa"/>
              <w:bottom w:w="57" w:type="dxa"/>
              <w:right w:w="57" w:type="dxa"/>
            </w:tcMar>
            <w:tmTcPr id="1766737683" protected="0"/>
          </w:tcPr>
          <w:p>
            <w:pPr/>
            <w:r>
              <w:t>Tintenfische</w:t>
            </w:r>
          </w:p>
        </w:tc>
        <w:tc>
          <w:tcPr>
            <w:tcW w:w="2094" w:type="dxa"/>
            <w:tcMar>
              <w:top w:w="57" w:type="dxa"/>
              <w:left w:w="57" w:type="dxa"/>
              <w:bottom w:w="57" w:type="dxa"/>
              <w:right w:w="57" w:type="dxa"/>
            </w:tcMar>
            <w:tmTcPr id="1766737683" protected="0"/>
          </w:tcPr>
          <w:p>
            <w:pPr>
              <w:spacing/>
              <w:jc w:val="center"/>
            </w:pPr>
            <w:r>
              <w:t>0,282</w:t>
            </w:r>
          </w:p>
        </w:tc>
        <w:tc>
          <w:tcPr>
            <w:tcW w:w="2158" w:type="dxa"/>
            <w:tcMar>
              <w:top w:w="57" w:type="dxa"/>
              <w:left w:w="57" w:type="dxa"/>
              <w:bottom w:w="57" w:type="dxa"/>
              <w:right w:w="57" w:type="dxa"/>
            </w:tcMar>
            <w:tmTcPr id="1766737683" protected="0"/>
          </w:tcPr>
          <w:p>
            <w:pPr>
              <w:spacing/>
              <w:jc w:val="center"/>
            </w:pPr>
            <w:r>
              <w:t>0,052</w:t>
            </w:r>
          </w:p>
        </w:tc>
        <w:tc>
          <w:tcPr>
            <w:tcW w:w="1269" w:type="dxa"/>
            <w:tcMar>
              <w:top w:w="57" w:type="dxa"/>
              <w:left w:w="57" w:type="dxa"/>
              <w:bottom w:w="57" w:type="dxa"/>
              <w:right w:w="57" w:type="dxa"/>
            </w:tcMar>
            <w:tmTcPr id="1766737683" protected="0"/>
          </w:tcPr>
          <w:p>
            <w:pPr>
              <w:spacing/>
              <w:jc w:val="center"/>
            </w:pPr>
            <w:r>
              <w:t>5,4:1</w:t>
            </w:r>
          </w:p>
        </w:tc>
        <w:tc>
          <w:tcPr>
            <w:tcW w:w="1197"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48" w:type="dxa"/>
            <w:tcMar>
              <w:top w:w="57" w:type="dxa"/>
              <w:left w:w="57" w:type="dxa"/>
              <w:bottom w:w="57" w:type="dxa"/>
              <w:right w:w="57" w:type="dxa"/>
            </w:tcMar>
            <w:tmTcPr id="1766737683" protected="0"/>
          </w:tcPr>
          <w:p>
            <w:pPr/>
            <w:r>
              <w:t>Thunfisch</w:t>
            </w:r>
          </w:p>
        </w:tc>
        <w:tc>
          <w:tcPr>
            <w:tcW w:w="2094" w:type="dxa"/>
            <w:tcMar>
              <w:top w:w="57" w:type="dxa"/>
              <w:left w:w="57" w:type="dxa"/>
              <w:bottom w:w="57" w:type="dxa"/>
              <w:right w:w="57" w:type="dxa"/>
            </w:tcMar>
            <w:tmTcPr id="1766737683" protected="0"/>
          </w:tcPr>
          <w:p>
            <w:pPr>
              <w:spacing/>
              <w:jc w:val="center"/>
            </w:pPr>
            <w:r>
              <w:t>4,208</w:t>
            </w:r>
          </w:p>
        </w:tc>
        <w:tc>
          <w:tcPr>
            <w:tcW w:w="2158" w:type="dxa"/>
            <w:tcMar>
              <w:top w:w="57" w:type="dxa"/>
              <w:left w:w="57" w:type="dxa"/>
              <w:bottom w:w="57" w:type="dxa"/>
              <w:right w:w="57" w:type="dxa"/>
            </w:tcMar>
            <w:tmTcPr id="1766737683" protected="0"/>
          </w:tcPr>
          <w:p>
            <w:pPr>
              <w:spacing/>
              <w:jc w:val="center"/>
            </w:pPr>
            <w:r>
              <w:t>0,562</w:t>
            </w:r>
          </w:p>
        </w:tc>
        <w:tc>
          <w:tcPr>
            <w:tcW w:w="1269" w:type="dxa"/>
            <w:tcMar>
              <w:top w:w="57" w:type="dxa"/>
              <w:left w:w="57" w:type="dxa"/>
              <w:bottom w:w="57" w:type="dxa"/>
              <w:right w:w="57" w:type="dxa"/>
            </w:tcMar>
            <w:tmTcPr id="1766737683" protected="0"/>
          </w:tcPr>
          <w:p>
            <w:pPr>
              <w:spacing/>
              <w:jc w:val="center"/>
            </w:pPr>
            <w:r>
              <w:t>7,5:1</w:t>
            </w:r>
          </w:p>
        </w:tc>
        <w:tc>
          <w:tcPr>
            <w:tcW w:w="1197"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48" w:type="dxa"/>
            <w:tcMar>
              <w:top w:w="57" w:type="dxa"/>
              <w:left w:w="57" w:type="dxa"/>
              <w:bottom w:w="57" w:type="dxa"/>
              <w:right w:w="57" w:type="dxa"/>
            </w:tcMar>
            <w:tmTcPr id="1766737683" protected="0"/>
          </w:tcPr>
          <w:p>
            <w:pPr/>
            <w:r>
              <w:t>Jakobsmuschel</w:t>
            </w:r>
          </w:p>
        </w:tc>
        <w:tc>
          <w:tcPr>
            <w:tcW w:w="2094" w:type="dxa"/>
            <w:tcMar>
              <w:top w:w="57" w:type="dxa"/>
              <w:left w:w="57" w:type="dxa"/>
              <w:bottom w:w="57" w:type="dxa"/>
              <w:right w:w="57" w:type="dxa"/>
            </w:tcMar>
            <w:tmTcPr id="1766737683" protected="0"/>
          </w:tcPr>
          <w:p>
            <w:pPr>
              <w:spacing/>
              <w:jc w:val="center"/>
            </w:pPr>
            <w:r>
              <w:t>0,198</w:t>
            </w:r>
          </w:p>
        </w:tc>
        <w:tc>
          <w:tcPr>
            <w:tcW w:w="2158" w:type="dxa"/>
            <w:tcMar>
              <w:top w:w="57" w:type="dxa"/>
              <w:left w:w="57" w:type="dxa"/>
              <w:bottom w:w="57" w:type="dxa"/>
              <w:right w:w="57" w:type="dxa"/>
            </w:tcMar>
            <w:tmTcPr id="1766737683" protected="0"/>
          </w:tcPr>
          <w:p>
            <w:pPr>
              <w:spacing/>
              <w:jc w:val="center"/>
            </w:pPr>
            <w:r>
              <w:t>0,070</w:t>
            </w:r>
          </w:p>
        </w:tc>
        <w:tc>
          <w:tcPr>
            <w:tcW w:w="1269" w:type="dxa"/>
            <w:tcMar>
              <w:top w:w="57" w:type="dxa"/>
              <w:left w:w="57" w:type="dxa"/>
              <w:bottom w:w="57" w:type="dxa"/>
              <w:right w:w="57" w:type="dxa"/>
            </w:tcMar>
            <w:tmTcPr id="1766737683" protected="0"/>
          </w:tcPr>
          <w:p>
            <w:pPr>
              <w:spacing/>
              <w:jc w:val="center"/>
            </w:pPr>
            <w:r>
              <w:t>2,8:1</w:t>
            </w:r>
          </w:p>
        </w:tc>
        <w:tc>
          <w:tcPr>
            <w:tcW w:w="1197" w:type="dxa"/>
            <w:tcMar>
              <w:top w:w="57" w:type="dxa"/>
              <w:left w:w="57" w:type="dxa"/>
              <w:bottom w:w="57" w:type="dxa"/>
              <w:right w:w="57" w:type="dxa"/>
            </w:tcMar>
            <w:tmTcPr id="1766737683" protected="0"/>
          </w:tcPr>
          <w:p>
            <w:pPr>
              <w:spacing/>
              <w:jc w:val="center"/>
              <w:rPr>
                <w:color w:val="007f7f"/>
              </w:rPr>
            </w:pPr>
            <w:r>
              <w:rPr>
                <w:color w:val="007f7f"/>
              </w:rPr>
              <w:t>***</w:t>
            </w:r>
          </w:p>
        </w:tc>
      </w:tr>
    </w:tbl>
    <w:p>
      <w:pPr>
        <w:spacing w:after="0" w:line="240" w:lineRule="auto"/>
        <w:rPr>
          <w:sz w:val="20"/>
          <w:szCs w:val="20"/>
        </w:rPr>
      </w:pPr>
      <w:r>
        <w:rPr>
          <w:sz w:val="20"/>
          <w:szCs w:val="20"/>
        </w:rPr>
      </w:r>
    </w:p>
    <w:tbl>
      <w:tblPr>
        <w:tblStyle w:val="TableGrid"/>
        <w:name w:val="Tabelle56"/>
        <w:tabOrder w:val="0"/>
        <w:jc w:val="left"/>
        <w:tblInd w:w="0" w:type="dxa"/>
        <w:tblW w:w="9067" w:type="dxa"/>
        <w:pPr>
          <w:spacing/>
          <w:jc w:val="left"/>
        </w:pPr>
        <w:tblLook w:val="04A0" w:firstRow="1" w:lastRow="0" w:firstColumn="1" w:lastColumn="0" w:noHBand="0" w:noVBand="1"/>
      </w:tblPr>
      <w:tblGrid>
        <w:gridCol w:w="2312"/>
        <w:gridCol w:w="2149"/>
        <w:gridCol w:w="2149"/>
        <w:gridCol w:w="1287"/>
        <w:gridCol w:w="1170"/>
      </w:tblGrid>
      <w:tr>
        <w:trPr>
          <w:tblHeader w:val="0"/>
          <w:cantSplit w:val="0"/>
          <w:trHeight w:val="0" w:hRule="auto"/>
        </w:trPr>
        <w:tc>
          <w:tcPr>
            <w:tcW w:w="2312" w:type="dxa"/>
            <w:tcMar>
              <w:top w:w="57" w:type="dxa"/>
              <w:left w:w="57" w:type="dxa"/>
              <w:bottom w:w="57" w:type="dxa"/>
              <w:right w:w="57" w:type="dxa"/>
            </w:tcMar>
            <w:tmTcPr id="1766737683" protected="0"/>
          </w:tcPr>
          <w:p>
            <w:pPr/>
            <w:r>
              <w:t>Fleisch</w:t>
            </w:r>
          </w:p>
        </w:tc>
        <w:tc>
          <w:tcPr>
            <w:tcW w:w="2149" w:type="dxa"/>
            <w:tcMar>
              <w:top w:w="57" w:type="dxa"/>
              <w:left w:w="57" w:type="dxa"/>
              <w:bottom w:w="57" w:type="dxa"/>
              <w:right w:w="57" w:type="dxa"/>
            </w:tcMar>
            <w:tmTcPr id="1766737683" protected="0"/>
          </w:tcPr>
          <w:p>
            <w:pPr>
              <w:spacing/>
              <w:jc w:val="center"/>
            </w:pPr>
            <w:r>
              <w:t>Omega-3 (g/100g)</w:t>
            </w:r>
          </w:p>
        </w:tc>
        <w:tc>
          <w:tcPr>
            <w:tcW w:w="2149" w:type="dxa"/>
            <w:tcMar>
              <w:top w:w="57" w:type="dxa"/>
              <w:left w:w="57" w:type="dxa"/>
              <w:bottom w:w="57" w:type="dxa"/>
              <w:right w:w="57" w:type="dxa"/>
            </w:tcMar>
            <w:tmTcPr id="1766737683" protected="0"/>
          </w:tcPr>
          <w:p>
            <w:pPr>
              <w:spacing/>
              <w:jc w:val="center"/>
            </w:pPr>
            <w:r>
              <w:t>Omega-6 (g/100g)</w:t>
            </w:r>
          </w:p>
        </w:tc>
        <w:tc>
          <w:tcPr>
            <w:tcW w:w="1287" w:type="dxa"/>
            <w:tcMar>
              <w:top w:w="57" w:type="dxa"/>
              <w:left w:w="57" w:type="dxa"/>
              <w:bottom w:w="57" w:type="dxa"/>
              <w:right w:w="57" w:type="dxa"/>
            </w:tcMar>
            <w:tmTcPr id="1766737683" protected="0"/>
          </w:tcPr>
          <w:p>
            <w:pPr>
              <w:spacing/>
              <w:jc w:val="center"/>
            </w:pPr>
            <w:r>
              <w:t>Verhältnis</w:t>
            </w:r>
          </w:p>
        </w:tc>
        <w:tc>
          <w:tcPr>
            <w:tcW w:w="1170" w:type="dxa"/>
            <w:tcMar>
              <w:top w:w="57" w:type="dxa"/>
              <w:left w:w="57" w:type="dxa"/>
              <w:bottom w:w="57" w:type="dxa"/>
              <w:right w:w="57" w:type="dxa"/>
            </w:tcMar>
            <w:tmTcPr id="1766737683" protected="0"/>
          </w:tcPr>
          <w:p>
            <w:pPr>
              <w:spacing/>
              <w:jc w:val="center"/>
            </w:pPr>
            <w:r>
              <w:t>Omega-Punkte</w:t>
            </w:r>
          </w:p>
        </w:tc>
      </w:tr>
      <w:tr>
        <w:trPr>
          <w:tblHeader w:val="0"/>
          <w:cantSplit w:val="0"/>
          <w:trHeight w:val="0" w:hRule="auto"/>
        </w:trPr>
        <w:tc>
          <w:tcPr>
            <w:tcW w:w="2312" w:type="dxa"/>
            <w:tcMar>
              <w:top w:w="57" w:type="dxa"/>
              <w:left w:w="57" w:type="dxa"/>
              <w:bottom w:w="57" w:type="dxa"/>
              <w:right w:w="57" w:type="dxa"/>
            </w:tcMar>
            <w:tmTcPr id="1766737683" protected="0"/>
          </w:tcPr>
          <w:p>
            <w:pPr/>
            <w:r>
              <w:t>Schwein</w:t>
            </w:r>
          </w:p>
        </w:tc>
        <w:tc>
          <w:tcPr>
            <w:tcW w:w="2149" w:type="dxa"/>
            <w:tcMar>
              <w:top w:w="57" w:type="dxa"/>
              <w:left w:w="57" w:type="dxa"/>
              <w:bottom w:w="57" w:type="dxa"/>
              <w:right w:w="57" w:type="dxa"/>
            </w:tcMar>
            <w:tmTcPr id="1766737683" protected="0"/>
          </w:tcPr>
          <w:p>
            <w:pPr>
              <w:spacing/>
              <w:jc w:val="center"/>
            </w:pPr>
            <w:r>
              <w:t>0,26</w:t>
            </w:r>
          </w:p>
        </w:tc>
        <w:tc>
          <w:tcPr>
            <w:tcW w:w="2149" w:type="dxa"/>
            <w:tcMar>
              <w:top w:w="57" w:type="dxa"/>
              <w:left w:w="57" w:type="dxa"/>
              <w:bottom w:w="57" w:type="dxa"/>
              <w:right w:w="57" w:type="dxa"/>
            </w:tcMar>
            <w:tmTcPr id="1766737683" protected="0"/>
          </w:tcPr>
          <w:p>
            <w:pPr>
              <w:spacing/>
              <w:jc w:val="center"/>
            </w:pPr>
            <w:r>
              <w:t>1,127</w:t>
            </w:r>
          </w:p>
        </w:tc>
        <w:tc>
          <w:tcPr>
            <w:tcW w:w="1287" w:type="dxa"/>
            <w:tcMar>
              <w:top w:w="57" w:type="dxa"/>
              <w:left w:w="57" w:type="dxa"/>
              <w:bottom w:w="57" w:type="dxa"/>
              <w:right w:w="57" w:type="dxa"/>
            </w:tcMar>
            <w:tmTcPr id="1766737683" protected="0"/>
          </w:tcPr>
          <w:p>
            <w:pPr>
              <w:spacing/>
              <w:jc w:val="center"/>
            </w:pPr>
            <w:r>
              <w:t>1:3,9</w:t>
            </w:r>
          </w:p>
        </w:tc>
        <w:tc>
          <w:tcPr>
            <w:tcW w:w="1170"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12" w:type="dxa"/>
            <w:tcMar>
              <w:top w:w="57" w:type="dxa"/>
              <w:left w:w="57" w:type="dxa"/>
              <w:bottom w:w="57" w:type="dxa"/>
              <w:right w:w="57" w:type="dxa"/>
            </w:tcMar>
            <w:tmTcPr id="1766737683" protected="0"/>
          </w:tcPr>
          <w:p>
            <w:pPr/>
            <w:r>
              <w:t>Pute</w:t>
            </w:r>
          </w:p>
        </w:tc>
        <w:tc>
          <w:tcPr>
            <w:tcW w:w="2149" w:type="dxa"/>
            <w:tcMar>
              <w:top w:w="57" w:type="dxa"/>
              <w:left w:w="57" w:type="dxa"/>
              <w:bottom w:w="57" w:type="dxa"/>
              <w:right w:w="57" w:type="dxa"/>
            </w:tcMar>
            <w:tmTcPr id="1766737683" protected="0"/>
          </w:tcPr>
          <w:p>
            <w:pPr>
              <w:spacing/>
              <w:jc w:val="center"/>
            </w:pPr>
            <w:r>
              <w:t>0,12</w:t>
            </w:r>
          </w:p>
        </w:tc>
        <w:tc>
          <w:tcPr>
            <w:tcW w:w="2149" w:type="dxa"/>
            <w:tcMar>
              <w:top w:w="57" w:type="dxa"/>
              <w:left w:w="57" w:type="dxa"/>
              <w:bottom w:w="57" w:type="dxa"/>
              <w:right w:w="57" w:type="dxa"/>
            </w:tcMar>
            <w:tmTcPr id="1766737683" protected="0"/>
          </w:tcPr>
          <w:p>
            <w:pPr>
              <w:spacing/>
              <w:jc w:val="center"/>
            </w:pPr>
            <w:r>
              <w:t>2,292</w:t>
            </w:r>
          </w:p>
        </w:tc>
        <w:tc>
          <w:tcPr>
            <w:tcW w:w="1287" w:type="dxa"/>
            <w:tcMar>
              <w:top w:w="57" w:type="dxa"/>
              <w:left w:w="57" w:type="dxa"/>
              <w:bottom w:w="57" w:type="dxa"/>
              <w:right w:w="57" w:type="dxa"/>
            </w:tcMar>
            <w:tmTcPr id="1766737683" protected="0"/>
          </w:tcPr>
          <w:p>
            <w:pPr>
              <w:spacing/>
              <w:jc w:val="center"/>
            </w:pPr>
            <w:r>
              <w:t>1:8</w:t>
            </w:r>
          </w:p>
        </w:tc>
        <w:tc>
          <w:tcPr>
            <w:tcW w:w="1170" w:type="dxa"/>
            <w:tcMar>
              <w:top w:w="57" w:type="dxa"/>
              <w:left w:w="57" w:type="dxa"/>
              <w:bottom w:w="57" w:type="dxa"/>
              <w:right w:w="57" w:type="dxa"/>
            </w:tcMar>
            <w:tmTcPr id="1766737683" protected="0"/>
          </w:tcPr>
          <w:p>
            <w:pPr>
              <w:spacing/>
              <w:jc w:val="center"/>
              <w:rPr>
                <w:color w:val="ff0000"/>
              </w:rPr>
            </w:pPr>
            <w:r>
              <w:rPr>
                <w:color w:val="ff0000"/>
              </w:rPr>
              <w:t>*</w:t>
            </w:r>
          </w:p>
        </w:tc>
      </w:tr>
      <w:tr>
        <w:trPr>
          <w:tblHeader w:val="0"/>
          <w:cantSplit w:val="0"/>
          <w:trHeight w:val="0" w:hRule="auto"/>
        </w:trPr>
        <w:tc>
          <w:tcPr>
            <w:tcW w:w="2312" w:type="dxa"/>
            <w:tcMar>
              <w:top w:w="57" w:type="dxa"/>
              <w:left w:w="57" w:type="dxa"/>
              <w:bottom w:w="57" w:type="dxa"/>
              <w:right w:w="57" w:type="dxa"/>
            </w:tcMar>
            <w:tmTcPr id="1766737683" protected="0"/>
          </w:tcPr>
          <w:p>
            <w:pPr/>
            <w:r>
              <w:t>Rind</w:t>
            </w:r>
          </w:p>
        </w:tc>
        <w:tc>
          <w:tcPr>
            <w:tcW w:w="2149" w:type="dxa"/>
            <w:tcMar>
              <w:top w:w="57" w:type="dxa"/>
              <w:left w:w="57" w:type="dxa"/>
              <w:bottom w:w="57" w:type="dxa"/>
              <w:right w:w="57" w:type="dxa"/>
            </w:tcMar>
            <w:tmTcPr id="1766737683" protected="0"/>
          </w:tcPr>
          <w:p>
            <w:pPr>
              <w:spacing/>
              <w:jc w:val="center"/>
            </w:pPr>
            <w:r>
              <w:t>0,10</w:t>
            </w:r>
          </w:p>
        </w:tc>
        <w:tc>
          <w:tcPr>
            <w:tcW w:w="2149" w:type="dxa"/>
            <w:tcMar>
              <w:top w:w="57" w:type="dxa"/>
              <w:left w:w="57" w:type="dxa"/>
              <w:bottom w:w="57" w:type="dxa"/>
              <w:right w:w="57" w:type="dxa"/>
            </w:tcMar>
            <w:tmTcPr id="1766737683" protected="0"/>
          </w:tcPr>
          <w:p>
            <w:pPr>
              <w:spacing/>
              <w:jc w:val="center"/>
            </w:pPr>
            <w:r>
              <w:t>0,276</w:t>
            </w:r>
          </w:p>
        </w:tc>
        <w:tc>
          <w:tcPr>
            <w:tcW w:w="1287" w:type="dxa"/>
            <w:tcMar>
              <w:top w:w="57" w:type="dxa"/>
              <w:left w:w="57" w:type="dxa"/>
              <w:bottom w:w="57" w:type="dxa"/>
              <w:right w:w="57" w:type="dxa"/>
            </w:tcMar>
            <w:tmTcPr id="1766737683" protected="0"/>
          </w:tcPr>
          <w:p>
            <w:pPr>
              <w:spacing/>
              <w:jc w:val="center"/>
            </w:pPr>
            <w:r>
              <w:t>1:2,3</w:t>
            </w:r>
          </w:p>
        </w:tc>
        <w:tc>
          <w:tcPr>
            <w:tcW w:w="1170" w:type="dxa"/>
            <w:tcMar>
              <w:top w:w="57" w:type="dxa"/>
              <w:left w:w="57" w:type="dxa"/>
              <w:bottom w:w="57" w:type="dxa"/>
              <w:right w:w="57" w:type="dxa"/>
            </w:tcMar>
            <w:tmTcPr id="1766737683" protected="0"/>
          </w:tcPr>
          <w:p>
            <w:pPr>
              <w:spacing/>
              <w:jc w:val="center"/>
              <w:rPr>
                <w:color w:val="007f7f"/>
              </w:rPr>
            </w:pPr>
            <w:r>
              <w:rPr>
                <w:color w:val="007f7f"/>
              </w:rPr>
              <w:t>*</w:t>
            </w:r>
          </w:p>
        </w:tc>
      </w:tr>
      <w:tr>
        <w:trPr>
          <w:tblHeader w:val="0"/>
          <w:cantSplit w:val="0"/>
          <w:trHeight w:val="0" w:hRule="auto"/>
        </w:trPr>
        <w:tc>
          <w:tcPr>
            <w:tcW w:w="2312" w:type="dxa"/>
            <w:tcMar>
              <w:top w:w="57" w:type="dxa"/>
              <w:left w:w="57" w:type="dxa"/>
              <w:bottom w:w="57" w:type="dxa"/>
              <w:right w:w="57" w:type="dxa"/>
            </w:tcMar>
            <w:tmTcPr id="1766737683" protected="0"/>
          </w:tcPr>
          <w:p>
            <w:pPr/>
            <w:r>
              <w:t>Hähnchenbrust</w:t>
            </w:r>
          </w:p>
        </w:tc>
        <w:tc>
          <w:tcPr>
            <w:tcW w:w="2149" w:type="dxa"/>
            <w:tcMar>
              <w:top w:w="57" w:type="dxa"/>
              <w:left w:w="57" w:type="dxa"/>
              <w:bottom w:w="57" w:type="dxa"/>
              <w:right w:w="57" w:type="dxa"/>
            </w:tcMar>
            <w:tmTcPr id="1766737683" protected="0"/>
          </w:tcPr>
          <w:p>
            <w:pPr>
              <w:spacing/>
              <w:jc w:val="center"/>
            </w:pPr>
            <w:r>
              <w:t>0,01</w:t>
            </w:r>
          </w:p>
        </w:tc>
        <w:tc>
          <w:tcPr>
            <w:tcW w:w="2149" w:type="dxa"/>
            <w:tcMar>
              <w:top w:w="57" w:type="dxa"/>
              <w:left w:w="57" w:type="dxa"/>
              <w:bottom w:w="57" w:type="dxa"/>
              <w:right w:w="57" w:type="dxa"/>
            </w:tcMar>
            <w:tmTcPr id="1766737683" protected="0"/>
          </w:tcPr>
          <w:p>
            <w:pPr>
              <w:spacing/>
              <w:jc w:val="center"/>
            </w:pPr>
            <w:r>
              <w:t>0,157</w:t>
            </w:r>
          </w:p>
        </w:tc>
        <w:tc>
          <w:tcPr>
            <w:tcW w:w="1287" w:type="dxa"/>
            <w:tcMar>
              <w:top w:w="57" w:type="dxa"/>
              <w:left w:w="57" w:type="dxa"/>
              <w:bottom w:w="57" w:type="dxa"/>
              <w:right w:w="57" w:type="dxa"/>
            </w:tcMar>
            <w:tmTcPr id="1766737683" protected="0"/>
          </w:tcPr>
          <w:p>
            <w:pPr>
              <w:spacing/>
              <w:jc w:val="center"/>
            </w:pPr>
            <w:r>
              <w:t>1:14,3</w:t>
            </w:r>
          </w:p>
        </w:tc>
        <w:tc>
          <w:tcPr>
            <w:tcW w:w="1170" w:type="dxa"/>
            <w:tcMar>
              <w:top w:w="57" w:type="dxa"/>
              <w:left w:w="57" w:type="dxa"/>
              <w:bottom w:w="57" w:type="dxa"/>
              <w:right w:w="57" w:type="dxa"/>
            </w:tcMar>
            <w:tmTcPr id="1766737683" protected="0"/>
          </w:tcPr>
          <w:p>
            <w:pPr>
              <w:spacing/>
              <w:jc w:val="center"/>
              <w:rPr>
                <w:color w:val="ff0000"/>
              </w:rPr>
            </w:pPr>
            <w:r>
              <w:rPr>
                <w:color w:val="ff0000"/>
              </w:rPr>
              <w:t>*</w:t>
            </w:r>
          </w:p>
        </w:tc>
      </w:tr>
    </w:tbl>
    <w:p>
      <w:pPr>
        <w:spacing w:after="0" w:line="240" w:lineRule="auto"/>
        <w:rPr>
          <w:sz w:val="20"/>
          <w:szCs w:val="20"/>
        </w:rPr>
      </w:pPr>
      <w:r>
        <w:rPr>
          <w:sz w:val="20"/>
          <w:szCs w:val="20"/>
        </w:rPr>
      </w:r>
    </w:p>
    <w:tbl>
      <w:tblPr>
        <w:tblStyle w:val="TableGrid"/>
        <w:name w:val="Tabelle59"/>
        <w:tabOrder w:val="0"/>
        <w:jc w:val="left"/>
        <w:tblInd w:w="0" w:type="dxa"/>
        <w:tblW w:w="9066" w:type="dxa"/>
        <w:pPr>
          <w:spacing/>
          <w:jc w:val="left"/>
        </w:pPr>
        <w:tblLook w:val="04A0" w:firstRow="1" w:lastRow="0" w:firstColumn="1" w:lastColumn="0" w:noHBand="0" w:noVBand="1"/>
      </w:tblPr>
      <w:tblGrid>
        <w:gridCol w:w="2393"/>
        <w:gridCol w:w="2131"/>
        <w:gridCol w:w="2040"/>
        <w:gridCol w:w="1369"/>
        <w:gridCol w:w="1133"/>
      </w:tblGrid>
      <w:tr>
        <w:trPr>
          <w:tblHeader w:val="0"/>
          <w:cantSplit w:val="0"/>
          <w:trHeight w:val="0" w:hRule="auto"/>
        </w:trPr>
        <w:tc>
          <w:tcPr>
            <w:tcW w:w="2393" w:type="dxa"/>
            <w:tcMar>
              <w:top w:w="57" w:type="dxa"/>
              <w:left w:w="57" w:type="dxa"/>
              <w:bottom w:w="57" w:type="dxa"/>
              <w:right w:w="57" w:type="dxa"/>
            </w:tcMar>
            <w:tmTcPr id="1766737683" protected="0"/>
          </w:tcPr>
          <w:p>
            <w:pPr>
              <w:pStyle w:val="para0"/>
            </w:pPr>
            <w:r>
              <w:fldChar w:fldCharType="begin"/>
              <w:instrText xml:space="preserve">XE "Milchprodukte" \G </w:instrText>
              <w:fldChar w:fldCharType="end"/>
              <w:t>Milchprodukte</w:t>
            </w:r>
          </w:p>
        </w:tc>
        <w:tc>
          <w:tcPr>
            <w:tcW w:w="2131" w:type="dxa"/>
            <w:tcMar>
              <w:top w:w="57" w:type="dxa"/>
              <w:left w:w="57" w:type="dxa"/>
              <w:bottom w:w="57" w:type="dxa"/>
              <w:right w:w="57" w:type="dxa"/>
            </w:tcMar>
            <w:tmTcPr id="1766737683" protected="0"/>
          </w:tcPr>
          <w:p>
            <w:pPr>
              <w:pStyle w:val="para0"/>
              <w:spacing/>
              <w:jc w:val="center"/>
            </w:pPr>
            <w:r>
              <w:t>Omega-3 (g/100g)</w:t>
            </w:r>
          </w:p>
        </w:tc>
        <w:tc>
          <w:tcPr>
            <w:tcW w:w="2040" w:type="dxa"/>
            <w:tcMar>
              <w:top w:w="57" w:type="dxa"/>
              <w:left w:w="57" w:type="dxa"/>
              <w:bottom w:w="57" w:type="dxa"/>
              <w:right w:w="57" w:type="dxa"/>
            </w:tcMar>
            <w:tmTcPr id="1766737683" protected="0"/>
          </w:tcPr>
          <w:p>
            <w:pPr>
              <w:pStyle w:val="para0"/>
              <w:spacing/>
              <w:jc w:val="center"/>
            </w:pPr>
            <w:r>
              <w:t>Omega-6 (g/100g)</w:t>
            </w:r>
          </w:p>
        </w:tc>
        <w:tc>
          <w:tcPr>
            <w:tcW w:w="1369" w:type="dxa"/>
            <w:tcMar>
              <w:top w:w="57" w:type="dxa"/>
              <w:left w:w="57" w:type="dxa"/>
              <w:bottom w:w="57" w:type="dxa"/>
              <w:right w:w="57" w:type="dxa"/>
            </w:tcMar>
            <w:tmTcPr id="1766737683" protected="0"/>
          </w:tcPr>
          <w:p>
            <w:pPr>
              <w:pStyle w:val="para0"/>
              <w:spacing/>
              <w:jc w:val="center"/>
            </w:pPr>
            <w:r>
              <w:t>Verhältnis</w:t>
            </w:r>
          </w:p>
        </w:tc>
        <w:tc>
          <w:tcPr>
            <w:tcW w:w="1133" w:type="dxa"/>
            <w:tcMar>
              <w:top w:w="57" w:type="dxa"/>
              <w:left w:w="57" w:type="dxa"/>
              <w:bottom w:w="57" w:type="dxa"/>
              <w:right w:w="57" w:type="dxa"/>
            </w:tcMar>
            <w:tmTcPr id="1766737683" protected="0"/>
          </w:tcPr>
          <w:p>
            <w:pPr>
              <w:pStyle w:val="para0"/>
              <w:spacing/>
              <w:jc w:val="center"/>
            </w:pPr>
            <w:r>
              <w:t>Omega-Punkte</w:t>
            </w:r>
          </w:p>
        </w:tc>
      </w:tr>
      <w:tr>
        <w:trPr>
          <w:tblHeader w:val="0"/>
          <w:cantSplit w:val="0"/>
          <w:trHeight w:val="0" w:hRule="auto"/>
        </w:trPr>
        <w:tc>
          <w:tcPr>
            <w:tcW w:w="2393" w:type="dxa"/>
            <w:tcMar>
              <w:top w:w="57" w:type="dxa"/>
              <w:left w:w="57" w:type="dxa"/>
              <w:bottom w:w="57" w:type="dxa"/>
              <w:right w:w="57" w:type="dxa"/>
            </w:tcMar>
            <w:tmTcPr id="1766737683" protected="0"/>
          </w:tcPr>
          <w:p>
            <w:pPr>
              <w:pStyle w:val="para0"/>
            </w:pPr>
            <w:r>
              <w:t>Butter</w:t>
            </w:r>
          </w:p>
        </w:tc>
        <w:tc>
          <w:tcPr>
            <w:tcW w:w="2131" w:type="dxa"/>
            <w:tcMar>
              <w:top w:w="57" w:type="dxa"/>
              <w:left w:w="57" w:type="dxa"/>
              <w:bottom w:w="57" w:type="dxa"/>
              <w:right w:w="57" w:type="dxa"/>
            </w:tcMar>
            <w:tmTcPr id="1766737683" protected="0"/>
          </w:tcPr>
          <w:p>
            <w:pPr>
              <w:pStyle w:val="para0"/>
              <w:spacing/>
              <w:jc w:val="center"/>
            </w:pPr>
            <w:r>
              <w:t>0,42</w:t>
            </w:r>
          </w:p>
        </w:tc>
        <w:tc>
          <w:tcPr>
            <w:tcW w:w="2040" w:type="dxa"/>
            <w:tcMar>
              <w:top w:w="57" w:type="dxa"/>
              <w:left w:w="57" w:type="dxa"/>
              <w:bottom w:w="57" w:type="dxa"/>
              <w:right w:w="57" w:type="dxa"/>
            </w:tcMar>
            <w:tmTcPr id="1766737683" protected="0"/>
          </w:tcPr>
          <w:p>
            <w:pPr>
              <w:pStyle w:val="para0"/>
              <w:spacing/>
              <w:jc w:val="center"/>
            </w:pPr>
            <w:r>
              <w:t>1,333</w:t>
            </w:r>
          </w:p>
        </w:tc>
        <w:tc>
          <w:tcPr>
            <w:tcW w:w="1369" w:type="dxa"/>
            <w:tcMar>
              <w:top w:w="57" w:type="dxa"/>
              <w:left w:w="57" w:type="dxa"/>
              <w:bottom w:w="57" w:type="dxa"/>
              <w:right w:w="57" w:type="dxa"/>
            </w:tcMar>
            <w:tmTcPr id="1766737683" protected="0"/>
          </w:tcPr>
          <w:p>
            <w:pPr>
              <w:pStyle w:val="para0"/>
              <w:spacing/>
              <w:jc w:val="center"/>
            </w:pPr>
            <w:r>
              <w:t>1:2,9</w:t>
            </w:r>
          </w:p>
        </w:tc>
        <w:tc>
          <w:tcPr>
            <w:tcW w:w="1133" w:type="dxa"/>
            <w:tcMar>
              <w:top w:w="57" w:type="dxa"/>
              <w:left w:w="57" w:type="dxa"/>
              <w:bottom w:w="57" w:type="dxa"/>
              <w:right w:w="57" w:type="dxa"/>
            </w:tcMar>
            <w:tmTcPr id="1766737683" protected="0"/>
          </w:tcPr>
          <w:p>
            <w:pPr>
              <w:pStyle w:val="para0"/>
              <w:spacing/>
              <w:jc w:val="center"/>
              <w:rPr>
                <w:color w:val="007f7f"/>
              </w:rPr>
            </w:pPr>
            <w:r>
              <w:rPr>
                <w:color w:val="007f7f"/>
              </w:rPr>
              <w:t>*</w:t>
            </w:r>
          </w:p>
        </w:tc>
      </w:tr>
      <w:tr>
        <w:trPr>
          <w:tblHeader w:val="0"/>
          <w:cantSplit w:val="0"/>
          <w:trHeight w:val="0" w:hRule="auto"/>
        </w:trPr>
        <w:tc>
          <w:tcPr>
            <w:tcW w:w="2393" w:type="dxa"/>
            <w:tcMar>
              <w:top w:w="57" w:type="dxa"/>
              <w:left w:w="57" w:type="dxa"/>
              <w:bottom w:w="57" w:type="dxa"/>
              <w:right w:w="57" w:type="dxa"/>
            </w:tcMar>
            <w:tmTcPr id="1766737683" protected="0"/>
          </w:tcPr>
          <w:p>
            <w:pPr>
              <w:pStyle w:val="para0"/>
            </w:pPr>
            <w:r>
              <w:t>Käse (Hart)</w:t>
            </w:r>
          </w:p>
        </w:tc>
        <w:tc>
          <w:tcPr>
            <w:tcW w:w="2131" w:type="dxa"/>
            <w:tcMar>
              <w:top w:w="57" w:type="dxa"/>
              <w:left w:w="57" w:type="dxa"/>
              <w:bottom w:w="57" w:type="dxa"/>
              <w:right w:w="57" w:type="dxa"/>
            </w:tcMar>
            <w:tmTcPr id="1766737683" protected="0"/>
          </w:tcPr>
          <w:p>
            <w:pPr>
              <w:pStyle w:val="para0"/>
              <w:spacing/>
              <w:jc w:val="center"/>
            </w:pPr>
            <w:r>
              <w:t>0,24</w:t>
            </w:r>
          </w:p>
        </w:tc>
        <w:tc>
          <w:tcPr>
            <w:tcW w:w="2040" w:type="dxa"/>
            <w:tcMar>
              <w:top w:w="57" w:type="dxa"/>
              <w:left w:w="57" w:type="dxa"/>
              <w:bottom w:w="57" w:type="dxa"/>
              <w:right w:w="57" w:type="dxa"/>
            </w:tcMar>
            <w:tmTcPr id="1766737683" protected="0"/>
          </w:tcPr>
          <w:p>
            <w:pPr>
              <w:pStyle w:val="para0"/>
              <w:spacing/>
              <w:jc w:val="center"/>
            </w:pPr>
            <w:r>
              <w:t>0,430</w:t>
            </w:r>
          </w:p>
        </w:tc>
        <w:tc>
          <w:tcPr>
            <w:tcW w:w="1369" w:type="dxa"/>
            <w:tcMar>
              <w:top w:w="57" w:type="dxa"/>
              <w:left w:w="57" w:type="dxa"/>
              <w:bottom w:w="57" w:type="dxa"/>
              <w:right w:w="57" w:type="dxa"/>
            </w:tcMar>
            <w:tmTcPr id="1766737683" protected="0"/>
          </w:tcPr>
          <w:p>
            <w:pPr>
              <w:pStyle w:val="para0"/>
              <w:spacing/>
              <w:jc w:val="center"/>
            </w:pPr>
            <w:r>
              <w:t>1:1,8</w:t>
            </w:r>
          </w:p>
        </w:tc>
        <w:tc>
          <w:tcPr>
            <w:tcW w:w="1133" w:type="dxa"/>
            <w:tcMar>
              <w:top w:w="57" w:type="dxa"/>
              <w:left w:w="57" w:type="dxa"/>
              <w:bottom w:w="57" w:type="dxa"/>
              <w:right w:w="57" w:type="dxa"/>
            </w:tcMar>
            <w:tmTcPr id="1766737683" protected="0"/>
          </w:tcPr>
          <w:p>
            <w:pPr>
              <w:pStyle w:val="para0"/>
              <w:spacing/>
              <w:jc w:val="center"/>
              <w:rPr>
                <w:color w:val="007f7f"/>
              </w:rPr>
            </w:pPr>
            <w:r>
              <w:rPr>
                <w:color w:val="007f7f"/>
              </w:rPr>
              <w:t>*</w:t>
            </w:r>
          </w:p>
        </w:tc>
      </w:tr>
      <w:tr>
        <w:trPr>
          <w:tblHeader w:val="0"/>
          <w:cantSplit w:val="0"/>
          <w:trHeight w:val="0" w:hRule="auto"/>
        </w:trPr>
        <w:tc>
          <w:tcPr>
            <w:tcW w:w="2393" w:type="dxa"/>
            <w:tcMar>
              <w:top w:w="57" w:type="dxa"/>
              <w:left w:w="57" w:type="dxa"/>
              <w:bottom w:w="57" w:type="dxa"/>
              <w:right w:w="57" w:type="dxa"/>
            </w:tcMar>
            <w:tmTcPr id="1766737683" protected="0"/>
          </w:tcPr>
          <w:p>
            <w:pPr>
              <w:pStyle w:val="para0"/>
            </w:pPr>
            <w:r>
              <w:t xml:space="preserve">Frischkäse (60% </w:t>
              <w:fldChar w:fldCharType="begin"/>
              <w:instrText xml:space="preserve">XE "Fett" \G </w:instrText>
              <w:fldChar w:fldCharType="end"/>
              <w:t>Fett)</w:t>
            </w:r>
          </w:p>
        </w:tc>
        <w:tc>
          <w:tcPr>
            <w:tcW w:w="2131" w:type="dxa"/>
            <w:tcMar>
              <w:top w:w="57" w:type="dxa"/>
              <w:left w:w="57" w:type="dxa"/>
              <w:bottom w:w="57" w:type="dxa"/>
              <w:right w:w="57" w:type="dxa"/>
            </w:tcMar>
            <w:tmTcPr id="1766737683" protected="0"/>
          </w:tcPr>
          <w:p>
            <w:pPr>
              <w:pStyle w:val="para0"/>
              <w:spacing/>
              <w:jc w:val="center"/>
            </w:pPr>
            <w:r>
              <w:t>0,20</w:t>
            </w:r>
          </w:p>
        </w:tc>
        <w:tc>
          <w:tcPr>
            <w:tcW w:w="2040" w:type="dxa"/>
            <w:tcMar>
              <w:top w:w="57" w:type="dxa"/>
              <w:left w:w="57" w:type="dxa"/>
              <w:bottom w:w="57" w:type="dxa"/>
              <w:right w:w="57" w:type="dxa"/>
            </w:tcMar>
            <w:tmTcPr id="1766737683" protected="0"/>
          </w:tcPr>
          <w:p>
            <w:pPr>
              <w:pStyle w:val="para0"/>
              <w:spacing/>
              <w:jc w:val="center"/>
            </w:pPr>
            <w:r>
              <w:t>0,791</w:t>
            </w:r>
          </w:p>
        </w:tc>
        <w:tc>
          <w:tcPr>
            <w:tcW w:w="1369" w:type="dxa"/>
            <w:tcMar>
              <w:top w:w="57" w:type="dxa"/>
              <w:left w:w="57" w:type="dxa"/>
              <w:bottom w:w="57" w:type="dxa"/>
              <w:right w:w="57" w:type="dxa"/>
            </w:tcMar>
            <w:tmTcPr id="1766737683" protected="0"/>
          </w:tcPr>
          <w:p>
            <w:pPr>
              <w:pStyle w:val="para0"/>
              <w:spacing/>
              <w:jc w:val="center"/>
            </w:pPr>
            <w:r>
              <w:t>1:4</w:t>
            </w:r>
          </w:p>
        </w:tc>
        <w:tc>
          <w:tcPr>
            <w:tcW w:w="1133" w:type="dxa"/>
            <w:tcMar>
              <w:top w:w="57" w:type="dxa"/>
              <w:left w:w="57" w:type="dxa"/>
              <w:bottom w:w="57" w:type="dxa"/>
              <w:right w:w="57" w:type="dxa"/>
            </w:tcMar>
            <w:tmTcPr id="1766737683" protected="0"/>
          </w:tcPr>
          <w:p>
            <w:pPr>
              <w:pStyle w:val="para0"/>
              <w:spacing/>
              <w:jc w:val="center"/>
              <w:rPr>
                <w:color w:val="007f7f"/>
              </w:rPr>
            </w:pPr>
            <w:r>
              <w:rPr>
                <w:color w:val="007f7f"/>
              </w:rPr>
              <w:t>*</w:t>
            </w:r>
          </w:p>
        </w:tc>
      </w:tr>
      <w:tr>
        <w:trPr>
          <w:tblHeader w:val="0"/>
          <w:cantSplit w:val="0"/>
          <w:trHeight w:val="0" w:hRule="auto"/>
        </w:trPr>
        <w:tc>
          <w:tcPr>
            <w:tcW w:w="2393" w:type="dxa"/>
            <w:tcMar>
              <w:top w:w="57" w:type="dxa"/>
              <w:left w:w="57" w:type="dxa"/>
              <w:bottom w:w="57" w:type="dxa"/>
              <w:right w:w="57" w:type="dxa"/>
            </w:tcMar>
            <w:tmTcPr id="1766737683" protected="0"/>
          </w:tcPr>
          <w:p>
            <w:pPr>
              <w:pStyle w:val="para0"/>
            </w:pPr>
            <w:r>
              <w:t xml:space="preserve">Sahne (30% </w:t>
              <w:fldChar w:fldCharType="begin"/>
              <w:instrText xml:space="preserve">XE "Fett" \G </w:instrText>
              <w:fldChar w:fldCharType="end"/>
              <w:t>Fett)</w:t>
            </w:r>
          </w:p>
        </w:tc>
        <w:tc>
          <w:tcPr>
            <w:tcW w:w="2131" w:type="dxa"/>
            <w:tcMar>
              <w:top w:w="57" w:type="dxa"/>
              <w:left w:w="57" w:type="dxa"/>
              <w:bottom w:w="57" w:type="dxa"/>
              <w:right w:w="57" w:type="dxa"/>
            </w:tcMar>
            <w:tmTcPr id="1766737683" protected="0"/>
          </w:tcPr>
          <w:p>
            <w:pPr>
              <w:pStyle w:val="para0"/>
              <w:spacing/>
              <w:jc w:val="center"/>
            </w:pPr>
            <w:r>
              <w:t>0,19</w:t>
            </w:r>
          </w:p>
        </w:tc>
        <w:tc>
          <w:tcPr>
            <w:tcW w:w="2040" w:type="dxa"/>
            <w:tcMar>
              <w:top w:w="57" w:type="dxa"/>
              <w:left w:w="57" w:type="dxa"/>
              <w:bottom w:w="57" w:type="dxa"/>
              <w:right w:w="57" w:type="dxa"/>
            </w:tcMar>
            <w:tmTcPr id="1766737683" protected="0"/>
          </w:tcPr>
          <w:p>
            <w:pPr>
              <w:pStyle w:val="para0"/>
              <w:spacing/>
              <w:jc w:val="center"/>
            </w:pPr>
            <w:r>
              <w:t>0,661</w:t>
            </w:r>
          </w:p>
        </w:tc>
        <w:tc>
          <w:tcPr>
            <w:tcW w:w="1369" w:type="dxa"/>
            <w:tcMar>
              <w:top w:w="57" w:type="dxa"/>
              <w:left w:w="57" w:type="dxa"/>
              <w:bottom w:w="57" w:type="dxa"/>
              <w:right w:w="57" w:type="dxa"/>
            </w:tcMar>
            <w:tmTcPr id="1766737683" protected="0"/>
          </w:tcPr>
          <w:p>
            <w:pPr>
              <w:pStyle w:val="para0"/>
              <w:spacing/>
              <w:jc w:val="center"/>
            </w:pPr>
            <w:r>
              <w:t>1:3,4</w:t>
            </w:r>
          </w:p>
        </w:tc>
        <w:tc>
          <w:tcPr>
            <w:tcW w:w="1133" w:type="dxa"/>
            <w:tcMar>
              <w:top w:w="57" w:type="dxa"/>
              <w:left w:w="57" w:type="dxa"/>
              <w:bottom w:w="57" w:type="dxa"/>
              <w:right w:w="57" w:type="dxa"/>
            </w:tcMar>
            <w:tmTcPr id="1766737683" protected="0"/>
          </w:tcPr>
          <w:p>
            <w:pPr>
              <w:pStyle w:val="para0"/>
              <w:spacing/>
              <w:jc w:val="center"/>
              <w:rPr>
                <w:color w:val="007f7f"/>
              </w:rPr>
            </w:pPr>
            <w:r>
              <w:rPr>
                <w:color w:val="007f7f"/>
              </w:rPr>
              <w:t>*</w:t>
            </w:r>
          </w:p>
        </w:tc>
      </w:tr>
      <w:tr>
        <w:trPr>
          <w:tblHeader w:val="0"/>
          <w:cantSplit w:val="0"/>
          <w:trHeight w:val="0" w:hRule="auto"/>
        </w:trPr>
        <w:tc>
          <w:tcPr>
            <w:tcW w:w="2393" w:type="dxa"/>
            <w:tcMar>
              <w:top w:w="57" w:type="dxa"/>
              <w:left w:w="57" w:type="dxa"/>
              <w:bottom w:w="57" w:type="dxa"/>
              <w:right w:w="57" w:type="dxa"/>
            </w:tcMar>
            <w:tmTcPr id="1766737683" protected="0"/>
          </w:tcPr>
          <w:p>
            <w:pPr>
              <w:pStyle w:val="para0"/>
            </w:pPr>
            <w:r>
              <w:t xml:space="preserve">Joghurt (1,5% </w:t>
              <w:fldChar w:fldCharType="begin"/>
              <w:instrText xml:space="preserve">XE "Fett" \G </w:instrText>
              <w:fldChar w:fldCharType="end"/>
              <w:t>Fett)</w:t>
            </w:r>
          </w:p>
        </w:tc>
        <w:tc>
          <w:tcPr>
            <w:tcW w:w="2131" w:type="dxa"/>
            <w:tcMar>
              <w:top w:w="57" w:type="dxa"/>
              <w:left w:w="57" w:type="dxa"/>
              <w:bottom w:w="57" w:type="dxa"/>
              <w:right w:w="57" w:type="dxa"/>
            </w:tcMar>
            <w:tmTcPr id="1766737683" protected="0"/>
          </w:tcPr>
          <w:p>
            <w:pPr>
              <w:pStyle w:val="para0"/>
              <w:spacing/>
              <w:jc w:val="center"/>
            </w:pPr>
            <w:r>
              <w:t>0,01</w:t>
            </w:r>
          </w:p>
        </w:tc>
        <w:tc>
          <w:tcPr>
            <w:tcW w:w="2040" w:type="dxa"/>
            <w:tcMar>
              <w:top w:w="57" w:type="dxa"/>
              <w:left w:w="57" w:type="dxa"/>
              <w:bottom w:w="57" w:type="dxa"/>
              <w:right w:w="57" w:type="dxa"/>
            </w:tcMar>
            <w:tmTcPr id="1766737683" protected="0"/>
          </w:tcPr>
          <w:p>
            <w:pPr>
              <w:pStyle w:val="para0"/>
              <w:spacing/>
              <w:jc w:val="center"/>
            </w:pPr>
            <w:r>
              <w:t>0,041</w:t>
            </w:r>
          </w:p>
        </w:tc>
        <w:tc>
          <w:tcPr>
            <w:tcW w:w="1369" w:type="dxa"/>
            <w:tcMar>
              <w:top w:w="57" w:type="dxa"/>
              <w:left w:w="57" w:type="dxa"/>
              <w:bottom w:w="57" w:type="dxa"/>
              <w:right w:w="57" w:type="dxa"/>
            </w:tcMar>
            <w:tmTcPr id="1766737683" protected="0"/>
          </w:tcPr>
          <w:p>
            <w:pPr>
              <w:pStyle w:val="para0"/>
              <w:spacing/>
              <w:jc w:val="center"/>
            </w:pPr>
            <w:r>
              <w:t>1:3,7</w:t>
            </w:r>
          </w:p>
        </w:tc>
        <w:tc>
          <w:tcPr>
            <w:tcW w:w="1133" w:type="dxa"/>
            <w:tcMar>
              <w:top w:w="57" w:type="dxa"/>
              <w:left w:w="57" w:type="dxa"/>
              <w:bottom w:w="57" w:type="dxa"/>
              <w:right w:w="57" w:type="dxa"/>
            </w:tcMar>
            <w:tmTcPr id="1766737683" protected="0"/>
          </w:tcPr>
          <w:p>
            <w:pPr>
              <w:pStyle w:val="para0"/>
              <w:spacing/>
              <w:jc w:val="center"/>
              <w:rPr>
                <w:color w:val="007f7f"/>
              </w:rPr>
            </w:pPr>
            <w:r>
              <w:rPr>
                <w:color w:val="007f7f"/>
              </w:rPr>
              <w:t>*</w:t>
            </w:r>
          </w:p>
        </w:tc>
      </w:tr>
      <w:tr>
        <w:trPr>
          <w:tblHeader w:val="0"/>
          <w:cantSplit w:val="0"/>
          <w:trHeight w:val="0" w:hRule="auto"/>
        </w:trPr>
        <w:tc>
          <w:tcPr>
            <w:tcW w:w="2393" w:type="dxa"/>
            <w:tcMar>
              <w:top w:w="57" w:type="dxa"/>
              <w:left w:w="57" w:type="dxa"/>
              <w:bottom w:w="57" w:type="dxa"/>
              <w:right w:w="57" w:type="dxa"/>
            </w:tcMar>
            <w:tmTcPr id="1766737683" protected="0"/>
          </w:tcPr>
          <w:p>
            <w:pPr>
              <w:pStyle w:val="para0"/>
            </w:pPr>
            <w:r>
              <w:t xml:space="preserve">Joghurt (3,5% </w:t>
              <w:fldChar w:fldCharType="begin"/>
              <w:instrText xml:space="preserve">XE "Fett" \G </w:instrText>
              <w:fldChar w:fldCharType="end"/>
              <w:t>Fett)</w:t>
            </w:r>
          </w:p>
        </w:tc>
        <w:tc>
          <w:tcPr>
            <w:tcW w:w="2131" w:type="dxa"/>
            <w:tcMar>
              <w:top w:w="57" w:type="dxa"/>
              <w:left w:w="57" w:type="dxa"/>
              <w:bottom w:w="57" w:type="dxa"/>
              <w:right w:w="57" w:type="dxa"/>
            </w:tcMar>
            <w:tmTcPr id="1766737683" protected="0"/>
          </w:tcPr>
          <w:p>
            <w:pPr>
              <w:pStyle w:val="para0"/>
              <w:spacing/>
              <w:jc w:val="center"/>
            </w:pPr>
            <w:r>
              <w:t>0,06</w:t>
            </w:r>
          </w:p>
        </w:tc>
        <w:tc>
          <w:tcPr>
            <w:tcW w:w="2040" w:type="dxa"/>
            <w:tcMar>
              <w:top w:w="57" w:type="dxa"/>
              <w:left w:w="57" w:type="dxa"/>
              <w:bottom w:w="57" w:type="dxa"/>
              <w:right w:w="57" w:type="dxa"/>
            </w:tcMar>
            <w:tmTcPr id="1766737683" protected="0"/>
          </w:tcPr>
          <w:p>
            <w:pPr>
              <w:pStyle w:val="para0"/>
              <w:spacing/>
              <w:jc w:val="center"/>
            </w:pPr>
            <w:r>
              <w:t>0,090</w:t>
            </w:r>
          </w:p>
        </w:tc>
        <w:tc>
          <w:tcPr>
            <w:tcW w:w="1369" w:type="dxa"/>
            <w:tcMar>
              <w:top w:w="57" w:type="dxa"/>
              <w:left w:w="57" w:type="dxa"/>
              <w:bottom w:w="57" w:type="dxa"/>
              <w:right w:w="57" w:type="dxa"/>
            </w:tcMar>
            <w:tmTcPr id="1766737683" protected="0"/>
          </w:tcPr>
          <w:p>
            <w:pPr>
              <w:pStyle w:val="para0"/>
              <w:spacing/>
              <w:jc w:val="center"/>
            </w:pPr>
            <w:r>
              <w:t>1:1,5</w:t>
            </w:r>
          </w:p>
        </w:tc>
        <w:tc>
          <w:tcPr>
            <w:tcW w:w="1133" w:type="dxa"/>
            <w:tcMar>
              <w:top w:w="57" w:type="dxa"/>
              <w:left w:w="57" w:type="dxa"/>
              <w:bottom w:w="57" w:type="dxa"/>
              <w:right w:w="57" w:type="dxa"/>
            </w:tcMar>
            <w:tmTcPr id="1766737683" protected="0"/>
          </w:tcPr>
          <w:p>
            <w:pPr>
              <w:pStyle w:val="para0"/>
              <w:spacing/>
              <w:jc w:val="center"/>
              <w:rPr>
                <w:color w:val="007f7f"/>
              </w:rPr>
            </w:pPr>
            <w:r>
              <w:rPr>
                <w:color w:val="007f7f"/>
              </w:rPr>
              <w:t>*</w:t>
            </w:r>
          </w:p>
        </w:tc>
      </w:tr>
      <w:tr>
        <w:trPr>
          <w:tblHeader w:val="0"/>
          <w:cantSplit w:val="0"/>
          <w:trHeight w:val="0" w:hRule="auto"/>
        </w:trPr>
        <w:tc>
          <w:tcPr>
            <w:tcW w:w="2393" w:type="dxa"/>
            <w:tcMar>
              <w:top w:w="57" w:type="dxa"/>
              <w:left w:w="57" w:type="dxa"/>
              <w:bottom w:w="57" w:type="dxa"/>
              <w:right w:w="57" w:type="dxa"/>
            </w:tcMar>
            <w:tmTcPr id="1766737683" protected="0"/>
          </w:tcPr>
          <w:p>
            <w:pPr>
              <w:pStyle w:val="para0"/>
            </w:pPr>
            <w:r>
              <w:t xml:space="preserve">Milch (3,5% </w:t>
              <w:fldChar w:fldCharType="begin"/>
              <w:instrText xml:space="preserve">XE "Fett" \G </w:instrText>
              <w:fldChar w:fldCharType="end"/>
              <w:t>Fett)</w:t>
            </w:r>
          </w:p>
        </w:tc>
        <w:tc>
          <w:tcPr>
            <w:tcW w:w="2131" w:type="dxa"/>
            <w:tcMar>
              <w:top w:w="57" w:type="dxa"/>
              <w:left w:w="57" w:type="dxa"/>
              <w:bottom w:w="57" w:type="dxa"/>
              <w:right w:w="57" w:type="dxa"/>
            </w:tcMar>
            <w:tmTcPr id="1766737683" protected="0"/>
          </w:tcPr>
          <w:p>
            <w:pPr>
              <w:pStyle w:val="para0"/>
              <w:spacing/>
              <w:jc w:val="center"/>
            </w:pPr>
            <w:r>
              <w:t>0,03</w:t>
            </w:r>
          </w:p>
        </w:tc>
        <w:tc>
          <w:tcPr>
            <w:tcW w:w="2040" w:type="dxa"/>
            <w:tcMar>
              <w:top w:w="57" w:type="dxa"/>
              <w:left w:w="57" w:type="dxa"/>
              <w:bottom w:w="57" w:type="dxa"/>
              <w:right w:w="57" w:type="dxa"/>
            </w:tcMar>
            <w:tmTcPr id="1766737683" protected="0"/>
          </w:tcPr>
          <w:p>
            <w:pPr>
              <w:pStyle w:val="para0"/>
              <w:spacing/>
              <w:jc w:val="center"/>
            </w:pPr>
            <w:r>
              <w:t>0,050</w:t>
            </w:r>
          </w:p>
        </w:tc>
        <w:tc>
          <w:tcPr>
            <w:tcW w:w="1369" w:type="dxa"/>
            <w:tcMar>
              <w:top w:w="57" w:type="dxa"/>
              <w:left w:w="57" w:type="dxa"/>
              <w:bottom w:w="57" w:type="dxa"/>
              <w:right w:w="57" w:type="dxa"/>
            </w:tcMar>
            <w:tmTcPr id="1766737683" protected="0"/>
          </w:tcPr>
          <w:p>
            <w:pPr>
              <w:pStyle w:val="para0"/>
              <w:spacing/>
              <w:jc w:val="center"/>
            </w:pPr>
            <w:r>
              <w:t>1:1,7</w:t>
            </w:r>
          </w:p>
        </w:tc>
        <w:tc>
          <w:tcPr>
            <w:tcW w:w="1133" w:type="dxa"/>
            <w:tcMar>
              <w:top w:w="57" w:type="dxa"/>
              <w:left w:w="57" w:type="dxa"/>
              <w:bottom w:w="57" w:type="dxa"/>
              <w:right w:w="57" w:type="dxa"/>
            </w:tcMar>
            <w:tmTcPr id="1766737683" protected="0"/>
          </w:tcPr>
          <w:p>
            <w:pPr>
              <w:pStyle w:val="para0"/>
              <w:spacing/>
              <w:jc w:val="center"/>
              <w:rPr>
                <w:color w:val="007f7f"/>
              </w:rPr>
            </w:pPr>
            <w:r>
              <w:rPr>
                <w:color w:val="007f7f"/>
              </w:rPr>
              <w:t>*</w:t>
            </w:r>
          </w:p>
        </w:tc>
      </w:tr>
      <w:tr>
        <w:trPr>
          <w:tblHeader w:val="0"/>
          <w:cantSplit w:val="0"/>
          <w:trHeight w:val="0" w:hRule="auto"/>
        </w:trPr>
        <w:tc>
          <w:tcPr>
            <w:tcW w:w="2393" w:type="dxa"/>
            <w:tcMar>
              <w:top w:w="57" w:type="dxa"/>
              <w:left w:w="57" w:type="dxa"/>
              <w:bottom w:w="57" w:type="dxa"/>
              <w:right w:w="57" w:type="dxa"/>
            </w:tcMar>
            <w:tmTcPr id="1766737683" protected="0"/>
          </w:tcPr>
          <w:p>
            <w:pPr>
              <w:pStyle w:val="para0"/>
            </w:pPr>
            <w:r>
              <w:t>Buttermilch</w:t>
            </w:r>
          </w:p>
        </w:tc>
        <w:tc>
          <w:tcPr>
            <w:tcW w:w="2131" w:type="dxa"/>
            <w:tcMar>
              <w:top w:w="57" w:type="dxa"/>
              <w:left w:w="57" w:type="dxa"/>
              <w:bottom w:w="57" w:type="dxa"/>
              <w:right w:w="57" w:type="dxa"/>
            </w:tcMar>
            <w:tmTcPr id="1766737683" protected="0"/>
          </w:tcPr>
          <w:p>
            <w:pPr>
              <w:pStyle w:val="para0"/>
              <w:spacing/>
              <w:jc w:val="center"/>
            </w:pPr>
            <w:r>
              <w:t>0,01</w:t>
            </w:r>
          </w:p>
        </w:tc>
        <w:tc>
          <w:tcPr>
            <w:tcW w:w="2040" w:type="dxa"/>
            <w:tcMar>
              <w:top w:w="57" w:type="dxa"/>
              <w:left w:w="57" w:type="dxa"/>
              <w:bottom w:w="57" w:type="dxa"/>
              <w:right w:w="57" w:type="dxa"/>
            </w:tcMar>
            <w:tmTcPr id="1766737683" protected="0"/>
          </w:tcPr>
          <w:p>
            <w:pPr>
              <w:pStyle w:val="para0"/>
              <w:spacing/>
              <w:jc w:val="center"/>
            </w:pPr>
            <w:r>
              <w:t>0,012</w:t>
            </w:r>
          </w:p>
        </w:tc>
        <w:tc>
          <w:tcPr>
            <w:tcW w:w="1369" w:type="dxa"/>
            <w:tcMar>
              <w:top w:w="57" w:type="dxa"/>
              <w:left w:w="57" w:type="dxa"/>
              <w:bottom w:w="57" w:type="dxa"/>
              <w:right w:w="57" w:type="dxa"/>
            </w:tcMar>
            <w:tmTcPr id="1766737683" protected="0"/>
          </w:tcPr>
          <w:p>
            <w:pPr>
              <w:pStyle w:val="para0"/>
              <w:spacing/>
              <w:jc w:val="center"/>
            </w:pPr>
            <w:r>
              <w:t>1:1,7</w:t>
            </w:r>
          </w:p>
        </w:tc>
        <w:tc>
          <w:tcPr>
            <w:tcW w:w="1133" w:type="dxa"/>
            <w:tcMar>
              <w:top w:w="57" w:type="dxa"/>
              <w:left w:w="57" w:type="dxa"/>
              <w:bottom w:w="57" w:type="dxa"/>
              <w:right w:w="57" w:type="dxa"/>
            </w:tcMar>
            <w:tmTcPr id="1766737683" protected="0"/>
          </w:tcPr>
          <w:p>
            <w:pPr>
              <w:pStyle w:val="para0"/>
              <w:spacing/>
              <w:jc w:val="center"/>
              <w:rPr>
                <w:color w:val="007f7f"/>
              </w:rPr>
            </w:pPr>
            <w:r>
              <w:rPr>
                <w:color w:val="007f7f"/>
              </w:rPr>
              <w:t>*</w:t>
            </w:r>
          </w:p>
        </w:tc>
      </w:tr>
      <w:tr>
        <w:trPr>
          <w:tblHeader w:val="0"/>
          <w:cantSplit w:val="0"/>
          <w:trHeight w:val="0" w:hRule="auto"/>
        </w:trPr>
        <w:tc>
          <w:tcPr>
            <w:tcW w:w="2393" w:type="dxa"/>
            <w:tcMar>
              <w:top w:w="57" w:type="dxa"/>
              <w:left w:w="57" w:type="dxa"/>
              <w:bottom w:w="57" w:type="dxa"/>
              <w:right w:w="57" w:type="dxa"/>
            </w:tcMar>
            <w:tmTcPr id="1766737683" protected="0"/>
          </w:tcPr>
          <w:p>
            <w:pPr>
              <w:pStyle w:val="para0"/>
            </w:pPr>
            <w:r>
              <w:t>Magerquark</w:t>
            </w:r>
          </w:p>
        </w:tc>
        <w:tc>
          <w:tcPr>
            <w:tcW w:w="2131" w:type="dxa"/>
            <w:tcMar>
              <w:top w:w="57" w:type="dxa"/>
              <w:left w:w="57" w:type="dxa"/>
              <w:bottom w:w="57" w:type="dxa"/>
              <w:right w:w="57" w:type="dxa"/>
            </w:tcMar>
            <w:tmTcPr id="1766737683" protected="0"/>
          </w:tcPr>
          <w:p>
            <w:pPr>
              <w:pStyle w:val="para0"/>
              <w:spacing/>
              <w:jc w:val="center"/>
            </w:pPr>
            <w:r>
              <w:t>0,003</w:t>
            </w:r>
          </w:p>
        </w:tc>
        <w:tc>
          <w:tcPr>
            <w:tcW w:w="2040" w:type="dxa"/>
            <w:tcMar>
              <w:top w:w="57" w:type="dxa"/>
              <w:left w:w="57" w:type="dxa"/>
              <w:bottom w:w="57" w:type="dxa"/>
              <w:right w:w="57" w:type="dxa"/>
            </w:tcMar>
            <w:tmTcPr id="1766737683" protected="0"/>
          </w:tcPr>
          <w:p>
            <w:pPr>
              <w:pStyle w:val="para0"/>
              <w:spacing/>
              <w:jc w:val="center"/>
            </w:pPr>
            <w:r>
              <w:t>0,006</w:t>
            </w:r>
          </w:p>
        </w:tc>
        <w:tc>
          <w:tcPr>
            <w:tcW w:w="1369" w:type="dxa"/>
            <w:tcMar>
              <w:top w:w="57" w:type="dxa"/>
              <w:left w:w="57" w:type="dxa"/>
              <w:bottom w:w="57" w:type="dxa"/>
              <w:right w:w="57" w:type="dxa"/>
            </w:tcMar>
            <w:tmTcPr id="1766737683" protected="0"/>
          </w:tcPr>
          <w:p>
            <w:pPr>
              <w:pStyle w:val="para0"/>
              <w:spacing/>
              <w:jc w:val="center"/>
            </w:pPr>
            <w:r>
              <w:t>1:2</w:t>
            </w:r>
          </w:p>
        </w:tc>
        <w:tc>
          <w:tcPr>
            <w:tcW w:w="1133" w:type="dxa"/>
            <w:tcMar>
              <w:top w:w="57" w:type="dxa"/>
              <w:left w:w="57" w:type="dxa"/>
              <w:bottom w:w="57" w:type="dxa"/>
              <w:right w:w="57" w:type="dxa"/>
            </w:tcMar>
            <w:tmTcPr id="1766737683" protected="0"/>
          </w:tcPr>
          <w:p>
            <w:pPr>
              <w:pStyle w:val="para0"/>
              <w:spacing/>
              <w:jc w:val="center"/>
              <w:rPr>
                <w:color w:val="007f7f"/>
              </w:rPr>
            </w:pPr>
            <w:r>
              <w:rPr>
                <w:color w:val="007f7f"/>
              </w:rPr>
              <w:t>*</w:t>
            </w:r>
          </w:p>
        </w:tc>
      </w:tr>
    </w:tbl>
    <w:p>
      <w:pPr>
        <w:pStyle w:val="para4"/>
        <w:numPr>
          <w:ilvl w:val="3"/>
          <w:numId w:val="1"/>
        </w:numPr>
        <w:ind w:left="1077" w:hanging="1077"/>
      </w:pPr>
      <w:bookmarkStart w:id="101" w:name="_TOC000294"/>
      <w:r>
        <w:t>So verringerst du den Anteil an Omega-6-</w:t>
        <w:fldChar w:fldCharType="begin"/>
        <w:instrText xml:space="preserve">XE "Fettsäuren" \G </w:instrText>
        <w:fldChar w:fldCharType="end"/>
        <w:t>Fettsäuren</w:t>
      </w:r>
      <w:bookmarkEnd w:id="101"/>
      <w:r/>
    </w:p>
    <w:p>
      <w:r>
        <w:t>Um den Anteil an Omega-6-</w:t>
        <w:fldChar w:fldCharType="begin"/>
        <w:instrText xml:space="preserve">XE "Fettsäuren" \G </w:instrText>
        <w:fldChar w:fldCharType="end"/>
        <w:t xml:space="preserve">Fettsäuren zu verringern, solltest du ab sofort keine Pflanzenöle mehr mit hohem Omega-6-Anteil verwenden. </w:t>
      </w:r>
    </w:p>
    <w:p>
      <w:r>
        <w:t xml:space="preserve">Streich von der Einkaufsliste </w:t>
      </w:r>
    </w:p>
    <w:p>
      <w:pPr>
        <w:pStyle w:val="para28"/>
        <w:numPr>
          <w:ilvl w:val="0"/>
          <w:numId w:val="3"/>
        </w:numPr>
        <w:ind w:left="794" w:hanging="197"/>
      </w:pPr>
      <w:r>
        <w:t xml:space="preserve">Distelöl, </w:t>
      </w:r>
    </w:p>
    <w:p>
      <w:pPr>
        <w:pStyle w:val="para28"/>
        <w:numPr>
          <w:ilvl w:val="0"/>
          <w:numId w:val="3"/>
        </w:numPr>
        <w:ind w:left="794" w:hanging="197"/>
      </w:pPr>
      <w:r>
        <w:t xml:space="preserve">Sonnenblumenöl, </w:t>
      </w:r>
    </w:p>
    <w:p>
      <w:pPr>
        <w:pStyle w:val="para28"/>
        <w:numPr>
          <w:ilvl w:val="0"/>
          <w:numId w:val="3"/>
        </w:numPr>
        <w:ind w:left="794" w:hanging="197"/>
      </w:pPr>
      <w:r>
        <w:t xml:space="preserve">Maiskeimöl und </w:t>
      </w:r>
    </w:p>
    <w:p>
      <w:pPr>
        <w:pStyle w:val="para28"/>
        <w:numPr>
          <w:ilvl w:val="0"/>
          <w:numId w:val="3"/>
        </w:numPr>
        <w:ind w:left="794" w:hanging="197"/>
      </w:pPr>
      <w:r>
        <w:t xml:space="preserve">Sojaöl </w:t>
      </w:r>
    </w:p>
    <w:p>
      <w:r>
        <w:t>und reduziere den Konsum von Fertigprodukten.</w:t>
      </w:r>
    </w:p>
    <w:p>
      <w:r>
        <w:rPr>
          <w:noProof/>
        </w:rPr>
        <w:drawing>
          <wp:inline distT="0" distB="0" distL="0" distR="0">
            <wp:extent cx="5349875" cy="3066415"/>
            <wp:effectExtent l="0" t="0" r="0" b="0"/>
            <wp:docPr id="11" name="Grafik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65"/>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MAwAAB6IAAAAAAAAAAAAAAQAAAAAAAAAAAAAAAQAAAAAAAAAAAAAA6SAAAN0SAAAAAAAAAAAAAAAAAAAoAAAACAAAAAEAAAABAAAAMAAAABQAAAAAAAAAAAD//wAAAQAAAP//AAABAA=="/>
                        </a:ext>
                      </a:extLst>
                    </pic:cNvPicPr>
                  </pic:nvPicPr>
                  <pic:blipFill>
                    <a:blip r:embed="rId56"/>
                    <a:stretch>
                      <a:fillRect/>
                    </a:stretch>
                  </pic:blipFill>
                  <pic:spPr>
                    <a:xfrm>
                      <a:off x="0" y="0"/>
                      <a:ext cx="5349875" cy="3066415"/>
                    </a:xfrm>
                    <a:prstGeom prst="rect">
                      <a:avLst/>
                    </a:prstGeom>
                    <a:noFill/>
                    <a:ln w="12700">
                      <a:noFill/>
                    </a:ln>
                  </pic:spPr>
                </pic:pic>
              </a:graphicData>
            </a:graphic>
          </wp:inline>
        </w:drawing>
      </w:r>
      <w:r/>
    </w:p>
    <w:p>
      <w:r>
        <w:t>Quelle: Steffny und Dr. Feil: Die Lauf-Diät, Seite 30</w:t>
      </w:r>
    </w:p>
    <w:p>
      <w:r>
        <w:t>Fertigprodukte enthalten meistens viele Omega-6-</w:t>
        <w:fldChar w:fldCharType="begin"/>
        <w:instrText xml:space="preserve">XE "Fettsäuren" \G </w:instrText>
        <w:fldChar w:fldCharType="end"/>
        <w:t>Fettsäuren und stören das Gleichgewicht in deinem Körper. Getreide enthält zudem ein ungünstiges Verhältnis an Omega-6- zu Omega-3-</w:t>
        <w:fldChar w:fldCharType="begin"/>
        <w:instrText xml:space="preserve">XE "Fettsäuren" \G </w:instrText>
        <w:fldChar w:fldCharType="end"/>
        <w:t>Fettsäuren.</w:t>
      </w:r>
    </w:p>
    <w:p>
      <w:r>
        <w:t>Wusstest du, dass dein Gehirn zu 1:1 aus Omega-6- zu Omega-3-</w:t>
        <w:fldChar w:fldCharType="begin"/>
        <w:instrText xml:space="preserve">XE "Fettsäuren" \G </w:instrText>
        <w:fldChar w:fldCharType="end"/>
        <w:t>Fettsäuren besteht, Fettzellen jedoch ein Verhältnis von 4:1 aufweisen? Entscheide selbst: mehr Hirn oder mehr Fettzellen.</w:t>
      </w:r>
    </w:p>
    <w:p>
      <w:pPr>
        <w:pStyle w:val="para4"/>
        <w:numPr>
          <w:ilvl w:val="3"/>
          <w:numId w:val="1"/>
        </w:numPr>
        <w:ind w:left="1077" w:hanging="1077"/>
      </w:pPr>
      <w:bookmarkStart w:id="102" w:name="_TOC000245"/>
      <w:r>
        <w:t>So erhöhst du den Anteil an Omega-3-</w:t>
        <w:fldChar w:fldCharType="begin"/>
        <w:instrText xml:space="preserve">XE "Fettsäuren" \G </w:instrText>
        <w:fldChar w:fldCharType="end"/>
        <w:t>Fettsäuren</w:t>
      </w:r>
      <w:bookmarkEnd w:id="102"/>
      <w:r/>
    </w:p>
    <w:p>
      <w:r>
        <w:t>Um den Anteil an Omega-3-</w:t>
        <w:fldChar w:fldCharType="begin"/>
        <w:instrText xml:space="preserve">XE "Fettsäuren" \G </w:instrText>
        <w:fldChar w:fldCharType="end"/>
        <w:t xml:space="preserve">Fettsäuren zu erhöhen, solltest du mindestens 2-mal pro Woche Fisch essen, täglich Speiseleinöl verwenden und zusätzlich Fleisch und </w:t>
        <w:fldChar w:fldCharType="begin"/>
        <w:instrText xml:space="preserve">XE "Milchprodukte" \G </w:instrText>
        <w:fldChar w:fldCharType="end"/>
        <w:t>Milchprodukte vorwiegend von Weidetieren verzehren.</w:t>
      </w:r>
    </w:p>
    <w:p>
      <w:r>
        <w:rPr>
          <w:b/>
          <w:bCs/>
        </w:rPr>
        <w:t>Fisch</w:t>
      </w:r>
      <w:r>
        <w:t>:</w:t>
      </w:r>
    </w:p>
    <w:p>
      <w:pPr>
        <w:ind w:left="340"/>
      </w:pPr>
      <w:r>
        <w:t>Omega-3-</w:t>
        <w:fldChar w:fldCharType="begin"/>
        <w:instrText xml:space="preserve">XE "Fettsäuren" \G </w:instrText>
        <w:fldChar w:fldCharType="end"/>
        <w:t xml:space="preserve">Fettsäuren kommen hauptsächlich in Fisch vor. Iss deshalb zwei bis dreimal pro Woche eine gute Portion Fisch, bevorzugt </w:t>
      </w:r>
    </w:p>
    <w:p>
      <w:pPr>
        <w:pStyle w:val="para28"/>
        <w:numPr>
          <w:ilvl w:val="0"/>
          <w:numId w:val="3"/>
        </w:numPr>
        <w:ind w:left="1020" w:hanging="197"/>
      </w:pPr>
      <w:r>
        <w:t xml:space="preserve">Makrele, </w:t>
      </w:r>
    </w:p>
    <w:p>
      <w:pPr>
        <w:pStyle w:val="para28"/>
        <w:numPr>
          <w:ilvl w:val="0"/>
          <w:numId w:val="3"/>
        </w:numPr>
        <w:ind w:left="1020" w:hanging="197"/>
      </w:pPr>
      <w:r>
        <w:t xml:space="preserve">Hering, </w:t>
      </w:r>
    </w:p>
    <w:p>
      <w:pPr>
        <w:pStyle w:val="para28"/>
        <w:numPr>
          <w:ilvl w:val="0"/>
          <w:numId w:val="3"/>
        </w:numPr>
        <w:ind w:left="1020" w:hanging="197"/>
      </w:pPr>
      <w:r>
        <w:t xml:space="preserve">Seelachs oder </w:t>
      </w:r>
    </w:p>
    <w:p>
      <w:pPr>
        <w:pStyle w:val="para28"/>
        <w:numPr>
          <w:ilvl w:val="0"/>
          <w:numId w:val="3"/>
        </w:numPr>
        <w:ind w:left="1020" w:hanging="197"/>
      </w:pPr>
      <w:r>
        <w:t xml:space="preserve">Forelle. </w:t>
      </w:r>
    </w:p>
    <w:p>
      <w:pPr>
        <w:ind w:left="340"/>
      </w:pPr>
      <w:r>
        <w:t>Diese Fischarten sind ökologisch unbedenklich, weil sie im Gegensatz zu Thunfisch nicht überfischt und nicht schwermetallbelastet sind.</w:t>
      </w:r>
    </w:p>
    <w:p>
      <w:pPr>
        <w:ind w:left="340"/>
      </w:pPr>
      <w:r>
        <w:rPr>
          <w:b/>
          <w:bCs/>
        </w:rPr>
        <w:t>Übrigens</w:t>
      </w:r>
      <w:r>
        <w:t>: Wildfang enthält mehr Omega-3-</w:t>
        <w:fldChar w:fldCharType="begin"/>
        <w:instrText xml:space="preserve">XE "Fettsäuren" \G </w:instrText>
        <w:fldChar w:fldCharType="end"/>
        <w:t>Fettsäuren als gezüchteter Fisch aus Aquakulturen und keine Antibiotika. Wenn du keinen Fisch magst, kannst du dir auch mit Fischölkapseln oder noch besser mit hochwertigen Krill-Öl-Kapseln helfen (mindestens 1g täglich).</w:t>
      </w:r>
    </w:p>
    <w:p>
      <w:r>
        <w:rPr>
          <w:b/>
          <w:bCs/>
        </w:rPr>
        <w:t>Nüsse und Samen mit natürlichen Omega-3-Anteilen</w:t>
      </w:r>
      <w:r>
        <w:t>:</w:t>
      </w:r>
    </w:p>
    <w:p>
      <w:pPr>
        <w:ind w:left="340"/>
      </w:pPr>
      <w:r>
        <w:t xml:space="preserve">Nüsse und Samen wie </w:t>
      </w:r>
    </w:p>
    <w:p>
      <w:pPr>
        <w:pStyle w:val="para28"/>
        <w:numPr>
          <w:ilvl w:val="0"/>
          <w:numId w:val="3"/>
        </w:numPr>
        <w:ind w:left="1020" w:hanging="197"/>
      </w:pPr>
      <w:r>
        <w:t xml:space="preserve">Leinsamen, </w:t>
      </w:r>
    </w:p>
    <w:p>
      <w:pPr>
        <w:pStyle w:val="para28"/>
        <w:numPr>
          <w:ilvl w:val="0"/>
          <w:numId w:val="3"/>
        </w:numPr>
        <w:ind w:left="1020" w:hanging="197"/>
      </w:pPr>
      <w:r>
        <w:t xml:space="preserve">Hanfnüsse und </w:t>
      </w:r>
    </w:p>
    <w:p>
      <w:pPr>
        <w:pStyle w:val="para28"/>
        <w:numPr>
          <w:ilvl w:val="0"/>
          <w:numId w:val="3"/>
        </w:numPr>
        <w:ind w:left="1020" w:hanging="197"/>
      </w:pPr>
      <w:r>
        <w:t xml:space="preserve">Walnüsse </w:t>
      </w:r>
    </w:p>
    <w:p>
      <w:pPr>
        <w:ind w:left="340"/>
      </w:pPr>
      <w:r>
        <w:t>enthalten ebenso Omega-3-</w:t>
        <w:fldChar w:fldCharType="begin"/>
        <w:instrText xml:space="preserve">XE "Fettsäuren" \G </w:instrText>
        <w:fldChar w:fldCharType="end"/>
        <w:t xml:space="preserve">Fettsäuren. Daher solltest du diese Nüsse und Samen und daraus hergestellte Speiseöle reichlich in Salat sowie Quarkspeisen verwenden. Das Omega-3-reichste Öl ist dabei Speiseleinöl, mit 54 %, gefolgt vom Hanfnussöl mit 20 % und dem Walnussöl mit 12 % Omega-3-Fettsäureanteil. Da Omega-3-haltige Speiseöle nicht hitzestabil sind, solltest du diese Öle nur in der kalten Küche verwenden. </w:t>
      </w:r>
    </w:p>
    <w:p>
      <w:pPr>
        <w:ind w:left="340"/>
      </w:pPr>
      <w:r>
        <w:rPr>
          <w:b/>
          <w:bCs/>
        </w:rPr>
        <w:t>Übrigens</w:t>
      </w:r>
      <w:r>
        <w:t>: Viele mögen Leinöl nicht, weil sie finden, dass es bitter und schnell ranzig schmeckt. Wenn es ranzig schmeckt, ist es nicht mehr frisch. Da Speiseleinöl zu den lichtempfindlichsten Ölen gehört und leicht oxidiert, sollte Speiseleinöl im Kühlschrank aufbewahrt werden. Achte beim Kauf darauf, dass dein Leinöl schonend und nicht mit hohem Druck gepresst wird, denn dadurch erwärmt sich das Öl und Nährstoffe gehen verloren.</w:t>
      </w:r>
    </w:p>
    <w:p>
      <w:pPr>
        <w:spacing/>
        <w:jc w:val="center"/>
      </w:pPr>
      <w:r>
        <w:rPr>
          <w:noProof/>
        </w:rPr>
        <w:drawing>
          <wp:inline distT="0" distB="0" distL="0" distR="0">
            <wp:extent cx="5034915" cy="2581275"/>
            <wp:effectExtent l="0" t="0" r="0" b="0"/>
            <wp:docPr id="12" name="Grafik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66"/>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GojAAAoEgAAaiMAACgS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wAAB6IAAAAAAAAAAAAAAQAAAAAAAAAAAAAAAQAAAAAAAAAAAAAA+R4AAOEPAAAAAAAAAAAAAAAAAAAoAAAACAAAAAEAAAABAAAAMAAAABQAAAAAAAAAAAD//wAAAQAAAP//AAABAA=="/>
                        </a:ext>
                      </a:extLst>
                    </pic:cNvPicPr>
                  </pic:nvPicPr>
                  <pic:blipFill>
                    <a:blip r:embed="rId57"/>
                    <a:stretch>
                      <a:fillRect/>
                    </a:stretch>
                  </pic:blipFill>
                  <pic:spPr>
                    <a:xfrm>
                      <a:off x="0" y="0"/>
                      <a:ext cx="5034915" cy="2581275"/>
                    </a:xfrm>
                    <a:prstGeom prst="rect">
                      <a:avLst/>
                    </a:prstGeom>
                    <a:noFill/>
                    <a:ln w="12700">
                      <a:noFill/>
                    </a:ln>
                  </pic:spPr>
                </pic:pic>
              </a:graphicData>
            </a:graphic>
          </wp:inline>
        </w:drawing>
      </w:r>
      <w:r/>
    </w:p>
    <w:p>
      <w:r>
        <w:t>Quelle: Steffny und Dr. Feil: Die Lauf-Diät, Seite 28</w:t>
      </w:r>
    </w:p>
    <w:p>
      <w:pPr>
        <w:spacing/>
        <w:jc w:val="center"/>
      </w:pPr>
      <w:r>
        <w:rPr>
          <w:noProof/>
        </w:rPr>
        <w:drawing>
          <wp:inline distT="0" distB="0" distL="0" distR="0">
            <wp:extent cx="4720590" cy="3240405"/>
            <wp:effectExtent l="0" t="0" r="0" b="0"/>
            <wp:docPr id="13" name="Grafik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67"/>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jAwAAB6IAAAAAAAAAAAAAAQAAAAAAAAAAAAAAAQAAAAAAAAAAAAAACh0AAO8TAAAAAAAAAAAAAAAAAAAoAAAACAAAAAEAAAABAAAAMAAAABQAAAAAAAAAAAD//wAAAQAAAP//AAABAA=="/>
                        </a:ext>
                      </a:extLst>
                    </pic:cNvPicPr>
                  </pic:nvPicPr>
                  <pic:blipFill>
                    <a:blip r:embed="rId58"/>
                    <a:stretch>
                      <a:fillRect/>
                    </a:stretch>
                  </pic:blipFill>
                  <pic:spPr>
                    <a:xfrm>
                      <a:off x="0" y="0"/>
                      <a:ext cx="4720590" cy="3240405"/>
                    </a:xfrm>
                    <a:prstGeom prst="rect">
                      <a:avLst/>
                    </a:prstGeom>
                    <a:noFill/>
                    <a:ln w="12700">
                      <a:noFill/>
                    </a:ln>
                  </pic:spPr>
                </pic:pic>
              </a:graphicData>
            </a:graphic>
          </wp:inline>
        </w:drawing>
      </w:r>
      <w:r/>
    </w:p>
    <w:p>
      <w:r>
        <w:t>Quelle: Steffny und Dr. Feil: Die Lauf-Diät, Seite 31</w:t>
      </w:r>
    </w:p>
    <w:p>
      <w:r/>
    </w:p>
    <w:p>
      <w:r>
        <w:rPr>
          <w:noProof/>
        </w:rPr>
        <w:drawing>
          <wp:inline distT="0" distB="0" distL="0" distR="0">
            <wp:extent cx="4840605" cy="2642870"/>
            <wp:effectExtent l="0" t="0" r="0" b="0"/>
            <wp:docPr id="14" name="Grafik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29"/>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mAwAAB6IAAAAAAAAAAAAAAQAAAAAAAAAAAAAAAQAAAAAAAAAAAAAAxx0AAEIQAAAAAAAAAAAAAAAAAAAoAAAACAAAAAEAAAABAAAAMAAAABQAAAAAAAAAAAD//wAAAQAAAP//AAABAA=="/>
                        </a:ext>
                      </a:extLst>
                    </pic:cNvPicPr>
                  </pic:nvPicPr>
                  <pic:blipFill>
                    <a:blip r:embed="rId59"/>
                    <a:stretch>
                      <a:fillRect/>
                    </a:stretch>
                  </pic:blipFill>
                  <pic:spPr>
                    <a:xfrm>
                      <a:off x="0" y="0"/>
                      <a:ext cx="4840605" cy="2642870"/>
                    </a:xfrm>
                    <a:prstGeom prst="rect">
                      <a:avLst/>
                    </a:prstGeom>
                    <a:noFill/>
                    <a:ln w="12700">
                      <a:noFill/>
                    </a:ln>
                  </pic:spPr>
                </pic:pic>
              </a:graphicData>
            </a:graphic>
          </wp:inline>
        </w:drawing>
      </w:r>
      <w:r/>
    </w:p>
    <w:p>
      <w:pPr>
        <w:spacing/>
        <w:jc w:val="center"/>
      </w:pPr>
      <w:r>
        <w:t>Quelle: Dr. Wolfgang Feil, Friederike Feil: Die F-AS-T Formel, Seite 29</w:t>
      </w:r>
    </w:p>
    <w:p>
      <w:pPr>
        <w:pStyle w:val="para3"/>
        <w:numPr>
          <w:ilvl w:val="2"/>
          <w:numId w:val="1"/>
        </w:numPr>
        <w:ind w:left="720" w:hanging="720"/>
      </w:pPr>
      <w:bookmarkStart w:id="103" w:name="_TOC000313"/>
      <w:r>
        <w:t>Fazit</w:t>
      </w:r>
      <w:bookmarkEnd w:id="103"/>
      <w:r/>
    </w:p>
    <w:p>
      <w:pPr>
        <w:pStyle w:val="para17"/>
        <w:numPr>
          <w:ilvl w:val="1"/>
          <w:numId w:val="2"/>
        </w:numPr>
        <w:ind w:left="397" w:hanging="197"/>
      </w:pPr>
      <w:r>
        <w:t>Bei Milchprodukten auf Vollfettvarianten zurückgreifen.</w:t>
      </w:r>
    </w:p>
    <w:p>
      <w:pPr>
        <w:pStyle w:val="para17"/>
        <w:numPr>
          <w:ilvl w:val="1"/>
          <w:numId w:val="2"/>
        </w:numPr>
        <w:ind w:left="397" w:hanging="197"/>
      </w:pPr>
      <w:r>
        <w:fldChar w:fldCharType="begin"/>
        <w:instrText xml:space="preserve">XE "Transfettsäuren" \G </w:instrText>
        <w:fldChar w:fldCharType="end"/>
        <w:t>Transfettsäuren entstehen bei der Härtung pflanzlicher Öle.</w:t>
      </w:r>
    </w:p>
    <w:p>
      <w:r>
        <w:t xml:space="preserve">Diese künstlichen </w:t>
        <w:fldChar w:fldCharType="begin"/>
        <w:instrText xml:space="preserve">XE "Transfettsäuren" \G </w:instrText>
        <w:fldChar w:fldCharType="end"/>
        <w:t>Transfettsäuren erhöhen das Risiko für Herz- und Darmerkrankungen.</w:t>
      </w:r>
    </w:p>
    <w:p>
      <w:r>
        <w:t xml:space="preserve">Ein Lebensmittel mit </w:t>
        <w:fldChar w:fldCharType="begin"/>
        <w:instrText xml:space="preserve">XE "Transfettsäuren" \G </w:instrText>
        <w:fldChar w:fldCharType="end"/>
        <w:t>Transfettsäuren ist an der Zutat »pflanzliches Öl, teilweise gehärtet« einfach zu erkennen (sehen Sie in der Zutatenliste nach - es besteht Kennzeichnungspflicht).</w:t>
      </w:r>
    </w:p>
    <w:p>
      <w:r>
        <w:fldChar w:fldCharType="begin"/>
        <w:instrText xml:space="preserve">XE "Transfettsäuren" \G </w:instrText>
        <w:fldChar w:fldCharType="end"/>
        <w:t>Transfettsäuren sind in stark verarbeiteten Lebensmitteln und Fertiggerichten reichlich vorhanden.</w:t>
      </w:r>
    </w:p>
    <w:p>
      <w:r>
        <w:t>Auf die "Omega-6 zu Omega-3-Balance" achten.</w:t>
      </w:r>
    </w:p>
    <w:p>
      <w:pPr>
        <w:pStyle w:val="para2"/>
        <w:numPr>
          <w:ilvl w:val="1"/>
          <w:numId w:val="1"/>
        </w:numPr>
        <w:ind w:left="576" w:hanging="576"/>
      </w:pPr>
      <w:r>
        <w:br w:type="page"/>
      </w:r>
      <w:bookmarkStart w:id="104" w:name="_TOC000345"/>
      <w:r>
        <w:fldChar w:fldCharType="begin"/>
        <w:instrText xml:space="preserve">XE "Mikronährstoffe" \G </w:instrText>
        <w:fldChar w:fldCharType="end"/>
        <w:t>Mikronährstoffe</w:t>
      </w:r>
      <w:bookmarkEnd w:id="104"/>
      <w:r/>
    </w:p>
    <w:p>
      <w:r>
        <w:fldChar w:fldCharType="begin"/>
        <w:instrText xml:space="preserve">XE "Mikronährstoffe" \G </w:instrText>
        <w:fldChar w:fldCharType="end"/>
        <w:t>Mikronährstoffe sind lebenswichtige Stoffe (</w:t>
        <w:fldChar w:fldCharType="begin"/>
        <w:instrText xml:space="preserve">XE "Vitamine" \G </w:instrText>
        <w:fldChar w:fldCharType="end"/>
        <w:t xml:space="preserve">Vitamine, </w:t>
        <w:fldChar w:fldCharType="begin"/>
        <w:instrText xml:space="preserve">XE "Mineralstoffe" \G </w:instrText>
        <w:fldChar w:fldCharType="end"/>
        <w:t xml:space="preserve">Mineralstoffe, Spurenelemente, sekundäre Pflanzenstoffe), die der Körper nur in geringen Mengen braucht, aber nicht selbst herstellen kann und daher über die Nahrung aufnehmen muss. Sie liefern keine Energie, sind aber entscheidend für Stoffwechsel, Zellwachstum, Immunsystem und alle grundlegenden Körperfunktionen, indem sie als Kofaktoren, </w:t>
        <w:fldChar w:fldCharType="begin"/>
        <w:instrText xml:space="preserve">XE "Antioxidantien" \G </w:instrText>
        <w:fldChar w:fldCharType="end"/>
        <w:t>Antioxidantien oder Bausteine wirken. Eine ausgewogene Ernährung mit viel Obst und Gemüse deckt den Bedarf, aber Mangelerscheinungen können bei bestimmten Risikogruppen auftreten.</w:t>
      </w:r>
    </w:p>
    <w:p>
      <w:r>
        <w:t xml:space="preserve">Zu den Mikronährstoffen zählen: </w:t>
      </w:r>
    </w:p>
    <w:p>
      <w:pPr>
        <w:pStyle w:val="para28"/>
        <w:numPr>
          <w:ilvl w:val="1"/>
          <w:numId w:val="2"/>
        </w:numPr>
        <w:ind w:left="397" w:hanging="197"/>
      </w:pPr>
      <w:r>
        <w:fldChar w:fldCharType="begin"/>
        <w:instrText xml:space="preserve">XE "Vitamine" \G </w:instrText>
        <w:fldChar w:fldCharType="end"/>
        <w:t>Vitamine (fettlösliche und wasserlösliche)</w:t>
      </w:r>
    </w:p>
    <w:p>
      <w:pPr>
        <w:pStyle w:val="para28"/>
        <w:numPr>
          <w:ilvl w:val="1"/>
          <w:numId w:val="2"/>
        </w:numPr>
        <w:ind w:left="397" w:hanging="197"/>
      </w:pPr>
      <w:r>
        <w:fldChar w:fldCharType="begin"/>
        <w:instrText xml:space="preserve">XE "Mineralstoffe" \G </w:instrText>
        <w:fldChar w:fldCharType="end"/>
        <w:t>Mineralstoffe</w:t>
      </w:r>
    </w:p>
    <w:p>
      <w:pPr>
        <w:pStyle w:val="para28"/>
        <w:numPr>
          <w:ilvl w:val="1"/>
          <w:numId w:val="2"/>
        </w:numPr>
        <w:ind w:left="397" w:hanging="197"/>
      </w:pPr>
      <w:r>
        <w:t>Spurenelemente</w:t>
      </w:r>
    </w:p>
    <w:p>
      <w:pPr>
        <w:pStyle w:val="para3"/>
        <w:numPr>
          <w:ilvl w:val="2"/>
          <w:numId w:val="1"/>
        </w:numPr>
        <w:ind w:left="720" w:hanging="720"/>
      </w:pPr>
      <w:bookmarkStart w:id="105" w:name="_TOC000346"/>
      <w:r>
        <w:t>Funktionen und Bedeutung</w:t>
      </w:r>
      <w:bookmarkEnd w:id="105"/>
      <w:r/>
    </w:p>
    <w:p>
      <w:r>
        <w:fldChar w:fldCharType="begin"/>
        <w:instrText xml:space="preserve">XE "Mikronährstoffe" \G </w:instrText>
        <w:fldChar w:fldCharType="end"/>
        <w:t xml:space="preserve">Mikronährstoffe sind an fast allen Prozessen im Körper beteiligt: </w:t>
      </w:r>
    </w:p>
    <w:p>
      <w:pPr>
        <w:pStyle w:val="para17"/>
        <w:numPr>
          <w:ilvl w:val="1"/>
          <w:numId w:val="2"/>
        </w:numPr>
        <w:ind w:left="397" w:hanging="197"/>
      </w:pPr>
      <w:r>
        <w:rPr>
          <w:b/>
          <w:bCs/>
        </w:rPr>
        <w:t>Stoffwechsel:</w:t>
      </w:r>
      <w:r>
        <w:t xml:space="preserve"> Sie sind an der Verwertung von Makronährstoffen beteiligt.</w:t>
      </w:r>
    </w:p>
    <w:p>
      <w:pPr>
        <w:pStyle w:val="para17"/>
        <w:numPr>
          <w:ilvl w:val="1"/>
          <w:numId w:val="2"/>
        </w:numPr>
        <w:ind w:left="397" w:hanging="197"/>
      </w:pPr>
      <w:r>
        <w:rPr>
          <w:b/>
          <w:bCs/>
        </w:rPr>
        <w:t>Immunsystem:</w:t>
      </w:r>
      <w:r>
        <w:t xml:space="preserve"> Viele </w:t>
        <w:fldChar w:fldCharType="begin"/>
        <w:instrText xml:space="preserve">XE "Vitamine" \G </w:instrText>
        <w:fldChar w:fldCharType="end"/>
        <w:t>Vitamine und Mineralien stärken die Abwehrkräfte.</w:t>
      </w:r>
    </w:p>
    <w:p>
      <w:pPr>
        <w:pStyle w:val="para17"/>
        <w:numPr>
          <w:ilvl w:val="1"/>
          <w:numId w:val="2"/>
        </w:numPr>
        <w:ind w:left="397" w:hanging="197"/>
      </w:pPr>
      <w:r>
        <w:rPr>
          <w:b/>
          <w:bCs/>
        </w:rPr>
        <w:t>Körperliche Strukturen:</w:t>
      </w:r>
      <w:r>
        <w:t xml:space="preserve"> Sie sind wichtig für den Aufbau von Knochen, Zähnen und Blutkörperchen.</w:t>
      </w:r>
    </w:p>
    <w:p>
      <w:pPr>
        <w:pStyle w:val="para17"/>
        <w:numPr>
          <w:ilvl w:val="1"/>
          <w:numId w:val="2"/>
        </w:numPr>
        <w:ind w:left="397" w:hanging="197"/>
      </w:pPr>
      <w:r>
        <w:rPr>
          <w:b/>
          <w:bCs/>
        </w:rPr>
        <w:t>Zellschutz:</w:t>
      </w:r>
      <w:r>
        <w:t xml:space="preserve"> Einige wirken als </w:t>
        <w:fldChar w:fldCharType="begin"/>
        <w:instrText xml:space="preserve">XE "Antioxidantien" \G </w:instrText>
        <w:fldChar w:fldCharType="end"/>
        <w:t>Antioxidantien und schützen vor oxidativen Schäden.</w:t>
      </w:r>
    </w:p>
    <w:p>
      <w:pPr>
        <w:pStyle w:val="para17"/>
        <w:numPr>
          <w:ilvl w:val="1"/>
          <w:numId w:val="2"/>
        </w:numPr>
        <w:ind w:left="397" w:hanging="197"/>
      </w:pPr>
      <w:r>
        <w:rPr>
          <w:b/>
          <w:bCs/>
        </w:rPr>
        <w:t>Nerven- und Muskelfunktion:</w:t>
      </w:r>
      <w:r>
        <w:t xml:space="preserve"> Sie unterstützen die Signalübertragung und Funktion von Nerven und Muskeln. </w:t>
      </w:r>
    </w:p>
    <w:p>
      <w:r>
        <w:t xml:space="preserve">Ein Mangel an Mikronährstoffen kann zu verschiedenen Gesundheitsproblemen und Mangelsymptomen führen. </w:t>
      </w:r>
    </w:p>
    <w:p>
      <w:pPr>
        <w:pStyle w:val="para3"/>
        <w:numPr>
          <w:ilvl w:val="2"/>
          <w:numId w:val="1"/>
        </w:numPr>
        <w:ind w:left="720" w:hanging="720"/>
      </w:pPr>
      <w:bookmarkStart w:id="106" w:name="_TOC000347"/>
      <w:r>
        <w:t>Wichtige Beispiele und ihre Quellen</w:t>
      </w:r>
      <w:bookmarkEnd w:id="106"/>
      <w:r/>
    </w:p>
    <w:p>
      <w:r>
        <w:t xml:space="preserve">Eine ausgewogene Ernährung mit frischen und vollwertigen Lebensmitteln ist der Schlüssel zu einer ausreichenden Versorgung mit Mikronährstoffen. </w:t>
      </w:r>
    </w:p>
    <w:tbl>
      <w:tblPr>
        <w:tblStyle w:val="TableNormal"/>
        <w:name w:val="Tabelle64"/>
        <w:tabOrder w:val="0"/>
        <w:jc w:val="left"/>
        <w:tblInd w:w="0" w:type="dxa"/>
        <w:tblW w:w="9057" w:type="dxa"/>
        <w:pPr>
          <w:spacing w:after="0" w:line="240" w:lineRule="auto"/>
          <w:jc w:val="left"/>
          <w:widowControl w:val="0"/>
        </w:pPr>
        <w:tblLook w:val="0600" w:firstRow="0" w:lastRow="0" w:firstColumn="0" w:lastColumn="0" w:noHBand="1" w:noVBand="1"/>
      </w:tblPr>
      <w:tblGrid>
        <w:gridCol w:w="2058"/>
        <w:gridCol w:w="3980"/>
        <w:gridCol w:w="3019"/>
      </w:tblGrid>
      <w:tr>
        <w:trPr>
          <w:tblHeader w:val="0"/>
          <w:cantSplit w:val="0"/>
          <w:trHeight w:val="0" w:hRule="auto"/>
        </w:trPr>
        <w:tc>
          <w:tcPr>
            <w:tcW w:w="2058"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b/>
                <w:color w:val="404040"/>
                <w:kern w:val="1"/>
                <w:sz w:val="21"/>
                <w:szCs w:val="20"/>
              </w:rPr>
            </w:pPr>
            <w:r>
              <w:rPr>
                <w:rFonts w:ascii="Arial" w:hAnsi="Arial" w:eastAsia="Basic Roman"/>
                <w:b/>
                <w:color w:val="404040"/>
                <w:kern w:val="1"/>
                <w:sz w:val="21"/>
                <w:szCs w:val="20"/>
              </w:rPr>
              <w:t>Mikronährstoff </w:t>
            </w:r>
          </w:p>
        </w:tc>
        <w:tc>
          <w:tcPr>
            <w:tcW w:w="3980"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b/>
                <w:color w:val="404040"/>
                <w:kern w:val="1"/>
                <w:sz w:val="21"/>
                <w:szCs w:val="20"/>
              </w:rPr>
            </w:pPr>
            <w:r>
              <w:rPr>
                <w:rFonts w:ascii="Arial" w:hAnsi="Arial" w:eastAsia="Basic Roman"/>
                <w:b/>
                <w:color w:val="404040"/>
                <w:kern w:val="1"/>
                <w:sz w:val="21"/>
                <w:szCs w:val="20"/>
              </w:rPr>
              <w:t xml:space="preserve">Funktion </w:t>
              <w:br w:type="textWrapping"/>
              <w:t>(Beispiele)</w:t>
            </w:r>
          </w:p>
        </w:tc>
        <w:tc>
          <w:tcPr>
            <w:tcW w:w="3019"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b/>
                <w:color w:val="404040"/>
                <w:kern w:val="1"/>
                <w:sz w:val="21"/>
                <w:szCs w:val="20"/>
              </w:rPr>
            </w:pPr>
            <w:r>
              <w:rPr>
                <w:rFonts w:ascii="Arial" w:hAnsi="Arial" w:eastAsia="Basic Roman"/>
                <w:b/>
                <w:color w:val="404040"/>
                <w:kern w:val="1"/>
                <w:sz w:val="21"/>
                <w:szCs w:val="20"/>
              </w:rPr>
              <w:t xml:space="preserve">Natürliche Quellen </w:t>
              <w:br w:type="textWrapping"/>
              <w:t>(Beispiele)</w:t>
            </w:r>
          </w:p>
        </w:tc>
      </w:tr>
      <w:tr>
        <w:trPr>
          <w:tblHeader w:val="0"/>
          <w:cantSplit w:val="0"/>
          <w:trHeight w:val="0" w:hRule="auto"/>
        </w:trPr>
        <w:tc>
          <w:tcPr>
            <w:tcW w:w="2058"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b/>
                <w:color w:val="404040"/>
                <w:kern w:val="1"/>
                <w:sz w:val="21"/>
                <w:szCs w:val="20"/>
              </w:rPr>
            </w:pPr>
            <w:r>
              <w:rPr>
                <w:rFonts w:ascii="Arial" w:hAnsi="Arial" w:eastAsia="Basic Roman"/>
                <w:b/>
                <w:color w:val="404040"/>
                <w:kern w:val="1"/>
                <w:sz w:val="21"/>
                <w:szCs w:val="20"/>
              </w:rPr>
              <w:t>Vitamin C</w:t>
            </w:r>
          </w:p>
        </w:tc>
        <w:tc>
          <w:tcPr>
            <w:tcW w:w="3980"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Immunabwehr, Kollagenbildung</w:t>
            </w:r>
          </w:p>
        </w:tc>
        <w:tc>
          <w:tcPr>
            <w:tcW w:w="3019"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Obst (Zitrusfrüchte), Gemüse</w:t>
            </w:r>
          </w:p>
        </w:tc>
      </w:tr>
      <w:tr>
        <w:trPr>
          <w:tblHeader w:val="0"/>
          <w:cantSplit w:val="0"/>
          <w:trHeight w:val="0" w:hRule="auto"/>
        </w:trPr>
        <w:tc>
          <w:tcPr>
            <w:tcW w:w="2058"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b/>
                <w:color w:val="404040"/>
                <w:kern w:val="1"/>
                <w:sz w:val="21"/>
                <w:szCs w:val="20"/>
              </w:rPr>
            </w:pPr>
            <w:r>
              <w:rPr>
                <w:rFonts w:ascii="Arial" w:hAnsi="Arial" w:eastAsia="Basic Roman"/>
                <w:b/>
                <w:color w:val="404040"/>
                <w:kern w:val="1"/>
                <w:sz w:val="21"/>
                <w:szCs w:val="20"/>
              </w:rPr>
              <w:t>Vitamin D</w:t>
            </w:r>
          </w:p>
        </w:tc>
        <w:tc>
          <w:tcPr>
            <w:tcW w:w="3980"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Regulierung des Kalzium- und Phosphatstoffwechsels, Knochengesundheit</w:t>
            </w:r>
          </w:p>
        </w:tc>
        <w:tc>
          <w:tcPr>
            <w:tcW w:w="3019"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Sonnenlicht (Hauptquelle), fetter Fisch</w:t>
            </w:r>
          </w:p>
        </w:tc>
      </w:tr>
      <w:tr>
        <w:trPr>
          <w:tblHeader w:val="0"/>
          <w:cantSplit w:val="0"/>
          <w:trHeight w:val="0" w:hRule="auto"/>
        </w:trPr>
        <w:tc>
          <w:tcPr>
            <w:tcW w:w="2058"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b/>
                <w:color w:val="404040"/>
                <w:kern w:val="1"/>
                <w:sz w:val="21"/>
                <w:szCs w:val="20"/>
              </w:rPr>
            </w:pPr>
            <w:r>
              <w:rPr>
                <w:rFonts w:ascii="Arial" w:hAnsi="Arial" w:eastAsia="Basic Roman"/>
                <w:b/>
                <w:color w:val="404040"/>
                <w:kern w:val="1"/>
                <w:sz w:val="21"/>
                <w:szCs w:val="20"/>
              </w:rPr>
              <w:t>B-</w:t>
              <w:fldChar w:fldCharType="begin"/>
              <w:instrText xml:space="preserve">XE "Vitamine" \G </w:instrText>
              <w:fldChar w:fldCharType="end"/>
              <w:t>Vitamine</w:t>
            </w:r>
          </w:p>
        </w:tc>
        <w:tc>
          <w:tcPr>
            <w:tcW w:w="3980"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Energiestoffwechsel, Blutbildung, Nervenfunktion</w:t>
            </w:r>
          </w:p>
        </w:tc>
        <w:tc>
          <w:tcPr>
            <w:tcW w:w="3019"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Vollkornprodukte, Fleisch, Hülsenfrüchte</w:t>
            </w:r>
          </w:p>
        </w:tc>
      </w:tr>
      <w:tr>
        <w:trPr>
          <w:tblHeader w:val="0"/>
          <w:cantSplit w:val="0"/>
          <w:trHeight w:val="0" w:hRule="auto"/>
        </w:trPr>
        <w:tc>
          <w:tcPr>
            <w:tcW w:w="2058"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b/>
                <w:color w:val="404040"/>
                <w:kern w:val="1"/>
                <w:sz w:val="21"/>
                <w:szCs w:val="20"/>
              </w:rPr>
            </w:pPr>
            <w:r>
              <w:rPr>
                <w:rFonts w:ascii="Arial" w:hAnsi="Arial" w:eastAsia="Basic Roman"/>
                <w:b/>
                <w:color w:val="404040"/>
                <w:kern w:val="1"/>
                <w:sz w:val="21"/>
                <w:szCs w:val="20"/>
              </w:rPr>
              <w:fldChar w:fldCharType="begin"/>
              <w:instrText xml:space="preserve">XE "Eisen" \G </w:instrText>
              <w:fldChar w:fldCharType="end"/>
              <w:t>Eisen</w:t>
            </w:r>
          </w:p>
        </w:tc>
        <w:tc>
          <w:tcPr>
            <w:tcW w:w="3980"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Sauerstofftransport im Blut, Energieproduktion</w:t>
            </w:r>
          </w:p>
        </w:tc>
        <w:tc>
          <w:tcPr>
            <w:tcW w:w="3019"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Rotes Fleisch, Spinat, Hülsenfrüchte</w:t>
            </w:r>
          </w:p>
        </w:tc>
      </w:tr>
      <w:tr>
        <w:trPr>
          <w:tblHeader w:val="0"/>
          <w:cantSplit w:val="0"/>
          <w:trHeight w:val="0" w:hRule="auto"/>
        </w:trPr>
        <w:tc>
          <w:tcPr>
            <w:tcW w:w="2058"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b/>
                <w:color w:val="404040"/>
                <w:kern w:val="1"/>
                <w:sz w:val="21"/>
                <w:szCs w:val="20"/>
              </w:rPr>
            </w:pPr>
            <w:r>
              <w:rPr>
                <w:rFonts w:ascii="Arial" w:hAnsi="Arial" w:eastAsia="Basic Roman"/>
                <w:b/>
                <w:color w:val="404040"/>
                <w:kern w:val="1"/>
                <w:sz w:val="21"/>
                <w:szCs w:val="20"/>
              </w:rPr>
              <w:fldChar w:fldCharType="begin"/>
              <w:instrText xml:space="preserve">XE "Magnesium" \G </w:instrText>
              <w:fldChar w:fldCharType="end"/>
              <w:t>Magnesium</w:t>
            </w:r>
          </w:p>
        </w:tc>
        <w:tc>
          <w:tcPr>
            <w:tcW w:w="3980"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Muskelfunktion, Energiestoffwechsel, Herzgesundheit</w:t>
            </w:r>
          </w:p>
        </w:tc>
        <w:tc>
          <w:tcPr>
            <w:tcW w:w="3019"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Nüsse, Vollkornprodukte, grünes Gemüse</w:t>
            </w:r>
          </w:p>
        </w:tc>
      </w:tr>
      <w:tr>
        <w:trPr>
          <w:tblHeader w:val="0"/>
          <w:cantSplit w:val="0"/>
          <w:trHeight w:val="0" w:hRule="auto"/>
        </w:trPr>
        <w:tc>
          <w:tcPr>
            <w:tcW w:w="2058"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b/>
                <w:color w:val="404040"/>
                <w:kern w:val="1"/>
                <w:sz w:val="21"/>
                <w:szCs w:val="20"/>
              </w:rPr>
            </w:pPr>
            <w:r>
              <w:rPr>
                <w:rFonts w:ascii="Arial" w:hAnsi="Arial" w:eastAsia="Basic Roman"/>
                <w:b/>
                <w:color w:val="404040"/>
                <w:kern w:val="1"/>
                <w:sz w:val="21"/>
                <w:szCs w:val="20"/>
              </w:rPr>
              <w:t>Jod</w:t>
            </w:r>
          </w:p>
        </w:tc>
        <w:tc>
          <w:tcPr>
            <w:tcW w:w="3980"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Schilddrüsenfunktion</w:t>
            </w:r>
          </w:p>
        </w:tc>
        <w:tc>
          <w:tcPr>
            <w:tcW w:w="3019"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Seefisch, jodiertes Speisesalz</w:t>
            </w:r>
          </w:p>
        </w:tc>
      </w:tr>
      <w:tr>
        <w:trPr>
          <w:tblHeader w:val="0"/>
          <w:cantSplit w:val="0"/>
          <w:trHeight w:val="0" w:hRule="auto"/>
        </w:trPr>
        <w:tc>
          <w:tcPr>
            <w:tcW w:w="2058"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b/>
                <w:color w:val="404040"/>
                <w:kern w:val="1"/>
                <w:sz w:val="21"/>
                <w:szCs w:val="20"/>
              </w:rPr>
            </w:pPr>
            <w:r>
              <w:rPr>
                <w:rFonts w:ascii="Arial" w:hAnsi="Arial" w:eastAsia="Basic Roman"/>
                <w:b/>
                <w:color w:val="404040"/>
                <w:kern w:val="1"/>
                <w:sz w:val="21"/>
                <w:szCs w:val="20"/>
              </w:rPr>
              <w:fldChar w:fldCharType="begin"/>
              <w:instrText xml:space="preserve">XE "Zink" \G </w:instrText>
              <w:fldChar w:fldCharType="end"/>
              <w:t>Zink</w:t>
            </w:r>
          </w:p>
        </w:tc>
        <w:tc>
          <w:tcPr>
            <w:tcW w:w="3980"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Immunsystem, Wundheilung</w:t>
            </w:r>
          </w:p>
        </w:tc>
        <w:tc>
          <w:tcPr>
            <w:tcW w:w="3019" w:type="dxa"/>
            <w:shd w:val="none"/>
            <w:tcMar>
              <w:top w:w="57" w:type="dxa"/>
              <w:left w:w="57" w:type="dxa"/>
              <w:bottom w:w="57" w:type="dxa"/>
              <w:right w:w="57"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Roman"/>
                <w:color w:val="404040"/>
                <w:kern w:val="1"/>
                <w:sz w:val="21"/>
                <w:szCs w:val="20"/>
              </w:rPr>
            </w:pPr>
            <w:r>
              <w:rPr>
                <w:rFonts w:ascii="Arial" w:hAnsi="Arial" w:eastAsia="Basic Roman"/>
                <w:color w:val="404040"/>
                <w:kern w:val="1"/>
                <w:sz w:val="21"/>
                <w:szCs w:val="20"/>
              </w:rPr>
              <w:t xml:space="preserve">Fleisch, </w:t>
              <w:fldChar w:fldCharType="begin"/>
              <w:instrText xml:space="preserve">XE "Milchprodukte" \G </w:instrText>
              <w:fldChar w:fldCharType="end"/>
              <w:t>Milchprodukte, Vollkornprodukte</w:t>
            </w:r>
          </w:p>
        </w:tc>
      </w:tr>
    </w:tbl>
    <w:p>
      <w:r/>
    </w:p>
    <w:p>
      <w:pPr>
        <w:pStyle w:val="para3"/>
        <w:numPr>
          <w:ilvl w:val="2"/>
          <w:numId w:val="1"/>
        </w:numPr>
        <w:ind w:left="720" w:hanging="720"/>
      </w:pPr>
      <w:bookmarkStart w:id="107" w:name="_TOC000348"/>
      <w:r>
        <w:fldChar w:fldCharType="begin"/>
        <w:instrText xml:space="preserve">XE "Vitamine" \G </w:instrText>
        <w:fldChar w:fldCharType="end"/>
        <w:t>Vitamine</w:t>
      </w:r>
      <w:bookmarkEnd w:id="107"/>
      <w:r/>
    </w:p>
    <w:p>
      <w:r>
        <w:fldChar w:fldCharType="begin"/>
        <w:instrText xml:space="preserve">XE "Vitamine" \G </w:instrText>
        <w:fldChar w:fldCharType="end"/>
        <w:t>Vitamine sind fettlöslich oder wasserlöslich.</w:t>
      </w:r>
    </w:p>
    <w:p>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ind w:left="567"/>
      </w:pPr>
      <w:r>
        <w:t xml:space="preserve">Fettlösliche </w:t>
        <w:fldChar w:fldCharType="begin"/>
        <w:instrText xml:space="preserve">XE "Vitamine" \G </w:instrText>
        <w:fldChar w:fldCharType="end"/>
        <w:t>Vitamine</w:t>
      </w:r>
    </w:p>
    <w:p>
      <w:pPr>
        <w:pStyle w:val="para28"/>
        <w:numPr>
          <w:ilvl w:val="1"/>
          <w:numId w:val="2"/>
        </w:numPr>
        <w:ind w:left="907" w:hanging="197"/>
      </w:pPr>
      <w:r>
        <w:t>Vitamin A</w:t>
      </w:r>
    </w:p>
    <w:p>
      <w:pPr>
        <w:pStyle w:val="para28"/>
        <w:numPr>
          <w:ilvl w:val="1"/>
          <w:numId w:val="2"/>
        </w:numPr>
        <w:ind w:left="907" w:hanging="197"/>
      </w:pPr>
      <w:r>
        <w:t>Vitamin D</w:t>
      </w:r>
    </w:p>
    <w:p>
      <w:pPr>
        <w:pStyle w:val="para28"/>
        <w:numPr>
          <w:ilvl w:val="1"/>
          <w:numId w:val="2"/>
        </w:numPr>
        <w:ind w:left="907" w:hanging="197"/>
      </w:pPr>
      <w:r>
        <w:t>Vitamin E</w:t>
      </w:r>
    </w:p>
    <w:p>
      <w:pPr>
        <w:pStyle w:val="para28"/>
        <w:numPr>
          <w:ilvl w:val="1"/>
          <w:numId w:val="2"/>
        </w:numPr>
        <w:ind w:left="907" w:hanging="197"/>
      </w:pPr>
      <w:r>
        <w:t>Vitamin K</w:t>
      </w:r>
    </w:p>
    <w:p>
      <w:r/>
    </w:p>
    <w:p>
      <w:r>
        <w:br w:type="column"/>
      </w:r>
      <w:r>
        <w:t xml:space="preserve">Wasserlösliche </w:t>
        <w:fldChar w:fldCharType="begin"/>
        <w:instrText xml:space="preserve">XE "Vitamine" \G </w:instrText>
        <w:fldChar w:fldCharType="end"/>
        <w:t>Vitamine</w:t>
      </w:r>
    </w:p>
    <w:p>
      <w:pPr>
        <w:pStyle w:val="para28"/>
        <w:numPr>
          <w:ilvl w:val="1"/>
          <w:numId w:val="2"/>
        </w:numPr>
        <w:ind w:left="397" w:hanging="197"/>
      </w:pPr>
      <w:r>
        <w:t>Vitamin B</w:t>
      </w:r>
      <w:r>
        <w:rPr>
          <w:rFonts w:eastAsia="Tahoma"/>
          <w:vertAlign w:val="subscript"/>
          <w:lang w:eastAsia="de-de" w:bidi="de-de"/>
        </w:rPr>
        <w:t>1</w:t>
      </w:r>
      <w:r>
        <w:t xml:space="preserve"> (Thiamin)</w:t>
      </w:r>
    </w:p>
    <w:p>
      <w:pPr>
        <w:pStyle w:val="para28"/>
        <w:numPr>
          <w:ilvl w:val="1"/>
          <w:numId w:val="2"/>
        </w:numPr>
        <w:ind w:left="397" w:hanging="197"/>
      </w:pPr>
      <w:r>
        <w:t>Vitamin B</w:t>
      </w:r>
      <w:r>
        <w:rPr>
          <w:rFonts w:eastAsia="Tahoma"/>
          <w:vertAlign w:val="subscript"/>
          <w:lang w:eastAsia="de-de" w:bidi="de-de"/>
        </w:rPr>
        <w:t>2</w:t>
      </w:r>
      <w:r>
        <w:t xml:space="preserve"> (Riboflavin)</w:t>
      </w:r>
    </w:p>
    <w:p>
      <w:pPr>
        <w:pStyle w:val="para28"/>
        <w:numPr>
          <w:ilvl w:val="1"/>
          <w:numId w:val="2"/>
        </w:numPr>
        <w:ind w:left="397" w:hanging="197"/>
      </w:pPr>
      <w:r>
        <w:t>Vitamin B</w:t>
      </w:r>
      <w:r>
        <w:rPr>
          <w:rFonts w:eastAsia="Tahoma"/>
          <w:vertAlign w:val="subscript"/>
          <w:lang w:eastAsia="de-de" w:bidi="de-de"/>
        </w:rPr>
        <w:t>3</w:t>
      </w:r>
      <w:r>
        <w:t xml:space="preserve"> (Niacin)</w:t>
      </w:r>
    </w:p>
    <w:p>
      <w:pPr>
        <w:pStyle w:val="para28"/>
        <w:numPr>
          <w:ilvl w:val="1"/>
          <w:numId w:val="2"/>
        </w:numPr>
        <w:ind w:left="397" w:hanging="197"/>
      </w:pPr>
      <w:r>
        <w:t>Vitamin B</w:t>
      </w:r>
      <w:r>
        <w:rPr>
          <w:rFonts w:eastAsia="Tahoma"/>
          <w:vertAlign w:val="subscript"/>
          <w:lang w:eastAsia="de-de" w:bidi="de-de"/>
        </w:rPr>
        <w:t>5</w:t>
      </w:r>
      <w:r>
        <w:t xml:space="preserve"> (Pantothensäure)</w:t>
      </w:r>
    </w:p>
    <w:p>
      <w:pPr>
        <w:pStyle w:val="para28"/>
        <w:numPr>
          <w:ilvl w:val="1"/>
          <w:numId w:val="2"/>
        </w:numPr>
        <w:ind w:left="397" w:hanging="197"/>
      </w:pPr>
      <w:r>
        <w:t>Vitamin B</w:t>
      </w:r>
      <w:r>
        <w:rPr>
          <w:rFonts w:eastAsia="Tahoma"/>
          <w:vertAlign w:val="subscript"/>
          <w:lang w:eastAsia="de-de" w:bidi="de-de"/>
        </w:rPr>
        <w:t>6</w:t>
      </w:r>
      <w:r>
        <w:t xml:space="preserve"> (Pyridoxin)</w:t>
      </w:r>
    </w:p>
    <w:p>
      <w:pPr>
        <w:pStyle w:val="para28"/>
        <w:numPr>
          <w:ilvl w:val="1"/>
          <w:numId w:val="2"/>
        </w:numPr>
        <w:ind w:left="397" w:hanging="197"/>
      </w:pPr>
      <w:r>
        <w:t>Vitamin B</w:t>
      </w:r>
      <w:r>
        <w:rPr>
          <w:rFonts w:eastAsia="Tahoma"/>
          <w:vertAlign w:val="subscript"/>
          <w:lang w:eastAsia="de-de" w:bidi="de-de"/>
        </w:rPr>
        <w:t>7</w:t>
      </w:r>
      <w:r>
        <w:t xml:space="preserve"> (Biotin)</w:t>
      </w:r>
    </w:p>
    <w:p>
      <w:pPr>
        <w:pStyle w:val="para28"/>
        <w:numPr>
          <w:ilvl w:val="1"/>
          <w:numId w:val="2"/>
        </w:numPr>
        <w:ind w:left="397" w:hanging="197"/>
      </w:pPr>
      <w:r>
        <w:t>Vitamin B</w:t>
      </w:r>
      <w:r>
        <w:rPr>
          <w:rFonts w:eastAsia="Tahoma"/>
          <w:vertAlign w:val="subscript"/>
          <w:lang w:eastAsia="de-de" w:bidi="de-de"/>
        </w:rPr>
        <w:t>9</w:t>
      </w:r>
      <w:r>
        <w:t xml:space="preserve"> (Folat)</w:t>
      </w:r>
    </w:p>
    <w:p>
      <w:pPr>
        <w:pStyle w:val="para28"/>
        <w:numPr>
          <w:ilvl w:val="1"/>
          <w:numId w:val="2"/>
        </w:numPr>
        <w:ind w:left="397" w:hanging="197"/>
      </w:pPr>
      <w:r>
        <w:t>Vitamin B</w:t>
      </w:r>
      <w:r>
        <w:rPr>
          <w:rFonts w:eastAsia="Tahoma"/>
          <w:vertAlign w:val="subscript"/>
          <w:lang w:eastAsia="de-de" w:bidi="de-de"/>
        </w:rPr>
        <w:t>12</w:t>
      </w:r>
      <w:r>
        <w:t xml:space="preserve"> (Cobalamin)</w:t>
      </w:r>
    </w:p>
    <w:p>
      <w:pPr>
        <w:pStyle w:val="para28"/>
        <w:numPr>
          <w:ilvl w:val="1"/>
          <w:numId w:val="2"/>
        </w:numPr>
        <w:ind w:left="397" w:hanging="197"/>
      </w:pPr>
      <w:r>
        <w:t>Vitamin C</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r>
        <w:fldChar w:fldCharType="begin"/>
        <w:instrText xml:space="preserve">XE "Vitamine" \G </w:instrText>
        <w:fldChar w:fldCharType="end"/>
        <w:t>Vitamine sind teilweise hitzeempfindlich.</w:t>
      </w:r>
    </w:p>
    <w:p>
      <w:r>
        <w:rPr>
          <w:noProof/>
        </w:rPr>
        <w:drawing>
          <wp:inline distT="0" distB="0" distL="0" distR="0">
            <wp:extent cx="5753735" cy="1969770"/>
            <wp:effectExtent l="0" t="0" r="0" b="0"/>
            <wp:docPr id="15" name="Grafik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158"/>
                    <pic:cNvPicPr>
                      <a:picLocks noChangeAspect="1"/>
                      <a:codePr string="" type="-1715077019"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GUjAAAeDAAAZSMAAB4M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VAwAAB6IAAAAAAAAAAAAAAAAAAAAAAAAAAAAAAAAAAAAAAAAAAAAAZSMAAB4MAAAAAAAAAAAAAAAAAAAoAAAACAAAAAEAAAABAAAAMAAAABQAAAAAAAAAAAD//wAAAQAAAP//AAABAA=="/>
                        </a:ext>
                      </a:extLst>
                    </pic:cNvPicPr>
                  </pic:nvPicPr>
                  <pic:blipFill>
                    <a:blip r:embed="rId60"/>
                    <a:stretch>
                      <a:fillRect/>
                    </a:stretch>
                  </pic:blipFill>
                  <pic:spPr>
                    <a:xfrm>
                      <a:off x="0" y="0"/>
                      <a:ext cx="5753735" cy="1969770"/>
                    </a:xfrm>
                    <a:prstGeom prst="rect">
                      <a:avLst/>
                    </a:prstGeom>
                    <a:noFill/>
                    <a:ln w="12700">
                      <a:noFill/>
                    </a:ln>
                  </pic:spPr>
                </pic:pic>
              </a:graphicData>
            </a:graphic>
          </wp:inline>
        </w:drawing>
      </w:r>
      <w:r/>
    </w:p>
    <w:p>
      <w:r/>
    </w:p>
    <w:p>
      <w:r>
        <w:t>Hitzeempfindlichkeit von Beta-Carotin</w:t>
      </w:r>
    </w:p>
    <w:p>
      <w:r>
        <w:t>Beim Beta-Carotin – aus dem der Körper Vitamin A herstellt – kann das Garen sogar dessen Bioverfügbarkeit steigern. Hier kommt es also zu keinen Nährstoffverlusten, ganz im Gegenteil.</w:t>
      </w:r>
    </w:p>
    <w:p>
      <w:r>
        <w:rPr>
          <w:noProof/>
        </w:rPr>
        <w:drawing>
          <wp:inline distT="0" distB="0" distL="0" distR="0">
            <wp:extent cx="5757545" cy="2172970"/>
            <wp:effectExtent l="0" t="0" r="0" b="0"/>
            <wp:docPr id="16" name="Grafik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158"/>
                    <pic:cNvPicPr>
                      <a:picLocks noChangeAspect="1"/>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GsjAABeDQAAayMAAF4N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ZAwAAB6IAAAAAAAAAAAAAAAAAAAAAAAAAAAAAAAAAAAAAAAAAAAAAayMAAF4NAAAAAAAAAAAAAAAAAAAoAAAACAAAAAEAAAABAAAAMAAAABQAAAAAAAAAAAD//wAAAQAAAP//AAABAA=="/>
                        </a:ext>
                      </a:extLst>
                    </pic:cNvPicPr>
                  </pic:nvPicPr>
                  <pic:blipFill>
                    <a:blip r:embed="rId61"/>
                    <a:stretch>
                      <a:fillRect/>
                    </a:stretch>
                  </pic:blipFill>
                  <pic:spPr>
                    <a:xfrm>
                      <a:off x="0" y="0"/>
                      <a:ext cx="5757545" cy="2172970"/>
                    </a:xfrm>
                    <a:prstGeom prst="rect">
                      <a:avLst/>
                    </a:prstGeom>
                    <a:noFill/>
                    <a:ln w="12700">
                      <a:noFill/>
                    </a:ln>
                  </pic:spPr>
                </pic:pic>
              </a:graphicData>
            </a:graphic>
          </wp:inline>
        </w:drawing>
      </w:r>
      <w:r/>
    </w:p>
    <w:p>
      <w:r/>
    </w:p>
    <w:p>
      <w:pPr>
        <w:pStyle w:val="para2"/>
        <w:numPr>
          <w:ilvl w:val="1"/>
          <w:numId w:val="1"/>
        </w:numPr>
        <w:ind w:left="576" w:hanging="576"/>
      </w:pPr>
      <w:r>
        <w:br w:type="page"/>
      </w:r>
      <w:r>
        <w:rPr>
          <w:noProof/>
        </w:rPr>
        <w:drawing>
          <wp:anchor distT="0" distB="0" distL="114300" distR="114300" simplePos="0" relativeHeight="251658310" behindDoc="0" locked="0" layoutInCell="0" hidden="0" allowOverlap="1">
            <wp:simplePos x="0" y="0"/>
            <wp:positionH relativeFrom="column">
              <wp:posOffset>3366135</wp:posOffset>
            </wp:positionH>
            <wp:positionV relativeFrom="paragraph">
              <wp:posOffset>7620</wp:posOffset>
            </wp:positionV>
            <wp:extent cx="2381250" cy="1785620"/>
            <wp:effectExtent l="0" t="0" r="0" b="0"/>
            <wp:wrapSquare wrapText="bothSides"/>
            <wp:docPr id="70" name="Grafik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Grafik95"/>
                    <pic:cNvPicPr>
                      <a:picLocks noChangeAspect="1"/>
                      <a:codePr string="" type="0" text="0"/>
                      <a:extLst>
                        <a:ext uri="sm">
                          <sm:smNativeData xmlns:sm="sm" val="SMDATA_17_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cAwAAAKIAAAAAAAAAAAAAAQAAAAIAAAC1FAAAAQAAAAIAAAAMAAAApg4AAPwKAAA1AAMABxgAAJUFAAAoAAAACAAAAAEAAAABAAAAMAAAABQAAAAAAAAAAAD//wAAAQAAAP//AAABAA=="/>
                        </a:ext>
                      </a:extLst>
                    </pic:cNvPicPr>
                  </pic:nvPicPr>
                  <pic:blipFill>
                    <a:blip r:embed="rId62"/>
                    <a:stretch>
                      <a:fillRect/>
                    </a:stretch>
                  </pic:blipFill>
                  <pic:spPr>
                    <a:xfrm>
                      <a:off x="0" y="0"/>
                      <a:ext cx="2381250" cy="1785620"/>
                    </a:xfrm>
                    <a:prstGeom prst="rect">
                      <a:avLst/>
                    </a:prstGeom>
                    <a:noFill/>
                    <a:ln w="12700">
                      <a:noFill/>
                    </a:ln>
                  </pic:spPr>
                </pic:pic>
              </a:graphicData>
            </a:graphic>
          </wp:anchor>
        </w:drawing>
      </w:r>
      <w:bookmarkStart w:id="108" w:name="_TOC000355"/>
      <w:r/>
      <w:bookmarkStart w:id="109" w:name="_TOC000349"/>
      <w:r/>
      <w:bookmarkEnd w:id="109"/>
      <w:r/>
      <w:bookmarkStart w:id="110" w:name="_TOC000002"/>
      <w:r/>
      <w:bookmarkStart w:id="111" w:name="_TOC000184"/>
      <w:r/>
      <w:bookmarkStart w:id="112" w:name="_TOC000038"/>
      <w:r>
        <w:fldChar w:fldCharType="begin"/>
        <w:instrText xml:space="preserve">XE "Gewürze" \G </w:instrText>
        <w:fldChar w:fldCharType="end"/>
        <w:t>Gewürze</w:t>
      </w:r>
      <w:bookmarkEnd w:id="111"/>
      <w:r/>
      <w:bookmarkEnd w:id="112"/>
      <w:r/>
      <w:bookmarkEnd w:id="110"/>
      <w:r/>
      <w:bookmarkEnd w:id="108"/>
      <w:r/>
    </w:p>
    <w:p>
      <w:pPr>
        <w:pStyle w:val="para3"/>
        <w:numPr>
          <w:ilvl w:val="2"/>
          <w:numId w:val="1"/>
        </w:numPr>
        <w:ind w:left="720" w:hanging="720"/>
      </w:pPr>
      <w:bookmarkStart w:id="113" w:name="_TOC000007"/>
      <w:r>
        <w:fldChar w:fldCharType="begin"/>
        <w:instrText xml:space="preserve">XE "Chili" \G </w:instrText>
        <w:fldChar w:fldCharType="end"/>
        <w:t>Chili</w:t>
      </w:r>
      <w:bookmarkEnd w:id="113"/>
      <w:r/>
    </w:p>
    <w:p>
      <w:r>
        <w:t xml:space="preserve">Es gibt schätzungsweise 4.000 Chilisorten. Die Schote ist botanisch gesehen eine Beere. Ihren Schärfegrad verrät die </w:t>
        <w:fldChar w:fldCharType="begin"/>
        <w:instrText xml:space="preserve">XE "Chili" \G </w:instrText>
        <w:fldChar w:fldCharType="end"/>
        <w:t xml:space="preserve">Chili nicht über die Farbe, entscheidend ist der Anteil an Capsaicin. Der größte Anteil steckt im Inneren der </w:t>
        <w:fldChar w:fldCharType="begin"/>
        <w:instrText xml:space="preserve">XE "Chili" \G </w:instrText>
        <w:fldChar w:fldCharType="end"/>
        <w:t>Chili  in den weißen Trennwänden und in den Kernen.</w:t>
      </w:r>
    </w:p>
    <w:p>
      <w:pPr>
        <w:pStyle w:val="para4"/>
        <w:numPr>
          <w:ilvl w:val="3"/>
          <w:numId w:val="1"/>
        </w:numPr>
        <w:ind w:left="1077" w:hanging="1077"/>
        <w:spacing w:before="220"/>
        <w:jc w:val="left"/>
      </w:pPr>
      <w:bookmarkStart w:id="114" w:name="_TOC000009"/>
      <w:r>
        <w:t>Capsaicin: Wirkung auf Nerven, Gehirn und Stoffwechsel</w:t>
      </w:r>
      <w:bookmarkEnd w:id="114"/>
      <w:r/>
    </w:p>
    <w:p>
      <w:r>
        <w:t>Capsaicin reizt mit seiner Schärfe Rezeptoren der Nerven, die Hitze und Schmerz erkennen und diese Information an das Gehirn weitergeben. Neurotransmitter werden daraufhin freigesetzt, die lokale Blutgefäße erweitern. Es entsteht ein brennendes Gefühl, zum Beispiel bei scharfem Essen im Mund, auch wenn das Essen kalt ist. Auf die schmerzhafte Reizung reagiert der Körper mit Stress und schüttet "Glückshormone" (Endorphine) aus. Das regt den Stoffwechsel an, Schweißausbrüche können die Folge sein.</w:t>
      </w:r>
    </w:p>
    <w:p>
      <w:pPr>
        <w:pStyle w:val="para4"/>
        <w:numPr>
          <w:ilvl w:val="3"/>
          <w:numId w:val="1"/>
        </w:numPr>
        <w:ind w:left="1077" w:hanging="1077"/>
        <w:spacing w:before="220"/>
      </w:pPr>
      <w:bookmarkStart w:id="115" w:name="_TOC000186"/>
      <w:r>
        <w:t>Capsaicin regt Verdauung an</w:t>
      </w:r>
      <w:bookmarkEnd w:id="115"/>
      <w:r/>
    </w:p>
    <w:p>
      <w:r>
        <w:t>Scharfes Essen regt den Speichelfluss wie auch die Motorik des Magens an. So wird mehr Magensaft produziert und die Verdauung angekurbelt. Fetthaltige Speisen können so durch Schärfe leichter verdaut werden, Verstopfungen oder Blähungen können vermieden werden.</w:t>
      </w:r>
    </w:p>
    <w:p>
      <w:pPr>
        <w:pStyle w:val="para4"/>
        <w:numPr>
          <w:ilvl w:val="3"/>
          <w:numId w:val="1"/>
        </w:numPr>
        <w:ind w:left="1077" w:hanging="1077"/>
        <w:spacing w:before="220"/>
      </w:pPr>
      <w:bookmarkStart w:id="116" w:name="_TOC000187"/>
      <w:r>
        <w:t>Capsaicin bei Erkältung: Schärfe wirkt schleimlösend</w:t>
      </w:r>
      <w:bookmarkEnd w:id="116"/>
      <w:r/>
    </w:p>
    <w:p>
      <w:r>
        <w:fldChar w:fldCharType="begin"/>
        <w:instrText xml:space="preserve">XE "Chili" \G </w:instrText>
        <w:fldChar w:fldCharType="end"/>
        <w:t>Chili kann bei einer Erkältung für Linderung der Symptome sorgen, denn scharfes Essen macht die Nase frei. Die Nasenschleimhäute werden besser durchblutet, die Bildung von Nasensekret wird gefördert. Außerdem wirkt Capsaicin schleimlösend auf die Bronchien, der Schleim kann so besser abgehustet werden.</w:t>
      </w:r>
    </w:p>
    <w:p>
      <w:r/>
    </w:p>
    <w:p>
      <w:pPr>
        <w:rPr>
          <w:sz w:val="18"/>
          <w:szCs w:val="18"/>
        </w:rPr>
      </w:pPr>
      <w:r>
        <w:rPr>
          <w:sz w:val="18"/>
          <w:szCs w:val="18"/>
        </w:rPr>
        <w:t>Quellen: Rundmails von Dr. Feil im Rahmen der Knorpel- und Knochenkur</w:t>
      </w:r>
    </w:p>
    <w:p>
      <w:pPr>
        <w:ind w:left="170" w:right="165"/>
        <w:spacing w:after="80" w:line="240" w:lineRule="auto"/>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Wenn Sie Ihrem Körper etwas Gutes tun wollen, greifen Sie gerne öfter zur Chilischote.</w:t>
      </w:r>
    </w:p>
    <w:p>
      <w:pPr>
        <w:ind w:left="170" w:right="165"/>
        <w:spacing w:after="80" w:line="240" w:lineRule="auto"/>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Die Wirkstoffe, allen voran das Capsaicin, können Schmerzen lindern, regen den Stoffwechsel und die Ausschüttung von Endorphinen an.</w:t>
      </w:r>
    </w:p>
    <w:p>
      <w:pPr>
        <w:ind w:left="170" w:right="165"/>
        <w:spacing w:after="80" w:line="240" w:lineRule="auto"/>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Im Rahmen der Dr. Feil-Arthrosekur empfehle ich Ihnen, täglich drei bis vier Chilischoten zu essen.</w:t>
      </w:r>
    </w:p>
    <w:p>
      <w:pPr>
        <w:ind w:left="170" w:right="165"/>
        <w:spacing w:after="80" w:line="240" w:lineRule="auto"/>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Wenn Sie das scharfe Gewürz nicht mögen, können Sie das folgende probieren:</w:t>
      </w:r>
    </w:p>
    <w:p>
      <w:pPr>
        <w:ind w:left="170" w:right="165"/>
        <w:spacing w:after="80" w:line="240" w:lineRule="auto"/>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Kaufen Sie sich getrocknete Chilischoten (Piri-Piri) und öffnen Sie die Schoten leicht, so dass Sie die Kerne sehen können.</w:t>
      </w:r>
    </w:p>
    <w:p>
      <w:pPr>
        <w:ind w:left="170" w:right="165"/>
        <w:spacing w:after="80" w:line="240" w:lineRule="auto"/>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Schlucken Sie dann die Schoten im Ganzen mit einem Glas Wasser hinunter.</w:t>
      </w:r>
    </w:p>
    <w:p>
      <w:pPr>
        <w:ind w:left="170" w:right="165"/>
        <w:spacing w:after="80" w:line="240" w:lineRule="auto"/>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So brennt der </w:t>
        <w:fldChar w:fldCharType="begin"/>
        <w:instrText xml:space="preserve">XE "Chili" \G </w:instrText>
        <w:fldChar w:fldCharType="end"/>
        <w:t>Chili nicht im Mund und entfaltet trotzdem ihre Wirkung im Organismus.</w:t>
      </w:r>
    </w:p>
    <w:p>
      <w:pPr>
        <w:ind w:left="170" w:right="165"/>
        <w:spacing w:after="80" w:line="240" w:lineRule="auto"/>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Die scharfen Inhaltsstoffe schützen übrigens die Magenschleimhaut: Sie brauchen also keine </w:t>
      </w:r>
    </w:p>
    <w:p>
      <w:pPr>
        <w:ind w:left="170" w:right="165"/>
        <w:spacing w:after="80" w:line="240" w:lineRule="auto"/>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Wenn Ihnen der </w:t>
        <w:fldChar w:fldCharType="begin"/>
        <w:instrText xml:space="preserve">XE "Chili" \G </w:instrText>
        <w:fldChar w:fldCharType="end"/>
        <w:t>Chili zu sehr im Mund brennt, hilft ein Stück Käse am besten.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Das </w:t>
        <w:fldChar w:fldCharType="begin"/>
        <w:instrText xml:space="preserve">XE "Fett" \G </w:instrText>
        <w:fldChar w:fldCharType="end"/>
        <w:t>Fett aus dem Käse löst das Capsaicin und lindert die Schärfe.</w:t>
      </w:r>
    </w:p>
    <w:p>
      <w:pPr>
        <w:pStyle w:val="para4"/>
        <w:numPr>
          <w:ilvl w:val="3"/>
          <w:numId w:val="1"/>
        </w:numPr>
        <w:ind w:left="1077" w:hanging="1077"/>
        <w:spacing w:before="220"/>
      </w:pPr>
      <w:bookmarkStart w:id="117" w:name="_TOC000350"/>
      <w:r/>
      <w:bookmarkStart w:id="118" w:name="_TOC000188"/>
      <w:r/>
      <w:bookmarkStart w:id="119" w:name="_TOC000290"/>
      <w:r>
        <w:t>Die Scoville-Skala</w:t>
      </w:r>
      <w:bookmarkEnd w:id="118"/>
      <w:r/>
      <w:bookmarkEnd w:id="119"/>
      <w:r/>
      <w:bookmarkEnd w:id="117"/>
      <w:r/>
    </w:p>
    <w:p>
      <w:pPr>
        <w:rPr>
          <w:sz w:val="20"/>
          <w:szCs w:val="20"/>
        </w:rPr>
      </w:pPr>
      <w:r>
        <w:rPr>
          <w:sz w:val="20"/>
          <w:szCs w:val="20"/>
        </w:rPr>
        <w:t xml:space="preserve">Quelle: </w:t>
      </w:r>
      <w:hyperlink r:id="rId63" w:history="1">
        <w:r>
          <w:rPr>
            <w:rStyle w:val="char20"/>
            <w:sz w:val="20"/>
            <w:szCs w:val="20"/>
          </w:rPr>
          <w:t>https://www.miomente.de/entdeckermagazin/scoville-die-schaerfeskala/</w:t>
        </w:r>
      </w:hyperlink>
      <w:r>
        <w:rPr>
          <w:sz w:val="20"/>
          <w:szCs w:val="20"/>
        </w:rPr>
        <w:t xml:space="preserve"> 20.10.2025</w:t>
      </w:r>
      <w:r>
        <w:rPr>
          <w:sz w:val="20"/>
          <w:szCs w:val="20"/>
        </w:rPr>
      </w:r>
    </w:p>
    <w:p>
      <w:r>
        <w:t>Auf der Scoville-Skala, entwickelt 1912 von dem amerikanischen Pharmakologen Wilbur L. Scoville, kann man die verschiedenen Schärfegrade von Paprikapflanzen ablesen. Von Peperoni bis Habanero wird auf dieser Skala angegeben, wie viel Capsaicin die getrockneten Schoten enthalten.</w:t>
      </w:r>
    </w:p>
    <w:p>
      <w:bookmarkStart w:id="120" w:name="_TOC000281"/>
      <w:r/>
    </w:p>
    <w:tbl>
      <w:tblPr>
        <w:tblStyle w:val="TableGrid"/>
        <w:name w:val="Tabelle65"/>
        <w:tabOrder w:val="0"/>
        <w:jc w:val="left"/>
        <w:tblInd w:w="397" w:type="dxa"/>
        <w:tblW w:w="8080" w:type="dxa"/>
        <w:pPr>
          <w:ind w:left="397"/>
          <w:spacing/>
          <w:jc w:val="left"/>
        </w:pPr>
        <w:tblLook w:val="04A0" w:firstRow="1" w:lastRow="0" w:firstColumn="1" w:lastColumn="0" w:noHBand="0" w:noVBand="1"/>
      </w:tblPr>
      <w:tblGrid>
        <w:gridCol w:w="1925"/>
        <w:gridCol w:w="6155"/>
      </w:tblGrid>
      <w:tr>
        <w:trPr>
          <w:tblHeader w:val="0"/>
          <w:cantSplit w:val="0"/>
          <w:trHeight w:val="0" w:hRule="auto"/>
        </w:trPr>
        <w:tc>
          <w:tcPr>
            <w:tcW w:w="1925" w:type="dxa"/>
            <w:tmTcPr id="1766737683" protected="0"/>
          </w:tcPr>
          <w:p>
            <w:pPr/>
            <w:r>
              <w:t>Scoville-Grad</w:t>
            </w:r>
          </w:p>
        </w:tc>
        <w:tc>
          <w:tcPr>
            <w:tcW w:w="6155" w:type="dxa"/>
            <w:tmTcPr id="1766737683" protected="0"/>
          </w:tcPr>
          <w:p>
            <w:pPr/>
            <w:r>
              <w:t>Beispiel</w:t>
            </w:r>
          </w:p>
        </w:tc>
      </w:tr>
      <w:tr>
        <w:trPr>
          <w:tblHeader w:val="0"/>
          <w:cantSplit w:val="0"/>
          <w:trHeight w:val="0" w:hRule="auto"/>
        </w:trPr>
        <w:tc>
          <w:tcPr>
            <w:tcW w:w="1925" w:type="dxa"/>
            <w:tmTcPr id="1766737683" protected="0"/>
          </w:tcPr>
          <w:p>
            <w:pPr/>
            <w:r>
              <w:t>0</w:t>
            </w:r>
          </w:p>
        </w:tc>
        <w:tc>
          <w:tcPr>
            <w:tcW w:w="6155" w:type="dxa"/>
            <w:tmTcPr id="1766737683" protected="0"/>
          </w:tcPr>
          <w:p>
            <w:pPr/>
            <w:r>
              <w:t>keine Schärfe, kein Capsaicin enthalten</w:t>
            </w:r>
          </w:p>
        </w:tc>
      </w:tr>
      <w:tr>
        <w:trPr>
          <w:tblHeader w:val="0"/>
          <w:cantSplit w:val="0"/>
          <w:trHeight w:val="0" w:hRule="auto"/>
        </w:trPr>
        <w:tc>
          <w:tcPr>
            <w:tcW w:w="1925" w:type="dxa"/>
            <w:tmTcPr id="1766737683" protected="0"/>
          </w:tcPr>
          <w:p>
            <w:pPr/>
            <w:r>
              <w:t>0–10</w:t>
            </w:r>
          </w:p>
        </w:tc>
        <w:tc>
          <w:tcPr>
            <w:tcW w:w="6155" w:type="dxa"/>
            <w:tmTcPr id="1766737683" protected="0"/>
          </w:tcPr>
          <w:p>
            <w:pPr/>
            <w:r>
              <w:t>Gemüsepaprika</w:t>
            </w:r>
          </w:p>
        </w:tc>
      </w:tr>
      <w:tr>
        <w:trPr>
          <w:tblHeader w:val="0"/>
          <w:cantSplit w:val="0"/>
          <w:trHeight w:val="0" w:hRule="auto"/>
        </w:trPr>
        <w:tc>
          <w:tcPr>
            <w:tcW w:w="1925" w:type="dxa"/>
            <w:tmTcPr id="1766737683" protected="0"/>
          </w:tcPr>
          <w:p>
            <w:pPr/>
            <w:r>
              <w:t>100–500</w:t>
            </w:r>
          </w:p>
        </w:tc>
        <w:tc>
          <w:tcPr>
            <w:tcW w:w="6155" w:type="dxa"/>
            <w:tmTcPr id="1766737683" protected="0"/>
          </w:tcPr>
          <w:p>
            <w:pPr/>
            <w:r>
              <w:t>Peperoni</w:t>
            </w:r>
          </w:p>
        </w:tc>
      </w:tr>
      <w:tr>
        <w:trPr>
          <w:tblHeader w:val="0"/>
          <w:cantSplit w:val="0"/>
          <w:trHeight w:val="0" w:hRule="auto"/>
        </w:trPr>
        <w:tc>
          <w:tcPr>
            <w:tcW w:w="1925" w:type="dxa"/>
            <w:tmTcPr id="1766737683" protected="0"/>
          </w:tcPr>
          <w:p>
            <w:pPr/>
            <w:r>
              <w:t>1.000–10.000</w:t>
            </w:r>
          </w:p>
        </w:tc>
        <w:tc>
          <w:tcPr>
            <w:tcW w:w="6155" w:type="dxa"/>
            <w:tmTcPr id="1766737683" protected="0"/>
          </w:tcPr>
          <w:p>
            <w:pPr/>
            <w:r>
              <w:t>Sambal</w:t>
            </w:r>
          </w:p>
        </w:tc>
      </w:tr>
      <w:tr>
        <w:trPr>
          <w:tblHeader w:val="0"/>
          <w:cantSplit w:val="0"/>
          <w:trHeight w:val="0" w:hRule="auto"/>
        </w:trPr>
        <w:tc>
          <w:tcPr>
            <w:tcW w:w="1925" w:type="dxa"/>
            <w:tmTcPr id="1766737683" protected="0"/>
          </w:tcPr>
          <w:p>
            <w:pPr/>
            <w:r>
              <w:t>2.500–5.000</w:t>
            </w:r>
          </w:p>
        </w:tc>
        <w:tc>
          <w:tcPr>
            <w:tcW w:w="6155" w:type="dxa"/>
            <w:tmTcPr id="1766737683" protected="0"/>
          </w:tcPr>
          <w:p>
            <w:pPr/>
            <w:r>
              <w:t>Tabascosauce (aus einer C.-frutescens-</w:t>
              <w:fldChar w:fldCharType="begin"/>
              <w:instrText xml:space="preserve">XE "Chili" \G </w:instrText>
              <w:fldChar w:fldCharType="end"/>
              <w:t>Chili-Züchtung)</w:t>
            </w:r>
          </w:p>
        </w:tc>
      </w:tr>
      <w:tr>
        <w:trPr>
          <w:tblHeader w:val="0"/>
          <w:cantSplit w:val="0"/>
          <w:trHeight w:val="0" w:hRule="auto"/>
        </w:trPr>
        <w:tc>
          <w:tcPr>
            <w:tcW w:w="1925" w:type="dxa"/>
            <w:tmTcPr id="1766737683" protected="0"/>
          </w:tcPr>
          <w:p>
            <w:pPr/>
            <w:r>
              <w:t>2.500–8.000</w:t>
            </w:r>
          </w:p>
        </w:tc>
        <w:tc>
          <w:tcPr>
            <w:tcW w:w="6155" w:type="dxa"/>
            <w:tmTcPr id="1766737683" protected="0"/>
          </w:tcPr>
          <w:p>
            <w:pPr/>
            <w:r>
              <w:t>Jalapeño-</w:t>
              <w:fldChar w:fldCharType="begin"/>
              <w:instrText xml:space="preserve">XE "Chili" \G </w:instrText>
              <w:fldChar w:fldCharType="end"/>
              <w:t>Chili</w:t>
            </w:r>
          </w:p>
        </w:tc>
      </w:tr>
      <w:tr>
        <w:trPr>
          <w:tblHeader w:val="0"/>
          <w:cantSplit w:val="0"/>
          <w:trHeight w:val="0" w:hRule="auto"/>
        </w:trPr>
        <w:tc>
          <w:tcPr>
            <w:tcW w:w="1925" w:type="dxa"/>
            <w:tmTcPr id="1766737683" protected="0"/>
          </w:tcPr>
          <w:p>
            <w:pPr/>
            <w:r>
              <w:t>30.000–50.000</w:t>
            </w:r>
          </w:p>
        </w:tc>
        <w:tc>
          <w:tcPr>
            <w:tcW w:w="6155" w:type="dxa"/>
            <w:tmTcPr id="1766737683" protected="0"/>
          </w:tcPr>
          <w:p>
            <w:pPr/>
            <w:r>
              <w:t xml:space="preserve">reiner Cayennepfeffer (C. annuum*), Urfa biber &amp; </w:t>
              <w:fldChar w:fldCharType="begin"/>
              <w:instrText xml:space="preserve">XE "Chili" \G </w:instrText>
              <w:fldChar w:fldCharType="end"/>
              <w:t>Chili Rawit</w:t>
            </w:r>
          </w:p>
        </w:tc>
      </w:tr>
      <w:tr>
        <w:trPr>
          <w:tblHeader w:val="0"/>
          <w:cantSplit w:val="0"/>
          <w:trHeight w:val="0" w:hRule="auto"/>
        </w:trPr>
        <w:tc>
          <w:tcPr>
            <w:tcW w:w="1925" w:type="dxa"/>
            <w:tmTcPr id="1766737683" protected="0"/>
          </w:tcPr>
          <w:p>
            <w:pPr/>
            <w:r>
              <w:t>50.000–100.000</w:t>
            </w:r>
          </w:p>
        </w:tc>
        <w:tc>
          <w:tcPr>
            <w:tcW w:w="6155" w:type="dxa"/>
            <w:tmTcPr id="1766737683" protected="0"/>
          </w:tcPr>
          <w:p>
            <w:pPr/>
            <w:r>
              <w:t>Piri Piri (C.-frutescens-Sorte), Tepin-</w:t>
              <w:fldChar w:fldCharType="begin"/>
              <w:instrText xml:space="preserve">XE "Chili" \G </w:instrText>
              <w:fldChar w:fldCharType="end"/>
              <w:t>Chili</w:t>
            </w:r>
          </w:p>
        </w:tc>
      </w:tr>
    </w:tbl>
    <w:p>
      <w:pPr>
        <w:pStyle w:val="para3"/>
        <w:numPr>
          <w:ilvl w:val="2"/>
          <w:numId w:val="1"/>
        </w:numPr>
        <w:ind w:left="720" w:hanging="720"/>
      </w:pPr>
      <w:bookmarkStart w:id="121" w:name="_TOC000356"/>
      <w:r/>
      <w:bookmarkStart w:id="122" w:name="_TOC000291"/>
      <w:r/>
      <w:bookmarkStart w:id="123" w:name="_TOC000354"/>
      <w:r>
        <w:fldChar w:fldCharType="begin"/>
        <w:instrText xml:space="preserve">XE "Ingwer" \G </w:instrText>
        <w:fldChar w:fldCharType="end"/>
        <w:t>Ingwer</w:t>
      </w:r>
      <w:bookmarkEnd w:id="120"/>
      <w:r/>
      <w:bookmarkEnd w:id="122"/>
      <w:r/>
      <w:bookmarkEnd w:id="123"/>
      <w:r/>
      <w:bookmarkEnd w:id="121"/>
      <w:r/>
    </w:p>
    <w:p>
      <w:r>
        <w:t xml:space="preserve">Die gesundheitsfördernden Wirkungen des Ingwers gehen nach aktuellem Forschungsstand auf seine sekundären Pflanzenstoffe zurück. Die Ingwerwurzel enthält im rohen Zustand verschiedene ätherische Öle - vor allem Zingiberen, das </w:t>
        <w:fldChar w:fldCharType="begin"/>
        <w:instrText xml:space="preserve">XE "Ingwer" \G </w:instrText>
        <w:fldChar w:fldCharType="end"/>
        <w:t>Ingwer die typisch fruchtige Geschmacksnote verleiht. Für die feurige Schärfe sind die beiden gelben Flüssigkeiten Gingerol und Shogaol verantwortlich, eng verwandte Scharfstoffe. Beim Erhitzen oder Trocknen des Ingwers verändern sich ihre Anteile: Aus Gingerol bildet sich dann vermehrt Shogaol, welches deutlich schärfer ist. Außerdem entsteht dabei das süßlich-scharfe Zingeron (Vanillylaceton), ein Stoff mit entzündungshemmendem Potenzial, wie Laborstudien gezeigt haben.</w:t>
      </w:r>
    </w:p>
    <w:p>
      <w:r>
        <w:t xml:space="preserve">Gingerole und Shogaole wirken stark antioxidativ und entzündungshemmend. Die </w:t>
        <w:fldChar w:fldCharType="begin"/>
        <w:instrText xml:space="preserve">XE "Ingwer" \G </w:instrText>
        <w:fldChar w:fldCharType="end"/>
        <w:t>Ingwer-Scharfstoffe stimulieren das Immunsystem: In Laborversuchen konnte ein Team vom Leibniz-Institut für Lebensmittel-Systembiologie zeigen, dass schon geringe Mengen Gingerol weiße Blutkörperchen in erhöhte Alarmbereitschaft versetzen, sodass die Immunzellen verstärkt auf eine bakterielle Infektion reagieren können.</w:t>
      </w:r>
    </w:p>
    <w:p>
      <w:r>
        <w:t xml:space="preserve">Der Wirkstoff Gingerol im </w:t>
        <w:fldChar w:fldCharType="begin"/>
        <w:instrText xml:space="preserve">XE "Ingwer" \G </w:instrText>
        <w:fldChar w:fldCharType="end"/>
        <w:t xml:space="preserve">Ingwer kann die Verdauung anregen und bei Erkältungskrankheiten helfen. Wer nach fettem Essen Blähungen und Magenprobleme bekommt, kann die Beschwerden mit </w:t>
        <w:fldChar w:fldCharType="begin"/>
        <w:instrText xml:space="preserve">XE "Ingwer" \G </w:instrText>
        <w:fldChar w:fldCharType="end"/>
        <w:t>Ingwer lindern.</w:t>
      </w:r>
    </w:p>
    <w:p>
      <w:pPr>
        <w:pStyle w:val="para3"/>
        <w:numPr>
          <w:ilvl w:val="2"/>
          <w:numId w:val="1"/>
        </w:numPr>
        <w:ind w:left="720" w:hanging="720"/>
      </w:pPr>
      <w:bookmarkStart w:id="124" w:name="_TOC000357"/>
      <w:r/>
      <w:bookmarkStart w:id="125" w:name="_TOC000190"/>
      <w:r>
        <w:fldChar w:fldCharType="begin"/>
        <w:instrText xml:space="preserve">XE "Kurkuma" \G </w:instrText>
        <w:fldChar w:fldCharType="end"/>
        <w:t>Kurkuma</w:t>
      </w:r>
      <w:bookmarkEnd w:id="125"/>
      <w:r/>
      <w:bookmarkEnd w:id="124"/>
      <w:r/>
    </w:p>
    <w:p>
      <w:pPr>
        <w:rPr>
          <w:sz w:val="18"/>
          <w:szCs w:val="18"/>
        </w:rPr>
      </w:pPr>
      <w:r>
        <w:rPr>
          <w:sz w:val="18"/>
          <w:szCs w:val="18"/>
        </w:rPr>
        <w:t xml:space="preserve">Quelle: </w:t>
      </w:r>
      <w:hyperlink r:id="rId64" w:history="1">
        <w:r>
          <w:rPr>
            <w:rStyle w:val="char20"/>
            <w:sz w:val="18"/>
            <w:szCs w:val="18"/>
          </w:rPr>
          <w:t>https://www.paracelsus.de/magazin/ausgabe/201504/</w:t>
          <w:fldChar w:fldCharType="begin"/>
          <w:instrText xml:space="preserve">XE "Kurkuma" \G </w:instrText>
          <w:fldChar w:fldCharType="end"/>
          <w:t>kurkuma-schwarzer-</w:t>
          <w:fldChar w:fldCharType="begin"/>
          <w:instrText xml:space="preserve">XE "Pfeffer" \G </w:instrText>
          <w:fldChar w:fldCharType="end"/>
          <w:t>pfeffer</w:t>
        </w:r>
      </w:hyperlink>
      <w:r>
        <w:rPr>
          <w:sz w:val="18"/>
          <w:szCs w:val="18"/>
        </w:rPr>
        <w:t>, 14.07.2025</w:t>
      </w:r>
      <w:r>
        <w:rPr>
          <w:sz w:val="18"/>
          <w:szCs w:val="18"/>
        </w:rPr>
      </w:r>
    </w:p>
    <w:p>
      <w:r>
        <w:t xml:space="preserve">Die traditionelle Heilpflanze und Wurzelknolle </w:t>
        <w:fldChar w:fldCharType="begin"/>
        <w:instrText xml:space="preserve">XE "Kurkuma" \G </w:instrText>
        <w:fldChar w:fldCharType="end"/>
        <w:t xml:space="preserve">Kurkuma wird seit mindestens 3000 Jahren in der indischen ayurvedischen Medizin verwendet. </w:t>
      </w:r>
    </w:p>
    <w:p>
      <w:pPr>
        <w:ind w:left="113" w:right="109"/>
        <w:pBdr>
          <w:top w:val="single" w:sz="24" w:space="3" w:color="007F7F" tmln="60, 20, 20, 0, 60"/>
          <w:left w:val="single" w:sz="24" w:space="3" w:color="007F7F" tmln="60, 20, 20, 0, 60"/>
          <w:bottom w:val="single" w:sz="24" w:space="3" w:color="007F7F" tmln="60, 20, 20, 0, 60"/>
          <w:right w:val="single" w:sz="24" w:space="3" w:color="007F7F" tmln="60, 20, 20, 0, 60"/>
          <w:between w:val="nil" w:sz="0" w:space="0" w:color="000000" tmln="20, 20, 20, 0, 0"/>
        </w:pBdr>
        <w:shd w:val="none"/>
      </w:pPr>
      <w:r>
        <w:t>Dr. Feil schreibt in seiner Rundmail zur Knorpel- und Knochenkur:</w:t>
      </w:r>
    </w:p>
    <w:p>
      <w:pPr>
        <w:ind w:left="113" w:right="109"/>
        <w:spacing/>
        <w:jc w:val="left"/>
        <w:pBdr>
          <w:top w:val="single" w:sz="24" w:space="3" w:color="007F7F" tmln="60, 20, 20, 0, 60"/>
          <w:left w:val="single" w:sz="24" w:space="3" w:color="007F7F" tmln="60, 20, 20, 0, 60"/>
          <w:bottom w:val="single" w:sz="24" w:space="3" w:color="007F7F" tmln="60, 20, 20, 0, 60"/>
          <w:right w:val="single" w:sz="24" w:space="3" w:color="007F7F" tmln="60, 20, 20, 0, 60"/>
          <w:between w:val="nil" w:sz="0" w:space="0" w:color="000000" tmln="20, 20, 20, 0, 0"/>
        </w:pBdr>
        <w:shd w:val="none"/>
      </w:pPr>
      <w:r>
        <w:t xml:space="preserve">In Indien, wo </w:t>
        <w:fldChar w:fldCharType="begin"/>
        <w:instrText xml:space="preserve">XE "Kurkuma" \G </w:instrText>
        <w:fldChar w:fldCharType="end"/>
        <w:t xml:space="preserve">Kurkuma für viele Gerichte verwendet wird, geht man davon aus, dass </w:t>
        <w:fldChar w:fldCharType="begin"/>
        <w:instrText xml:space="preserve">XE "Kurkuma" \G </w:instrText>
        <w:fldChar w:fldCharType="end"/>
        <w:t>Kurkuma für die – im Vergleich zu westlichen Ländern – niedrige Krebsrate verantwortlich ist.</w:t>
      </w:r>
    </w:p>
    <w:p>
      <w:r>
        <w:t xml:space="preserve">Seit dem frühen Mittelalter ist </w:t>
        <w:fldChar w:fldCharType="begin"/>
        <w:instrText xml:space="preserve">XE "Kurkuma" \G </w:instrText>
        <w:fldChar w:fldCharType="end"/>
        <w:t xml:space="preserve">Kurkuma auch in Europa gebräuchlich und bewährt. Besonders in Mitteleuropa wurde </w:t>
        <w:fldChar w:fldCharType="begin"/>
        <w:instrText xml:space="preserve">XE "Kurkuma" \G </w:instrText>
        <w:fldChar w:fldCharType="end"/>
        <w:t xml:space="preserve">Kurkuma, das viele Jahrzehnte lang als Gewürz und Farbbestandteil des Currypulvers genutzt wurde, als ein vielseitiges Heilmittel bekannt. Mittlerweile ist </w:t>
        <w:fldChar w:fldCharType="begin"/>
        <w:instrText xml:space="preserve">XE "Kurkuma" \G </w:instrText>
        <w:fldChar w:fldCharType="end"/>
        <w:t xml:space="preserve">Kurkuma (Curcuma longa L., Zingberacae) international als ein vital- und nährstoffreiches Pflanzenprodukt anerkannt. Die Deutsche Arzneimittelvorschrift gibt bisher „Verdauungsbeschwerden“ als Hauptanwendungsgebiet der Kurkumawurzel an. Die WHO nennt „Gelenk- und Rheumaschmerzen“ sowie auch „Funktionsstörungen der Verdauungsorgane“ als wesentliche Indikationen. Der tatsächliche Indikationsbereich von </w:t>
        <w:fldChar w:fldCharType="begin"/>
        <w:instrText xml:space="preserve">XE "Kurkuma" \G </w:instrText>
        <w:fldChar w:fldCharType="end"/>
        <w:t xml:space="preserve">Kurkuma wird zwischenzeitlich von diesen beiden Gesundheitsinstitutionen als wesentlich größer erkannt. Es existiert eine Vielzahl internationaler Studien, die die Wirkungen dieser Heilpflanze auch wissenschaftlich nachweisen konnten. </w:t>
        <w:fldChar w:fldCharType="begin"/>
        <w:instrText xml:space="preserve">XE "Kurkuma" \G </w:instrText>
        <w:fldChar w:fldCharType="end"/>
        <w:t xml:space="preserve">Kurkuma kann nicht überdosiert werden und hat keine Gegenanzeigen, was die Wurzel für jeden geeignet macht. Der Wirkungseintritt ist schnell und die Anwendungsmöglichkeiten sind sehr vielfältig und entsprechend multipotent. Alles Eigenschaften, die </w:t>
        <w:fldChar w:fldCharType="begin"/>
        <w:instrText xml:space="preserve">XE "Kurkuma" \G </w:instrText>
        <w:fldChar w:fldCharType="end"/>
        <w:t>Kurkuma für viele Beschwerden perfekt geeignet macht!</w:t>
      </w:r>
    </w:p>
    <w:p>
      <w:pPr>
        <w:pStyle w:val="para4"/>
        <w:numPr>
          <w:ilvl w:val="3"/>
          <w:numId w:val="1"/>
        </w:numPr>
        <w:ind w:left="1077" w:hanging="1077"/>
      </w:pPr>
      <w:bookmarkStart w:id="126" w:name="_TOC000358"/>
      <w:r/>
      <w:bookmarkStart w:id="127" w:name="_TOC000090"/>
      <w:r/>
      <w:bookmarkStart w:id="128" w:name="_TOC000191"/>
      <w:r/>
      <w:bookmarkEnd w:id="128"/>
      <w:r/>
      <w:bookmarkStart w:id="129" w:name="_TOC000192"/>
      <w:r/>
      <w:bookmarkStart w:id="130" w:name="_TOC000240"/>
      <w:r/>
      <w:bookmarkStart w:id="131" w:name="_TOC000351"/>
      <w:r>
        <w:t xml:space="preserve">Wirkungsbereich von </w:t>
        <w:fldChar w:fldCharType="begin"/>
        <w:instrText xml:space="preserve">XE "Kurkuma" \G </w:instrText>
        <w:fldChar w:fldCharType="end"/>
        <w:t>Kurkuma</w:t>
      </w:r>
      <w:bookmarkEnd w:id="129"/>
      <w:r/>
      <w:bookmarkEnd w:id="130"/>
      <w:r/>
      <w:bookmarkEnd w:id="127"/>
      <w:r/>
      <w:bookmarkEnd w:id="131"/>
      <w:r/>
      <w:bookmarkEnd w:id="126"/>
      <w:r/>
    </w:p>
    <w:p>
      <w:pPr>
        <w:pStyle w:val="para17"/>
        <w:numPr>
          <w:ilvl w:val="1"/>
          <w:numId w:val="2"/>
        </w:numPr>
        <w:ind w:left="397" w:hanging="197"/>
        <w:spacing w:after="40" w:line="240" w:lineRule="auto"/>
      </w:pPr>
      <w:r>
        <w:t>Fördert die Bildung von Gallensäuren und erleichtert die Entleerung der Gallenblase</w:t>
      </w:r>
    </w:p>
    <w:p>
      <w:pPr>
        <w:pStyle w:val="para17"/>
        <w:numPr>
          <w:ilvl w:val="1"/>
          <w:numId w:val="2"/>
        </w:numPr>
        <w:ind w:left="397" w:hanging="197"/>
        <w:spacing w:after="40" w:line="240" w:lineRule="auto"/>
      </w:pPr>
      <w:r>
        <w:t>Anregung der Enzymproduktion in der Bauchspeicheldrüse (Fettaufspaltung)</w:t>
      </w:r>
    </w:p>
    <w:p>
      <w:pPr>
        <w:pStyle w:val="para17"/>
        <w:numPr>
          <w:ilvl w:val="1"/>
          <w:numId w:val="2"/>
        </w:numPr>
        <w:ind w:left="397" w:hanging="197"/>
        <w:spacing w:after="40" w:line="240" w:lineRule="auto"/>
      </w:pPr>
      <w:r>
        <w:t>Aktiviert die Verdauung von Nahrungsfetten</w:t>
      </w:r>
    </w:p>
    <w:p>
      <w:pPr>
        <w:pStyle w:val="para17"/>
        <w:numPr>
          <w:ilvl w:val="1"/>
          <w:numId w:val="2"/>
        </w:numPr>
        <w:ind w:left="397" w:hanging="197"/>
        <w:spacing w:after="40" w:line="240" w:lineRule="auto"/>
      </w:pPr>
      <w:r>
        <w:t>Cholesterin senkend</w:t>
      </w:r>
    </w:p>
    <w:p>
      <w:pPr>
        <w:pStyle w:val="para17"/>
        <w:numPr>
          <w:ilvl w:val="1"/>
          <w:numId w:val="2"/>
        </w:numPr>
        <w:ind w:left="397" w:hanging="197"/>
        <w:spacing w:after="40" w:line="240" w:lineRule="auto"/>
      </w:pPr>
      <w:r>
        <w:t>Besitzt eine ausgeprägte entzündungshemmende Wirkung auf reizaktive Körperprozesse</w:t>
      </w:r>
    </w:p>
    <w:p>
      <w:pPr>
        <w:pStyle w:val="para17"/>
        <w:numPr>
          <w:ilvl w:val="1"/>
          <w:numId w:val="2"/>
        </w:numPr>
        <w:ind w:left="397" w:hanging="197"/>
        <w:spacing w:after="40" w:line="240" w:lineRule="auto"/>
      </w:pPr>
      <w:r>
        <w:t>Fördert die körpereigenen Entgiftungsprozesse der Leber</w:t>
      </w:r>
    </w:p>
    <w:p>
      <w:pPr>
        <w:pStyle w:val="para17"/>
        <w:numPr>
          <w:ilvl w:val="1"/>
          <w:numId w:val="2"/>
        </w:numPr>
        <w:ind w:left="397" w:hanging="197"/>
        <w:spacing w:after="40" w:line="240" w:lineRule="auto"/>
      </w:pPr>
      <w:r>
        <w:t>Schützt die Zellen vor Freien-Radikalmolekülen (Anti-Aging)</w:t>
      </w:r>
    </w:p>
    <w:p>
      <w:pPr>
        <w:pStyle w:val="para17"/>
        <w:numPr>
          <w:ilvl w:val="1"/>
          <w:numId w:val="2"/>
        </w:numPr>
        <w:ind w:left="397" w:hanging="197"/>
        <w:spacing w:after="40" w:line="240" w:lineRule="auto"/>
      </w:pPr>
      <w:r>
        <w:t xml:space="preserve">Vorbeugend gegen Arteriosklerose durch Hemmung der </w:t>
      </w:r>
      <w:r>
        <w:rPr>
          <w:b/>
          <w:bCs/>
        </w:rPr>
        <w:t>LDL-Peroxidation</w:t>
      </w:r>
      <w:r>
        <w:t xml:space="preserve"> und </w:t>
      </w:r>
      <w:r>
        <w:rPr>
          <w:b/>
          <w:bCs/>
        </w:rPr>
        <w:t>Thrombozytenaggregation</w:t>
      </w:r>
      <w:r/>
    </w:p>
    <w:p>
      <w:pPr>
        <w:ind w:left="510" w:right="392"/>
        <w:spacing/>
        <w:jc w:val="left"/>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r>
        <w:rPr>
          <w:rFonts w:eastAsia="Times New Roman" w:cs="Tahoma"/>
          <w:b/>
          <w:bCs/>
          <w:color w:val="000000"/>
        </w:rPr>
        <w:t>LDL-Peroxidation</w:t>
      </w:r>
      <w:r>
        <w:t xml:space="preserve"> ist ein Prozess, bei dem Low-Density-Lipoprotein-Partikel (LDL) durch hochreaktive Radikale oxidiert werden, was zur Bildung von oxidiertem LDL (oxLDL) führt. Dieser chemische Prozess ist ein zentraler Schritt in der Entstehung von Arteriosklerose, da oxLDL Entzündungen fördert und zur Ansammlung von Makrophagen-Schaumzellen in den Arterienwänden beiträgt, was die Bildung atherosklerotischer Plaques beschleunigt.</w:t>
        <w:br w:type="textWrapping"/>
        <w:t xml:space="preserve">Die </w:t>
      </w:r>
      <w:r>
        <w:rPr>
          <w:b/>
          <w:bCs/>
        </w:rPr>
        <w:t>Thrombozytenaggregation</w:t>
      </w:r>
      <w:r>
        <w:t xml:space="preserve"> ist das Verklumpen von Blutplättchen (Thrombozyten), um eine Verletzung der Blutgefäße zu verschließen. Dabei aktivieren sich die Thrombozyten nach einer Gefäßwandverletzung, haften aneinander (Aggregation) und bilden einen provisorischen Pfropfen, der zur primären Blutstillung führt. </w:t>
      </w:r>
    </w:p>
    <w:p>
      <w:pPr>
        <w:pStyle w:val="para17"/>
        <w:numPr>
          <w:ilvl w:val="1"/>
          <w:numId w:val="2"/>
        </w:numPr>
        <w:ind w:left="397" w:hanging="197"/>
        <w:spacing w:after="40" w:line="240" w:lineRule="auto"/>
      </w:pPr>
      <w:r>
        <w:t>Sorgt für eine natürliche Regulation des Blutzuckerspiegels (Curcuminoide I-III)</w:t>
      </w:r>
    </w:p>
    <w:p>
      <w:pPr>
        <w:pStyle w:val="para17"/>
        <w:numPr>
          <w:ilvl w:val="1"/>
          <w:numId w:val="2"/>
        </w:numPr>
        <w:ind w:left="397" w:hanging="197"/>
        <w:spacing w:after="60" w:line="240" w:lineRule="auto"/>
      </w:pPr>
      <w:r>
        <w:t>Lindert rheumatische und arthrotische Gelenkbeschwerden</w:t>
      </w:r>
    </w:p>
    <w:p>
      <w:bookmarkStart w:id="132" w:name="_TOC000193"/>
      <w:r/>
      <w:bookmarkEnd w:id="132"/>
      <w:r>
        <w:t xml:space="preserve">Der Wirkstoff des Kurkumas, das </w:t>
      </w:r>
      <w:r>
        <w:rPr>
          <w:b/>
          <w:bCs/>
        </w:rPr>
        <w:t>Curcumin, ist fettlöslich und wird kaum vom Darm aufgenommen</w:t>
      </w:r>
      <w:r>
        <w:t xml:space="preserve">. Deshalb muss eine Prise </w:t>
        <w:fldChar w:fldCharType="begin"/>
        <w:instrText xml:space="preserve">XE "Pfeffer" \G </w:instrText>
        <w:fldChar w:fldCharType="end"/>
        <w:t>Pfeffer dazugegeben werden. Das Piperin des Pfeffers wirkt wie ein Katalysator und erhöht im Darm die Aufnahmefähigkeit des Curcumins.</w:t>
      </w:r>
    </w:p>
    <w:p>
      <w:r>
        <w:t>Studien haben gezeigt, dass die Zugabe von Piperin die Bioverfügbarkeit von Curcumin um das bis zu 20-fache erhöht. Dies geschieht auf zwei Arten:</w:t>
      </w:r>
    </w:p>
    <w:p>
      <w:r>
        <w:t>1. Piperin erleichtert die Passage von Curcumin durch die Darmwand in den Blutkreislauf.</w:t>
      </w:r>
    </w:p>
    <w:p>
      <w:r>
        <w:t>2. Es verlangsamt den Abbau von Curcumin in der Leber, was zu höheren Blutspiegeln führt.</w:t>
      </w:r>
    </w:p>
    <w:p>
      <w:pPr>
        <w:pStyle w:val="para3"/>
        <w:numPr>
          <w:ilvl w:val="2"/>
          <w:numId w:val="1"/>
        </w:numPr>
        <w:ind w:left="720" w:hanging="720"/>
      </w:pPr>
      <w:bookmarkStart w:id="133" w:name="_TOC000292"/>
      <w:r/>
      <w:bookmarkStart w:id="134" w:name="_TOC000202"/>
      <w:r/>
      <w:bookmarkStart w:id="135" w:name="_TOC000277"/>
      <w:r>
        <w:fldChar w:fldCharType="begin"/>
        <w:instrText xml:space="preserve">XE "Pfeffer" \G </w:instrText>
        <w:fldChar w:fldCharType="end"/>
        <w:t>Pfeffer</w:t>
      </w:r>
      <w:bookmarkEnd w:id="134"/>
      <w:r/>
      <w:bookmarkEnd w:id="135"/>
      <w:r/>
      <w:bookmarkEnd w:id="133"/>
      <w:r/>
    </w:p>
    <w:p>
      <w:bookmarkStart w:id="136" w:name="_TOC000008"/>
      <w:r/>
      <w:r>
        <w:rPr>
          <w:sz w:val="18"/>
          <w:szCs w:val="18"/>
        </w:rPr>
        <w:t xml:space="preserve">Quelle: </w:t>
      </w:r>
      <w:hyperlink r:id="rId64" w:history="1">
        <w:r>
          <w:rPr>
            <w:rStyle w:val="char20"/>
            <w:sz w:val="18"/>
            <w:szCs w:val="18"/>
          </w:rPr>
          <w:t>https://www.hennesfinest.com/pfefferwissen/allgemeines-zu-</w:t>
          <w:fldChar w:fldCharType="begin"/>
          <w:instrText xml:space="preserve">XE "Pfeffer" \G </w:instrText>
          <w:fldChar w:fldCharType="end"/>
          <w:t>pfeffer/</w:t>
        </w:r>
      </w:hyperlink>
      <w:r>
        <w:t>, 06.09.2025</w:t>
      </w:r>
    </w:p>
    <w:p>
      <w:r>
        <w:t xml:space="preserve">Der „echte“ </w:t>
        <w:fldChar w:fldCharType="begin"/>
        <w:instrText xml:space="preserve">XE "Pfeffer" \G </w:instrText>
        <w:fldChar w:fldCharType="end"/>
        <w:t xml:space="preserve">Pfeffer stammt von der Pflanzenart Piper nigrum, einem Pfeffergewächs. An der Pfefferpflanze – auch als Pfefferstrauch oder Pfefferbaum bezeichnet – entwickeln sich Steinfrüchte, die dann, je nach Reifegrad, als grüner, schwarzer, weißer oder roter </w:t>
        <w:fldChar w:fldCharType="begin"/>
        <w:instrText xml:space="preserve">XE "Pfeffer" \G </w:instrText>
        <w:fldChar w:fldCharType="end"/>
        <w:t>Pfeffer geerntet und weiterverarbeitet werden.</w:t>
      </w:r>
    </w:p>
    <w:p>
      <w:r>
        <w:t xml:space="preserve">Sie enthalten das Alkaloid Piperin, das verantwortlich ist für den charakteristischen Pfeffergeschmack. Doch nicht nur die Schärfe allein macht den </w:t>
        <w:fldChar w:fldCharType="begin"/>
        <w:instrText xml:space="preserve">XE "Pfeffer" \G </w:instrText>
        <w:fldChar w:fldCharType="end"/>
        <w:t xml:space="preserve">Pfeffer so begehrt, sondern auch die enthaltenen ätherischen Öle sowie verdauungsfördernde und aktivierende Inhaltsstoffe. Schwarzer </w:t>
        <w:fldChar w:fldCharType="begin"/>
        <w:instrText xml:space="preserve">XE "Pfeffer" \G </w:instrText>
        <w:fldChar w:fldCharType="end"/>
        <w:t xml:space="preserve">Pfeffer zählt daher auch zu den Heilpflanzen. </w:t>
      </w:r>
    </w:p>
    <w:p>
      <w:pPr>
        <w:pStyle w:val="para17"/>
        <w:numPr>
          <w:ilvl w:val="1"/>
          <w:numId w:val="2"/>
        </w:numPr>
        <w:ind w:left="397" w:hanging="197"/>
      </w:pPr>
      <w:r>
        <w:rPr>
          <w:b/>
          <w:bCs/>
        </w:rPr>
        <w:t xml:space="preserve">Grüner </w:t>
        <w:fldChar w:fldCharType="begin"/>
        <w:instrText xml:space="preserve">XE "Pfeffer" \G </w:instrText>
        <w:fldChar w:fldCharType="end"/>
        <w:t>Pfeffer:</w:t>
      </w:r>
      <w:r>
        <w:t xml:space="preserve"> Der grüne </w:t>
        <w:fldChar w:fldCharType="begin"/>
        <w:instrText xml:space="preserve">XE "Pfeffer" \G </w:instrText>
        <w:fldChar w:fldCharType="end"/>
        <w:t xml:space="preserve">Pfeffer wird bereits gepflückt, wenn die Früchte bzw. Beeren des Pfefferstrauchs noch nicht ausgereift und daher grün sind. Hat man nicht die Chance, ihn frisch zu essen, müssen die Pfefferkörner eingelegt, getrocknet oder mit Salz laktofermentiert werden. In allen Fällen verliert der grüne </w:t>
        <w:fldChar w:fldCharType="begin"/>
        <w:instrText xml:space="preserve">XE "Pfeffer" \G </w:instrText>
        <w:fldChar w:fldCharType="end"/>
        <w:t>Pfeffer Teile seines typischen Aromas und gewinnt dafür, je nach Qualität und Methode, andere Aromen hinzu.</w:t>
      </w:r>
    </w:p>
    <w:p>
      <w:pPr>
        <w:pStyle w:val="para17"/>
        <w:numPr>
          <w:ilvl w:val="1"/>
          <w:numId w:val="2"/>
        </w:numPr>
        <w:ind w:left="397" w:hanging="197"/>
      </w:pPr>
      <w:r>
        <w:rPr>
          <w:b/>
          <w:bCs/>
        </w:rPr>
        <w:t xml:space="preserve">Schwarzer </w:t>
        <w:fldChar w:fldCharType="begin"/>
        <w:instrText xml:space="preserve">XE "Pfeffer" \G </w:instrText>
        <w:fldChar w:fldCharType="end"/>
        <w:t>Pfeffer:</w:t>
      </w:r>
      <w:r>
        <w:t xml:space="preserve"> Auch der schwarze </w:t>
        <w:fldChar w:fldCharType="begin"/>
        <w:instrText xml:space="preserve">XE "Pfeffer" \G </w:instrText>
        <w:fldChar w:fldCharType="end"/>
        <w:t xml:space="preserve">Pfeffer wird geerntet, sobald die Frucht am Strauch noch eine grüne oder grün-gelbe Farbe zeigt. Anschließend werden die Pfefferbeeren bzw. -früchte durch Trocknung haltbar gemacht. Enzyme im Fruchtfleisch bewirken, dass der noch unreife </w:t>
        <w:fldChar w:fldCharType="begin"/>
        <w:instrText xml:space="preserve">XE "Pfeffer" \G </w:instrText>
        <w:fldChar w:fldCharType="end"/>
        <w:t xml:space="preserve">Pfeffer während der Trocknung in der Sonne fermentiert, wobei er sich dunkel verfärbt. Je nach Herkunftsgebiet variiert das Aussehen der Pfefferkörner von groß und rostrot bis tiefbraun oder klein und dunkelgrau bis schwarz. Schwarze Pfefferkörner unterscheiden sich je nach Anbaugebiet und Qualität auch deutlich in Aroma und Schärfe. Hochwertiger </w:t>
        <w:fldChar w:fldCharType="begin"/>
        <w:instrText xml:space="preserve">XE "Pfeffer" \G </w:instrText>
        <w:fldChar w:fldCharType="end"/>
        <w:t>Pfeffer wird im selben grünen Reifegrad geerntet, anschließend jedoch von Hand selektiert, sodass ein in Größe, Farbe und Aroma sehr homogenes Produkt entsteht.</w:t>
      </w:r>
    </w:p>
    <w:p>
      <w:pPr>
        <w:pStyle w:val="para17"/>
        <w:numPr>
          <w:ilvl w:val="1"/>
          <w:numId w:val="2"/>
        </w:numPr>
        <w:ind w:left="397" w:hanging="197"/>
      </w:pPr>
      <w:r>
        <w:rPr>
          <w:b/>
          <w:bCs/>
        </w:rPr>
        <w:t xml:space="preserve">Weißer </w:t>
        <w:fldChar w:fldCharType="begin"/>
        <w:instrText xml:space="preserve">XE "Pfeffer" \G </w:instrText>
        <w:fldChar w:fldCharType="end"/>
        <w:t>Pfeffer:</w:t>
      </w:r>
      <w:r>
        <w:t xml:space="preserve"> Der weiße </w:t>
        <w:fldChar w:fldCharType="begin"/>
        <w:instrText xml:space="preserve">XE "Pfeffer" \G </w:instrText>
        <w:fldChar w:fldCharType="end"/>
        <w:t xml:space="preserve">Pfeffer wird durch ein besonderes Wasserbad vom Fruchtfleisch befreit. Übrig bleibt nach dem Waschen lediglich der empfindliche Kern der Pfefferfrucht. Bei der zeitnahen Trocknung ist äußerste Achtsamkeit erforderlich, denn wird der </w:t>
        <w:fldChar w:fldCharType="begin"/>
        <w:instrText xml:space="preserve">XE "Pfeffer" \G </w:instrText>
        <w:fldChar w:fldCharType="end"/>
        <w:t xml:space="preserve">Pfeffer nicht schnell und sorgfältig getrocknet, entstehen faulig-muffige Fehlaromen, die mitunter auf unangenehme Weise an Kuhstall- oder Misthaufengeruch erinnern. Wichtig: Beim weißen </w:t>
        <w:fldChar w:fldCharType="begin"/>
        <w:instrText xml:space="preserve">XE "Pfeffer" \G </w:instrText>
        <w:fldChar w:fldCharType="end"/>
        <w:t xml:space="preserve">Pfeffer gibt es gravierende Qualitätsunterschiede! Ein schlechter weißer </w:t>
        <w:fldChar w:fldCharType="begin"/>
        <w:instrText xml:space="preserve">XE "Pfeffer" \G </w:instrText>
        <w:fldChar w:fldCharType="end"/>
        <w:t xml:space="preserve">Pfeffer kann das Essen leider komplett versauen, ein hochwertiger weißer </w:t>
        <w:fldChar w:fldCharType="begin"/>
        <w:instrText xml:space="preserve">XE "Pfeffer" \G </w:instrText>
        <w:fldChar w:fldCharType="end"/>
        <w:t xml:space="preserve">Pfeffer, wie zum Beispiel unser weißer Kampot </w:t>
        <w:fldChar w:fldCharType="begin"/>
        <w:instrText xml:space="preserve">XE "Pfeffer" \G </w:instrText>
        <w:fldChar w:fldCharType="end"/>
        <w:t>Pfeffer, ist hingegen ein echter Hochgenuss, der das Gericht merklich aufwertet.</w:t>
      </w:r>
    </w:p>
    <w:p>
      <w:pPr>
        <w:pStyle w:val="para17"/>
        <w:numPr>
          <w:ilvl w:val="1"/>
          <w:numId w:val="2"/>
        </w:numPr>
        <w:ind w:left="397" w:hanging="197"/>
      </w:pPr>
      <w:r>
        <w:rPr>
          <w:b/>
          <w:bCs/>
        </w:rPr>
        <w:t xml:space="preserve">Echter roter </w:t>
        <w:fldChar w:fldCharType="begin"/>
        <w:instrText xml:space="preserve">XE "Pfeffer" \G </w:instrText>
        <w:fldChar w:fldCharType="end"/>
        <w:t>Pfeffer:</w:t>
      </w:r>
      <w:r>
        <w:t xml:space="preserve"> Beim echten roten </w:t>
        <w:fldChar w:fldCharType="begin"/>
        <w:instrText xml:space="preserve">XE "Pfeffer" \G </w:instrText>
        <w:fldChar w:fldCharType="end"/>
        <w:t xml:space="preserve">Pfeffer handelt es sich um eine Art Spätlese, vergleichbar mit dem Weinbau. Die Pfefferfrucht bleibt so lange an der Pflanze hängen, bis sie sich rot färbt. Erst dann wird der </w:t>
        <w:fldChar w:fldCharType="begin"/>
        <w:instrText xml:space="preserve">XE "Pfeffer" \G </w:instrText>
        <w:fldChar w:fldCharType="end"/>
        <w:t xml:space="preserve">Pfeffer geerntet. Durch den erhöhten </w:t>
        <w:fldChar w:fldCharType="begin"/>
        <w:instrText xml:space="preserve">XE "Fructose" \G </w:instrText>
        <w:fldChar w:fldCharType="end"/>
        <w:t xml:space="preserve">Fructose- (Fruchtzucker) Anteil im Fruchtfleisch bekommt der rote </w:t>
        <w:fldChar w:fldCharType="begin"/>
        <w:instrText xml:space="preserve">XE "Pfeffer" \G </w:instrText>
        <w:fldChar w:fldCharType="end"/>
        <w:t xml:space="preserve">Pfeffer eine süßlich-fruchtige Note. Doch nicht nur der Fruchtzuckergehalt steigt, auch der Gehalt an Piperin im Kern nimmt zu. Durch den höheren Piperin-Gehalt ist roter </w:t>
        <w:fldChar w:fldCharType="begin"/>
        <w:instrText xml:space="preserve">XE "Pfeffer" \G </w:instrText>
        <w:fldChar w:fldCharType="end"/>
        <w:t xml:space="preserve">Pfeffer auch der schärfste der vier Pfeffersorten. Man darf diese Rarität nicht mit der „Rosa-Beere„, einer Schinusfrucht, verwechseln. Diese Frucht hat rein gar nichts mit der Pfefferpflanze zu tun. Dennoch wird sie oft fälschlicherweise als „Roter </w:t>
        <w:fldChar w:fldCharType="begin"/>
        <w:instrText xml:space="preserve">XE "Pfeffer" \G </w:instrText>
        <w:fldChar w:fldCharType="end"/>
        <w:t>Pfeffer“ bezeichnet und gern in fertig gemahlenen Pfeffermischungen und in billigen, bereits befüllten „Pfeffermühlen“ verkauft.</w:t>
      </w:r>
    </w:p>
    <w:p>
      <w:pPr>
        <w:pStyle w:val="para4"/>
        <w:numPr>
          <w:ilvl w:val="3"/>
          <w:numId w:val="1"/>
        </w:numPr>
        <w:ind w:left="1077" w:hanging="1077"/>
      </w:pPr>
      <w:bookmarkStart w:id="137" w:name="_TOC000228"/>
      <w:r>
        <w:t xml:space="preserve">Schwarzer </w:t>
        <w:fldChar w:fldCharType="begin"/>
        <w:instrText xml:space="preserve">XE "Pfeffer" \G </w:instrText>
        <w:fldChar w:fldCharType="end"/>
        <w:t>Pfeffer</w:t>
      </w:r>
      <w:bookmarkEnd w:id="137"/>
      <w:r/>
    </w:p>
    <w:p>
      <w:r>
        <w:rPr>
          <w:sz w:val="18"/>
          <w:szCs w:val="18"/>
        </w:rPr>
        <w:t xml:space="preserve">Quelle: </w:t>
      </w:r>
      <w:hyperlink r:id="rId64" w:history="1">
        <w:r>
          <w:rPr>
            <w:rStyle w:val="char20"/>
            <w:sz w:val="18"/>
            <w:szCs w:val="18"/>
          </w:rPr>
          <w:t>https://www.paracelsus.de/magazin/ausgabe/201504/</w:t>
          <w:fldChar w:fldCharType="begin"/>
          <w:instrText xml:space="preserve">XE "Kurkuma" \G </w:instrText>
          <w:fldChar w:fldCharType="end"/>
          <w:t>kurkuma-schwarzer-</w:t>
          <w:fldChar w:fldCharType="begin"/>
          <w:instrText xml:space="preserve">XE "Pfeffer" \G </w:instrText>
          <w:fldChar w:fldCharType="end"/>
          <w:t>pfeffer</w:t>
        </w:r>
      </w:hyperlink>
      <w:r>
        <w:t>, 14.07.2025</w:t>
      </w:r>
    </w:p>
    <w:p>
      <w:r>
        <w:rPr>
          <w:noProof/>
        </w:rPr>
        <mc:AlternateContent>
          <mc:Choice Requires="wps">
            <w:drawing>
              <wp:anchor distT="71755" distB="71755" distL="89535" distR="0" simplePos="0" relativeHeight="251658309" behindDoc="0" locked="0" layoutInCell="0" hidden="0" allowOverlap="1">
                <wp:simplePos x="0" y="0"/>
                <wp:positionH relativeFrom="column">
                  <wp:posOffset>3232785</wp:posOffset>
                </wp:positionH>
                <wp:positionV relativeFrom="paragraph">
                  <wp:posOffset>26670</wp:posOffset>
                </wp:positionV>
                <wp:extent cx="2469515" cy="2075180"/>
                <wp:effectExtent l="6350" t="6350" r="6350" b="6350"/>
                <wp:wrapSquare wrapText="bothSides"/>
                <wp:docPr id="69" name="Textbox23"/>
                <wp:cNvGraphicFramePr/>
                <a:graphic xmlns:a="http://schemas.openxmlformats.org/drawingml/2006/main">
                  <a:graphicData uri="http://schemas.microsoft.com/office/word/2010/wordprocessingShape">
                    <wps:wsp>
                      <wps:cNvSpPr txBox="1">
                        <a:codePr string="" type="161218559" text="1"/>
                        <a:extLst>
                          <a:ext uri="sm">
                            <sm:smNativeData xmlns:sm="sm" val="SMDATA_15_E0dOaRMAAAAlAAAAEgAAAA0AAAAAcQAAAHEAAABxAAAAcQ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AA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MYHAAB8LgAAyE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JoDAAAAogAAAAAAAAAAAAAAAAAAAgAAAOMTAAABAAAAAgAAACoAAAAxDwAAxAwAADkAAwA1FwAAswUAACgAAAAIAAAAAQAAAAIAAAAwAAAAFAAAAAAAAAAAAP//AAABAAAA//8AAAEA"/>
                          </a:ext>
                        </a:extLst>
                      </wps:cNvSpPr>
                      <wps:spPr>
                        <a:xfrm>
                          <a:off x="0" y="0"/>
                          <a:ext cx="2469515" cy="2075180"/>
                        </a:xfrm>
                        <a:prstGeom prst="rect">
                          <a:avLst/>
                        </a:prstGeom>
                        <a:noFill/>
                        <a:ln w="6350">
                          <a:solidFill>
                            <a:srgbClr val="000000"/>
                          </a:solidFill>
                        </a:ln>
                      </wps:spPr>
                      <wps:txbx>
                        <w:txbxContent>
                          <w:p>
                            <w:pPr>
                              <w:spacing/>
                              <w:jc w:val="left"/>
                            </w:pPr>
                            <w:r>
                              <w:rPr>
                                <w:b/>
                                <w:bCs/>
                              </w:rPr>
                              <w:t>Alkaloide</w:t>
                            </w:r>
                            <w:r>
                              <w:t xml:space="preserve"> sind stickstoffhaltige, meist basische Naturstoffe, die in Pflanzen, Pilzen, Bakterien und Tieren vorkommen und oft eine starke Wirkung auf Organismen haben können. Sie umfassen eine Vielzahl von Verbindungen wie Koffein, Nikotin und Morphin, die je nach Dosis als Arzneimittel, Rauschmittel oder Gift wirken.</w:t>
                            </w:r>
                          </w:p>
                        </w:txbxContent>
                      </wps:txbx>
                      <wps:bodyPr spcFirstLastPara="1" vertOverflow="clip" horzOverflow="clip" lIns="71755" tIns="71755" rIns="71755" bIns="71755" upright="1">
                        <a:prstTxWarp prst="textNoShape">
                          <a:avLst/>
                        </a:prstTxWarp>
                        <a:spAutoFit/>
                      </wps:bodyPr>
                    </wps:wsp>
                  </a:graphicData>
                </a:graphic>
              </wp:anchor>
            </w:drawing>
          </mc:Choice>
          <mc:Fallback>
            <w:pict>
              <v:shape id="Textbox23" o:spid="_x0000_s1032" type="#_x0000_t202" style="position:absolute;margin-left:254.55pt;margin-top:2.10pt;width:194.45pt;height:163.40pt;z-index:251658309;mso-wrap-distance-left:7.05pt;mso-wrap-distance-top:5.65pt;mso-wrap-distance-right:0.00pt;mso-wrap-distance-bottom:5.65pt;mso-wrap-style:square" strokeweight="0.50pt" filled="f" v:ext="SMDATA_15_E0dOaRMAAAAlAAAAEgAAAA0AAAAAcQAAAHEAAABxAAAAcQ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AA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MYHAAB8LgAAyE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JoDAAAAogAAAAAAAAAAAAAAAAAAAgAAAOMTAAABAAAAAgAAACoAAAAxDwAAxAwAADkAAwA1FwAAswUAACgAAAAIAAAAAQAAAAIAAAAwAAAAFAAAAAAAAAAAAP//AAABAAAA//8AAAEA" o:insetmode="custom">
                <w10:wrap type="square" anchorx="text" anchory="text"/>
                <v:textbox style="mso-fit-shape-to-text:t" inset="5.7pt,5.7pt,5.7pt,5.7pt">
                  <w:txbxContent>
                    <w:p>
                      <w:pPr>
                        <w:spacing/>
                        <w:jc w:val="left"/>
                      </w:pPr>
                      <w:r>
                        <w:rPr>
                          <w:b/>
                          <w:bCs/>
                        </w:rPr>
                        <w:t>Alkaloide</w:t>
                      </w:r>
                      <w:r>
                        <w:t xml:space="preserve"> sind stickstoffhaltige, meist basische Naturstoffe, die in Pflanzen, Pilzen, Bakterien und Tieren vorkommen und oft eine starke Wirkung auf Organismen haben können. Sie umfassen eine Vielzahl von Verbindungen wie Koffein, Nikotin und Morphin, die je nach Dosis als Arzneimittel, Rauschmittel oder Gift wirken.</w:t>
                      </w:r>
                    </w:p>
                  </w:txbxContent>
                </v:textbox>
              </v:shape>
            </w:pict>
          </mc:Fallback>
        </mc:AlternateContent>
      </w:r>
      <w:r>
        <w:t xml:space="preserve">Die getrockneten Körner des schwarzen Pfeffers enthalten die medizinischen Alkaloide Piperin, Chalvicin und Piperidin. Das natürliche </w:t>
      </w:r>
      <w:r>
        <w:rPr>
          <w:b/>
          <w:bCs/>
        </w:rPr>
        <w:t>Alkaloid</w:t>
      </w:r>
      <w:r>
        <w:t xml:space="preserve"> Piperin (1-Piperoylpiperidin) setzt sich aus der Piperinsäure und dem Piperidin zusammen. Es ist ein farbloser bis leicht gelblicher Feststoff mit heilmedizinischen Eigenschaften. Piperin ist auch der Träger des typischen scharfen Pfeffergeschmacks. Dieses Alkaloid ist mit einem Anteil von bis zu 9% in der Pflanze enthalten. Neben den Alkaloiden enthalten die Körner auch Anteile von Protein, </w:t>
        <w:fldChar w:fldCharType="begin"/>
        <w:instrText xml:space="preserve">XE "Fett" \G </w:instrText>
        <w:fldChar w:fldCharType="end"/>
        <w:t xml:space="preserve">Fett, Kalzium, Phosphor, </w:t>
        <w:fldChar w:fldCharType="begin"/>
        <w:instrText xml:space="preserve">XE "Eisen" \G </w:instrText>
        <w:fldChar w:fldCharType="end"/>
        <w:t>Eisen und Karotin.</w:t>
      </w:r>
    </w:p>
    <w:p>
      <w:pPr>
        <w:rPr>
          <w:b/>
          <w:bCs/>
        </w:rPr>
      </w:pPr>
      <w:r>
        <w:rPr>
          <w:b/>
          <w:bCs/>
        </w:rPr>
        <w:t>Piperin</w:t>
      </w:r>
    </w:p>
    <w:p>
      <w:pPr>
        <w:pStyle w:val="para17"/>
        <w:numPr>
          <w:ilvl w:val="1"/>
          <w:numId w:val="2"/>
        </w:numPr>
        <w:ind w:left="397" w:hanging="197"/>
      </w:pPr>
      <w:r>
        <w:t>erhöht die Ausschüttung von Verdauungsenzymen in Magen und Darm, wodurch Nährstoffe effizienter und umfassender resorbiert werden.</w:t>
      </w:r>
    </w:p>
    <w:p>
      <w:pPr>
        <w:pStyle w:val="para17"/>
        <w:numPr>
          <w:ilvl w:val="1"/>
          <w:numId w:val="2"/>
        </w:numPr>
        <w:ind w:left="397" w:hanging="197"/>
      </w:pPr>
      <w:r>
        <w:t xml:space="preserve">fördert die Aufnahme von </w:t>
        <w:fldChar w:fldCharType="begin"/>
        <w:instrText xml:space="preserve">XE "Fettsäuren" \G </w:instrText>
        <w:fldChar w:fldCharType="end"/>
        <w:t xml:space="preserve">Fettsäuren, </w:t>
        <w:fldChar w:fldCharType="begin"/>
        <w:instrText xml:space="preserve">XE "Antioxidantien" \G </w:instrText>
        <w:fldChar w:fldCharType="end"/>
        <w:t>Antioxidantien und Proteinen in das Blut.</w:t>
      </w:r>
    </w:p>
    <w:p>
      <w:pPr>
        <w:pStyle w:val="para17"/>
        <w:numPr>
          <w:ilvl w:val="1"/>
          <w:numId w:val="2"/>
        </w:numPr>
        <w:ind w:left="397" w:hanging="197"/>
      </w:pPr>
      <w:r>
        <w:t>verbessert die Durchblutung und regt den Stoffwechsel an. Dadurch werden die aufgenommenen Nährstoffe optimal im Körper verteilt und verwertet.</w:t>
      </w:r>
    </w:p>
    <w:p>
      <w:r>
        <w:t xml:space="preserve">Integrieren Sie schwarzen </w:t>
        <w:fldChar w:fldCharType="begin"/>
        <w:instrText xml:space="preserve">XE "Pfeffer" \G </w:instrText>
        <w:fldChar w:fldCharType="end"/>
        <w:t xml:space="preserve">Pfeffer deshalb so oft es geht in Ihre Ernährung. </w:t>
        <w:fldChar w:fldCharType="begin"/>
        <w:instrText xml:space="preserve">XE "Pfeffer" \G </w:instrText>
        <w:fldChar w:fldCharType="end"/>
        <w:t>Pfeffer können Sie mit zahlreichen Lebensmitteln kombinieren.</w:t>
      </w:r>
    </w:p>
    <w:p>
      <w:pPr>
        <w:pStyle w:val="para3"/>
        <w:numPr>
          <w:ilvl w:val="2"/>
          <w:numId w:val="1"/>
        </w:numPr>
        <w:ind w:left="720" w:hanging="720"/>
      </w:pPr>
      <w:bookmarkStart w:id="138" w:name="_TOC000043"/>
      <w:r/>
      <w:bookmarkStart w:id="139" w:name="_TOC000158"/>
      <w:r/>
      <w:bookmarkStart w:id="140" w:name="_TOC000185"/>
      <w:r/>
      <w:bookmarkEnd w:id="136"/>
      <w:r/>
      <w:bookmarkEnd w:id="139"/>
      <w:r/>
      <w:bookmarkEnd w:id="140"/>
      <w:r/>
      <w:bookmarkEnd w:id="138"/>
      <w:r/>
      <w:bookmarkStart w:id="141" w:name="_TOC000044"/>
      <w:r/>
      <w:bookmarkStart w:id="142" w:name="_TOC000189"/>
      <w:r/>
      <w:bookmarkStart w:id="143" w:name="_TOC000100"/>
      <w:r/>
      <w:bookmarkStart w:id="144" w:name="_TOC000221"/>
      <w:r>
        <w:fldChar w:fldCharType="begin"/>
        <w:instrText xml:space="preserve">XE "Zimt" \G </w:instrText>
        <w:fldChar w:fldCharType="end"/>
        <w:t>Zimt</w:t>
      </w:r>
      <w:bookmarkEnd w:id="142"/>
      <w:r/>
      <w:bookmarkEnd w:id="143"/>
      <w:r/>
      <w:bookmarkEnd w:id="141"/>
      <w:r/>
      <w:bookmarkEnd w:id="144"/>
      <w:r/>
    </w:p>
    <w:p>
      <w:r>
        <w:t xml:space="preserve">Es gibt zwei Sorten </w:t>
        <w:fldChar w:fldCharType="begin"/>
        <w:instrText xml:space="preserve">XE "Zimt" \G </w:instrText>
        <w:fldChar w:fldCharType="end"/>
        <w:t>Zimt: Cassia-</w:t>
        <w:fldChar w:fldCharType="begin"/>
        <w:instrText xml:space="preserve">XE "Zimt" \G </w:instrText>
        <w:fldChar w:fldCharType="end"/>
        <w:t>Zimt und Ceylon-</w:t>
        <w:fldChar w:fldCharType="begin"/>
        <w:instrText xml:space="preserve">XE "Zimt" \G </w:instrText>
        <w:fldChar w:fldCharType="end"/>
        <w:t>Zimt. Sie unterscheiden sich in ihren Inhaltsstoffen:</w:t>
      </w:r>
    </w:p>
    <w:p>
      <w:pPr>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r>
        <w:t xml:space="preserve">In </w:t>
        <w:fldChar w:fldCharType="begin"/>
        <w:instrText xml:space="preserve">XE "Zimt" \G </w:instrText>
        <w:fldChar w:fldCharType="end"/>
        <w:t>Zimt – vor allem im billigeren Cassia-</w:t>
        <w:fldChar w:fldCharType="begin"/>
        <w:instrText xml:space="preserve">XE "Zimt" \G </w:instrText>
        <w:fldChar w:fldCharType="end"/>
        <w:t xml:space="preserve">Zimt (auch: chinesischer </w:t>
        <w:fldChar w:fldCharType="begin"/>
        <w:instrText xml:space="preserve">XE "Zimt" \G </w:instrText>
        <w:fldChar w:fldCharType="end"/>
        <w:t>Zimt) – ist das als gesundheitsschädlich geltende Cumarin enthalten. In Fertigprodukten wird fast ausschließlich dieser aus China, Indonesien oder Vietnam stammende Cassia-</w:t>
        <w:fldChar w:fldCharType="begin"/>
        <w:instrText xml:space="preserve">XE "Zimt" \G </w:instrText>
        <w:fldChar w:fldCharType="end"/>
        <w:t xml:space="preserve">Zimt verarbeitet. Der Cumarin-Anteil beider Zimtsorten unterscheidet sich erheblich: </w:t>
      </w:r>
    </w:p>
    <w:p>
      <w:pPr>
        <w:spacing/>
        <w:jc w:val="left"/>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r>
        <w:t>Während er bei dem Cassia-</w:t>
        <w:fldChar w:fldCharType="begin"/>
        <w:instrText xml:space="preserve">XE "Zimt" \G </w:instrText>
        <w:fldChar w:fldCharType="end"/>
        <w:t xml:space="preserve">Zimt bei ca. 2 g Cumarin pro kg liegt, </w:t>
        <w:br w:type="textWrapping"/>
        <w:t>finden sich in der gleichen Menge Ceylon-</w:t>
        <w:fldChar w:fldCharType="begin"/>
        <w:instrText xml:space="preserve">XE "Zimt" \G </w:instrText>
        <w:fldChar w:fldCharType="end"/>
        <w:t>Zimt nur ca. 0,02 g Cumarin.</w:t>
      </w:r>
    </w:p>
    <w:p>
      <w:pPr>
        <w:spacing/>
        <w:jc w:val="right"/>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r>
        <w:t>Quelle: Wikipedia</w:t>
      </w:r>
    </w:p>
    <w:p>
      <w:r>
        <w:t xml:space="preserve">Wirkungen von </w:t>
        <w:fldChar w:fldCharType="begin"/>
        <w:instrText xml:space="preserve">XE "Zimt" \G </w:instrText>
        <w:fldChar w:fldCharType="end"/>
        <w:t>Zimt</w:t>
      </w:r>
    </w:p>
    <w:p>
      <w:pPr>
        <w:pStyle w:val="para17"/>
        <w:numPr>
          <w:ilvl w:val="1"/>
          <w:numId w:val="2"/>
        </w:numPr>
        <w:ind w:left="397" w:hanging="197"/>
      </w:pPr>
      <w:r>
        <w:fldChar w:fldCharType="begin"/>
        <w:instrText xml:space="preserve">XE "Zimt" \G </w:instrText>
        <w:fldChar w:fldCharType="end"/>
        <w:t xml:space="preserve">Zimt wirkt desinfizierend: Der Inhaltsstoff Eugenol, der </w:t>
        <w:fldChar w:fldCharType="begin"/>
        <w:instrText xml:space="preserve">XE "Zimt" \G </w:instrText>
        <w:fldChar w:fldCharType="end"/>
        <w:t>Zimt seine brennende Note verleiht, gilt als schmerzstillend und antibakteriell. Aus diesem Grund findet man Zimtöl auch als Inhaltsstoff in vielen Mundspülungen.</w:t>
      </w:r>
    </w:p>
    <w:p>
      <w:pPr>
        <w:pStyle w:val="para17"/>
        <w:numPr>
          <w:ilvl w:val="1"/>
          <w:numId w:val="2"/>
        </w:numPr>
        <w:ind w:left="397" w:hanging="197"/>
      </w:pPr>
      <w:r>
        <w:fldChar w:fldCharType="begin"/>
        <w:instrText xml:space="preserve">XE "Zimt" \G </w:instrText>
        <w:fldChar w:fldCharType="end"/>
        <w:t>Zimt schützt das Herz: Das Gewürz kann eine bestimmte Fettart im Blut (Triglyzeride), den Cholesterinspiegel und den Blutdruck senken und kommt demzufolge der Herzgesundheit zugute.</w:t>
      </w:r>
    </w:p>
    <w:p>
      <w:pPr>
        <w:pStyle w:val="para17"/>
        <w:numPr>
          <w:ilvl w:val="1"/>
          <w:numId w:val="2"/>
        </w:numPr>
        <w:ind w:left="397" w:hanging="197"/>
      </w:pPr>
      <w:r>
        <w:fldChar w:fldCharType="begin"/>
        <w:instrText xml:space="preserve">XE "Zimt" \G </w:instrText>
        <w:fldChar w:fldCharType="end"/>
        <w:t xml:space="preserve">Zimt wirkt antioxidativ: </w:t>
        <w:fldChar w:fldCharType="begin"/>
        <w:instrText xml:space="preserve">XE "Zimt" \G </w:instrText>
        <w:fldChar w:fldCharType="end"/>
        <w:t xml:space="preserve">Zimt kann aufgrund seines Anteils an </w:t>
        <w:fldChar w:fldCharType="begin"/>
        <w:instrText xml:space="preserve">XE "Antioxidantien" \G </w:instrText>
        <w:fldChar w:fldCharType="end"/>
        <w:t xml:space="preserve">Antioxidantien dabei helfen, den Körper von Zellschäden durch </w:t>
        <w:fldChar w:fldCharType="begin"/>
        <w:instrText xml:space="preserve">XE "Freie Radikale" \G </w:instrText>
        <w:fldChar w:fldCharType="end"/>
        <w:t>freie Radikale zu schützen.</w:t>
      </w:r>
    </w:p>
    <w:p>
      <w:pPr>
        <w:pStyle w:val="para17"/>
        <w:numPr>
          <w:ilvl w:val="1"/>
          <w:numId w:val="2"/>
        </w:numPr>
        <w:ind w:left="397" w:hanging="197"/>
      </w:pPr>
      <w:r>
        <w:fldChar w:fldCharType="begin"/>
        <w:instrText xml:space="preserve">XE "Zimt" \G </w:instrText>
        <w:fldChar w:fldCharType="end"/>
        <w:t>Zimt macht den Magen unangreifbar für Heliobacter pylori, ein Bakterium, das Magengeschwüre verursacht.</w:t>
      </w:r>
    </w:p>
    <w:p>
      <w:pPr>
        <w:pStyle w:val="para17"/>
        <w:numPr>
          <w:ilvl w:val="1"/>
          <w:numId w:val="2"/>
        </w:numPr>
        <w:ind w:left="397" w:hanging="197"/>
      </w:pPr>
      <w:r>
        <w:fldChar w:fldCharType="begin"/>
        <w:instrText xml:space="preserve">XE "Zimt" \G </w:instrText>
        <w:fldChar w:fldCharType="end"/>
        <w:t>Zimt verhindert die Ausbreitung von Hefepilzen.</w:t>
      </w:r>
    </w:p>
    <w:p>
      <w:pPr>
        <w:pStyle w:val="para3"/>
        <w:numPr>
          <w:ilvl w:val="2"/>
          <w:numId w:val="1"/>
        </w:numPr>
        <w:ind w:left="720" w:hanging="720"/>
      </w:pPr>
      <w:bookmarkStart w:id="145" w:name="_TOC000359"/>
      <w:r/>
      <w:bookmarkStart w:id="146" w:name="_TOC000241"/>
      <w:r/>
      <w:bookmarkStart w:id="147" w:name="_TOC000352"/>
      <w:r>
        <w:t xml:space="preserve">Scharfe Helfer - </w:t>
        <w:fldChar w:fldCharType="begin"/>
        <w:instrText xml:space="preserve">XE "Meerrettich" \G </w:instrText>
        <w:fldChar w:fldCharType="end"/>
        <w:t xml:space="preserve">Meerrettich, </w:t>
        <w:fldChar w:fldCharType="begin"/>
        <w:instrText xml:space="preserve">XE "Senf" \G </w:instrText>
        <w:fldChar w:fldCharType="end"/>
        <w:t xml:space="preserve">Senf, </w:t>
        <w:fldChar w:fldCharType="begin"/>
        <w:instrText xml:space="preserve">XE "Knoblauch" \G </w:instrText>
        <w:fldChar w:fldCharType="end"/>
        <w:t xml:space="preserve">Knoblauch und </w:t>
        <w:fldChar w:fldCharType="begin"/>
        <w:instrText xml:space="preserve">XE "Zwiebel" \G </w:instrText>
        <w:fldChar w:fldCharType="end"/>
        <w:t>Zwiebel</w:t>
      </w:r>
      <w:bookmarkEnd w:id="146"/>
      <w:r/>
      <w:bookmarkEnd w:id="147"/>
      <w:r/>
      <w:bookmarkEnd w:id="145"/>
      <w:r/>
    </w:p>
    <w:p>
      <w:r>
        <w:t xml:space="preserve">Das Gemeinsame dieser Lebensmittel sind deren schwefelhaltige Inhaltsstoffe wie z.B. das Alliin oder die Isothiozyanate. </w:t>
      </w:r>
    </w:p>
    <w:p>
      <w:r>
        <w:t>Diese Stoffe</w:t>
      </w:r>
    </w:p>
    <w:p>
      <w:pPr>
        <w:pStyle w:val="para28"/>
        <w:numPr>
          <w:ilvl w:val="0"/>
          <w:numId w:val="3"/>
        </w:numPr>
        <w:ind w:left="454" w:hanging="197"/>
      </w:pPr>
      <w:r>
        <w:t>schützen vor Krebs, was wissenschaftlich belegt ist.</w:t>
      </w:r>
    </w:p>
    <w:p>
      <w:pPr>
        <w:pStyle w:val="para28"/>
        <w:numPr>
          <w:ilvl w:val="0"/>
          <w:numId w:val="3"/>
        </w:numPr>
        <w:ind w:left="454" w:hanging="197"/>
      </w:pPr>
      <w:r>
        <w:t>wirken bei vorhandenem Krebs einer weiteren Ausbreitung entgegen (Schutz vor Metastasenbildung).</w:t>
      </w:r>
    </w:p>
    <w:p>
      <w:pPr>
        <w:pStyle w:val="para28"/>
        <w:numPr>
          <w:ilvl w:val="0"/>
          <w:numId w:val="3"/>
        </w:numPr>
        <w:ind w:left="454" w:hanging="197"/>
      </w:pPr>
      <w:r>
        <w:t>verdrängen unerwünschte Keime wie Heliobacter pylori, Hefepilze oder Staphylococcus aureus.</w:t>
      </w:r>
    </w:p>
    <w:p>
      <w:pPr>
        <w:pStyle w:val="para28"/>
        <w:numPr>
          <w:ilvl w:val="0"/>
          <w:numId w:val="3"/>
        </w:numPr>
        <w:ind w:left="454" w:hanging="197"/>
      </w:pPr>
      <w:r>
        <w:t>haben einen hohen Bioflavonoidgehalt. Diese kräftigt das Immunsystem und schützt vor Herzinfarkt.</w:t>
      </w:r>
    </w:p>
    <w:p>
      <w:pPr>
        <w:pStyle w:val="para4"/>
        <w:numPr>
          <w:ilvl w:val="3"/>
          <w:numId w:val="1"/>
        </w:numPr>
        <w:ind w:left="1077" w:hanging="1077"/>
      </w:pPr>
      <w:bookmarkStart w:id="148" w:name="_TOC000194"/>
      <w:r>
        <w:fldChar w:fldCharType="begin"/>
        <w:instrText xml:space="preserve">XE "Meerrettich" \G </w:instrText>
        <w:fldChar w:fldCharType="end"/>
        <w:t>Meerrettich</w:t>
      </w:r>
      <w:bookmarkEnd w:id="148"/>
      <w:r/>
    </w:p>
    <w:p>
      <w:pPr>
        <w:rPr>
          <w:sz w:val="16"/>
          <w:szCs w:val="16"/>
        </w:rPr>
      </w:pPr>
      <w:r>
        <w:rPr>
          <w:sz w:val="16"/>
          <w:szCs w:val="16"/>
        </w:rPr>
        <w:t xml:space="preserve">Quelle: </w:t>
      </w:r>
      <w:hyperlink r:id="rId65" w:history="1">
        <w:r>
          <w:rPr>
            <w:rStyle w:val="char20"/>
            <w:sz w:val="16"/>
            <w:szCs w:val="16"/>
          </w:rPr>
          <w:t>https://www.avogel.ch/de/pflanzenlexikon/merrettich.php#foerdert-</w:t>
          <w:fldChar w:fldCharType="begin"/>
          <w:instrText xml:space="preserve">XE "Meerrettich" \G </w:instrText>
          <w:fldChar w:fldCharType="end"/>
          <w:t>meerrettich-die-gesundheit</w:t>
        </w:r>
      </w:hyperlink>
      <w:r>
        <w:rPr>
          <w:sz w:val="16"/>
          <w:szCs w:val="16"/>
        </w:rPr>
        <w:t>, 14.07.2025</w:t>
      </w:r>
      <w:r>
        <w:rPr>
          <w:sz w:val="16"/>
          <w:szCs w:val="16"/>
        </w:rPr>
      </w:r>
    </w:p>
    <w:p>
      <w:r>
        <w:fldChar w:fldCharType="begin"/>
        <w:instrText xml:space="preserve">XE "Meerrettich" \G </w:instrText>
        <w:fldChar w:fldCharType="end"/>
        <w:t xml:space="preserve">Meerrettich enthält die </w:t>
        <w:fldChar w:fldCharType="begin"/>
        <w:instrText xml:space="preserve">XE "Vitamine" \G </w:instrText>
        <w:fldChar w:fldCharType="end"/>
        <w:t>Vitamine B</w:t>
      </w:r>
      <w:r>
        <w:rPr>
          <w:rFonts w:eastAsia="Tahoma" w:cs="Tahoma"/>
          <w:vertAlign w:val="subscript"/>
          <w:lang w:eastAsia="de-de" w:bidi="de-de"/>
        </w:rPr>
        <w:t>1</w:t>
      </w:r>
      <w:r>
        <w:t>, B</w:t>
      </w:r>
      <w:r>
        <w:rPr>
          <w:rFonts w:eastAsia="Tahoma" w:cs="Tahoma"/>
          <w:vertAlign w:val="subscript"/>
          <w:lang w:eastAsia="de-de" w:bidi="de-de"/>
        </w:rPr>
        <w:t>2</w:t>
      </w:r>
      <w:r>
        <w:t>, B</w:t>
      </w:r>
      <w:r>
        <w:rPr>
          <w:rFonts w:eastAsia="Tahoma" w:cs="Tahoma"/>
          <w:vertAlign w:val="subscript"/>
          <w:lang w:eastAsia="de-de" w:bidi="de-de"/>
        </w:rPr>
        <w:t>6</w:t>
      </w:r>
      <w:r>
        <w:t xml:space="preserve"> und viel Vitamin C sowie die </w:t>
        <w:fldChar w:fldCharType="begin"/>
        <w:instrText xml:space="preserve">XE "Mineralstoffe" \G </w:instrText>
        <w:fldChar w:fldCharType="end"/>
        <w:t xml:space="preserve">Mineralstoffe Kalzium, </w:t>
        <w:fldChar w:fldCharType="begin"/>
        <w:instrText xml:space="preserve">XE "Eisen" \G </w:instrText>
        <w:fldChar w:fldCharType="end"/>
        <w:t xml:space="preserve">Eisen, </w:t>
        <w:fldChar w:fldCharType="begin"/>
        <w:instrText xml:space="preserve">XE "Kalium" \G </w:instrText>
        <w:fldChar w:fldCharType="end"/>
        <w:t xml:space="preserve">Kalium, </w:t>
        <w:fldChar w:fldCharType="begin"/>
        <w:instrText xml:space="preserve">XE "Magnesium" \G </w:instrText>
        <w:fldChar w:fldCharType="end"/>
        <w:t>Magnesium und Phosphor.</w:t>
      </w:r>
    </w:p>
    <w:p>
      <w:r>
        <w:t xml:space="preserve">Die besonderen Inhaltsstoffe sind jedoch die ätherischen Senföle bzw. deren Vorstufen, die Glucosinolate Sinigrin und Gluconasturtiin. Bei Verletzungen des Gewebes – sei es in der Natur durch Pflanzenfraß oder in der Küche – entstehen durch das Enzym Myrosinase die stechend riechenden und scharf schmeckenden Senföle, die im menschlichen Körper eine breite antibakterielle Wirkung zeigen. Daher wird das natürliche Antibiotikum </w:t>
        <w:fldChar w:fldCharType="begin"/>
        <w:instrText xml:space="preserve">XE "Meerrettich" \G </w:instrText>
        <w:fldChar w:fldCharType="end"/>
        <w:t>Meerrettich auch als «Penicillin aus dem Garten» bezeichnet.</w:t>
      </w:r>
    </w:p>
    <w:p>
      <w:r>
        <w:t>Senföle wirken ausgezeichnet bei bakteriellen und viralen Atemwegs- und Harnwegsinfekten und haben den Vorteil, gut verträglich zu sein und keine Resistenzen zu bilden. Sie schädigen die Darmbakterien nicht und stärken daher indirekt unsere Abwehrkräfte. Senföle töten nicht nur Bakterien und Viren, sondern wirken auch gegen Pilze (Candida-Arten) und Hefen.</w:t>
      </w:r>
    </w:p>
    <w:p>
      <w:r>
        <w:fldChar w:fldCharType="begin"/>
        <w:instrText xml:space="preserve">XE "Meerrettich" \G </w:instrText>
        <w:fldChar w:fldCharType="end"/>
        <w:t>Meerrettich wirkt sich äußerst günstig auf die Lymphe aus, sodass man ihn als eines ihrer besten Heilmittel bezeichnen kann. Oft verschwinden hartnäckige Störungen und Leiden der Lymphe, wenn man täglich 1 Teelöffel davon einnimmt. Er schmeckt vorzüglich, insofern man ihn unter den Quark oder den Karottensalat mengt, da seine Schärfe durch das Mischen gebrochen wird.</w:t>
      </w:r>
    </w:p>
    <w:p>
      <w:r>
        <w:t xml:space="preserve">Das pfeffrige Feuer des Meerrettichs fährt wie ein Blitz in die Nase und treibt die Tränen in die Augen. Dies verdanken wir den Senfölen. Da sie sich schnell in Luft auflösen, darf man </w:t>
        <w:fldChar w:fldCharType="begin"/>
        <w:instrText xml:space="preserve">XE "Meerrettich" \G </w:instrText>
        <w:fldChar w:fldCharType="end"/>
        <w:t>Meerrettich nur so weit wie nötig schälen (schaben) und erst kurz vor der Verwendung zerkleinern.</w:t>
      </w:r>
    </w:p>
    <w:p>
      <w:r>
        <w:t>Bereitet man ihn zu lange vor, besteht nicht nur die Gefahr des Geschmacksverlusts, die schöne weiße Farbe kann auch zum Bräunlichen hin tendieren.</w:t>
      </w:r>
    </w:p>
    <w:p>
      <w:r>
        <w:fldChar w:fldCharType="begin"/>
        <w:instrText xml:space="preserve">XE "Meerrettich" \G </w:instrText>
        <w:fldChar w:fldCharType="end"/>
        <w:t>Meerrettich sollte nicht erhitzt werden, da er dabei ca. 35 % seiner bioaktiven Substanzen verliert.</w:t>
      </w:r>
    </w:p>
    <w:p>
      <w:bookmarkStart w:id="149" w:name="_TOC000238"/>
      <w:r/>
    </w:p>
    <w:p>
      <w:pPr>
        <w:pStyle w:val="para4"/>
        <w:numPr>
          <w:ilvl w:val="3"/>
          <w:numId w:val="1"/>
        </w:numPr>
        <w:ind w:left="1077" w:hanging="1077"/>
      </w:pPr>
      <w:r>
        <w:br w:type="page"/>
      </w:r>
      <w:bookmarkStart w:id="150" w:name="_TOC000353"/>
      <w:r>
        <w:fldChar w:fldCharType="begin"/>
        <w:instrText xml:space="preserve">XE "Senf" \G </w:instrText>
        <w:fldChar w:fldCharType="end"/>
        <w:t>Senf</w:t>
      </w:r>
      <w:bookmarkEnd w:id="149"/>
      <w:r/>
      <w:bookmarkEnd w:id="150"/>
      <w:r/>
    </w:p>
    <w:p>
      <w:r>
        <w:fldChar w:fldCharType="begin"/>
        <w:instrText xml:space="preserve">XE "Senf" \G </w:instrText>
        <w:fldChar w:fldCharType="end"/>
        <w:t xml:space="preserve">Senf ist ein köstlicher Dip mit scharfem Geschmack. </w:t>
        <w:fldChar w:fldCharType="begin"/>
        <w:instrText xml:space="preserve">XE "Senf" \G </w:instrText>
        <w:fldChar w:fldCharType="end"/>
        <w:t>Senf ist aber auch ein uraltes Heilmittel. Im ätherischen Öl des Senfs stecken bestimmte Pflanzenstoffe, die sogenannten Senfölglycoside. Dabei handelt es sich um medizinisch wertvolle sekundäre Pflanzenstoffe, die für das Aroma von Pflanze und Samen mitverantwortlich sind.</w:t>
      </w:r>
    </w:p>
    <w:p>
      <w:r>
        <w:t xml:space="preserve">Senföle haben entzündungshemmenden Eigenschaften, die sich positiv auf die Verdauung und die Darmgesundheit auswirken können. Zudem ist </w:t>
        <w:fldChar w:fldCharType="begin"/>
        <w:instrText xml:space="preserve">XE "Senf" \G </w:instrText>
        <w:fldChar w:fldCharType="end"/>
        <w:t xml:space="preserve">Senf reich an </w:t>
        <w:fldChar w:fldCharType="begin"/>
        <w:instrText xml:space="preserve">XE "Antioxidantien" \G </w:instrText>
        <w:fldChar w:fldCharType="end"/>
        <w:t>Antioxidantien und kann somit zur Reduzierung von Zellschäden beitragen und das Herz-Kreislauf-System schützen.</w:t>
      </w:r>
    </w:p>
    <w:p>
      <w:r>
        <w:t>Senfölglykoside wirken – ähnlich wie das Capsaicin aus der Chilischote – hautreizend und führen deshalb zu einer vermehrten Durchblutung, wodurch Entzündungen und Schmerzen gehemmt werden können. Medizinischen Studien zufolge haben die Glykoside außerdem folgende Wirkungen:</w:t>
      </w:r>
    </w:p>
    <w:p>
      <w:pPr>
        <w:pStyle w:val="para17"/>
        <w:numPr>
          <w:ilvl w:val="1"/>
          <w:numId w:val="2"/>
        </w:numPr>
        <w:ind w:left="397" w:hanging="197"/>
        <w:contextualSpacing/>
      </w:pPr>
      <w:r>
        <w:t>gegen Pilze, Viren und Bakterien</w:t>
      </w:r>
    </w:p>
    <w:p>
      <w:pPr>
        <w:pStyle w:val="para17"/>
        <w:numPr>
          <w:ilvl w:val="1"/>
          <w:numId w:val="2"/>
        </w:numPr>
        <w:ind w:left="397" w:hanging="197"/>
        <w:contextualSpacing/>
      </w:pPr>
      <w:r>
        <w:t>wundheilungsfördernd</w:t>
      </w:r>
    </w:p>
    <w:p>
      <w:pPr>
        <w:pStyle w:val="para17"/>
        <w:numPr>
          <w:ilvl w:val="1"/>
          <w:numId w:val="2"/>
        </w:numPr>
        <w:ind w:left="397" w:hanging="197"/>
        <w:contextualSpacing/>
      </w:pPr>
      <w:r>
        <w:t>wärmend</w:t>
      </w:r>
    </w:p>
    <w:p>
      <w:pPr>
        <w:pStyle w:val="para17"/>
        <w:numPr>
          <w:ilvl w:val="1"/>
          <w:numId w:val="2"/>
        </w:numPr>
        <w:ind w:left="397" w:hanging="197"/>
        <w:contextualSpacing/>
      </w:pPr>
      <w:r>
        <w:t>appetitanregend</w:t>
      </w:r>
    </w:p>
    <w:p>
      <w:pPr>
        <w:pStyle w:val="para17"/>
        <w:numPr>
          <w:ilvl w:val="1"/>
          <w:numId w:val="2"/>
        </w:numPr>
        <w:ind w:left="397" w:hanging="197"/>
        <w:contextualSpacing/>
      </w:pPr>
      <w:r>
        <w:t>verdauungsfördernd</w:t>
      </w:r>
    </w:p>
    <w:p>
      <w:pPr>
        <w:pStyle w:val="para17"/>
        <w:numPr>
          <w:ilvl w:val="1"/>
          <w:numId w:val="2"/>
        </w:numPr>
        <w:ind w:left="397" w:hanging="197"/>
        <w:contextualSpacing/>
      </w:pPr>
      <w:r>
        <w:t>Karzinogene (krebserregende Stoffe) werden unschädlich gemacht und die Tumorentstehung – z. B. in der Leber – blockiert.</w:t>
      </w:r>
    </w:p>
    <w:p>
      <w:r>
        <w:t xml:space="preserve">Vorsicht bei süßem </w:t>
        <w:fldChar w:fldCharType="begin"/>
        <w:instrText xml:space="preserve">XE "Senf" \G </w:instrText>
        <w:fldChar w:fldCharType="end"/>
        <w:t>Senf: er besteht zu etwa einem Drittel aus Zucker!</w:t>
      </w:r>
    </w:p>
    <w:p>
      <w:pPr>
        <w:pStyle w:val="para4"/>
        <w:numPr>
          <w:ilvl w:val="3"/>
          <w:numId w:val="1"/>
        </w:numPr>
        <w:ind w:left="1077" w:hanging="1077"/>
      </w:pPr>
      <w:bookmarkStart w:id="151" w:name="_TOC000196"/>
      <w:r>
        <w:fldChar w:fldCharType="begin"/>
        <w:instrText xml:space="preserve">XE "Zwiebel" \G </w:instrText>
        <w:fldChar w:fldCharType="end"/>
        <w:t xml:space="preserve">Zwiebel und </w:t>
        <w:fldChar w:fldCharType="begin"/>
        <w:instrText xml:space="preserve">XE "Knoblauch" \G </w:instrText>
        <w:fldChar w:fldCharType="end"/>
        <w:t>Knoblauch</w:t>
      </w:r>
      <w:bookmarkEnd w:id="151"/>
      <w:r/>
    </w:p>
    <w:p>
      <w:r>
        <w:t xml:space="preserve">Zwei der Hauptinhaltsstoffe von </w:t>
        <w:fldChar w:fldCharType="begin"/>
        <w:instrText xml:space="preserve">XE "Zwiebel" \G </w:instrText>
        <w:fldChar w:fldCharType="end"/>
        <w:t xml:space="preserve">Zwiebel und </w:t>
        <w:fldChar w:fldCharType="begin"/>
        <w:instrText xml:space="preserve">XE "Knoblauch" \G </w:instrText>
        <w:fldChar w:fldCharType="end"/>
        <w:t xml:space="preserve">Knoblauch sind Alliin und das Enzym Alliinase, welche voneinander getrennt gespeichert sind. Sie kommen erst zusammen, wenn </w:t>
        <w:fldChar w:fldCharType="begin"/>
        <w:instrText xml:space="preserve">XE "Zwiebel" \G </w:instrText>
        <w:fldChar w:fldCharType="end"/>
        <w:t xml:space="preserve">Zwiebel oder </w:t>
        <w:fldChar w:fldCharType="begin"/>
        <w:instrText xml:space="preserve">XE "Knoblauch" \G </w:instrText>
        <w:fldChar w:fldCharType="end"/>
        <w:t>Knoblauch geschnitten werden. Dann entsteht der Wirkstoff Allicin. Das Alliin, welches sich in der Zelle in Vakuolen (kleinen Zellorganen) befindet, wird frei und kommt nun in Kontakt mit dem Enzym Alliinase. Das Enzym befand sich zuvor frei im Plasma der Zelle und verwandelt Alliin nun in Allicin. Der Wirkstoff Allicin gilt als natürliches Antibiotikum.</w:t>
      </w:r>
    </w:p>
    <w:p>
      <w:r>
        <w:t>Allicin ist selbst bei hohen Verdünnungen von bis zu 1:100.000 noch wirksam. Die Wirkung von 1 mg Allicin soll der von 0,01 mg Penicillin entsprechen.</w:t>
      </w:r>
    </w:p>
    <w:p>
      <w:r>
        <w:t>Gut untersucht ist die antibakterielle Wirkung von Allicin. Diese Wirkung wird höchstwahrscheinlich durch den Umstand hervorgerufen, dass Allicin die ausschließlich in Bakterien vorkommende Gyrase hemmen kann, wodurch diese sich nicht mehr vermehren kann. Als Gyrase bezeichnet man ein Enzym in Bakterien, dass u.a. für die Handhabung der DNA (Entdrillung) verantwortlich ist. Obwohl Allicin verhältnismäßig starke antibiotische Eigenschaften besitzt, ist der Stoff für sich allein bei vielen Erkrankungen (z.B. Lungenentzündungen) womöglich nicht ausreichend, um bakterielle Infektionen in Schach zu halten.</w:t>
      </w:r>
    </w:p>
    <w:p>
      <w:r>
        <w:t>Allicin hat einen Einfluss auf die Bildung, Stabilisierung sowie zum Teil auf die Reparatur von Blutgefäßen. In einigen ersten Studien konnte z.B. festgestellt werden, dass Allicin die Blutgefäße elastisch hält und Schäden, die z.B. durch diabetische Angiopathie (einer durch Diabetes schleichend entstehenden Schädigung der Gefäße) gehemmt werden kann.</w:t>
      </w:r>
    </w:p>
    <w:p>
      <w:r>
        <w:t xml:space="preserve">Allicin zeigt positive Effekte auf die Funktion der </w:t>
        <w:fldChar w:fldCharType="begin"/>
        <w:instrText xml:space="preserve">XE "Mitochondrien" \G </w:instrText>
        <w:fldChar w:fldCharType="end"/>
        <w:t>Mitochondrien, deren Aufgabe es ist, die Zellen mit Energie zu versorgen, Stoffe zu speichern und zum Teil umzuwandeln sowie den programmierten Zelltod mit auszulösen.</w:t>
      </w:r>
    </w:p>
    <w:p>
      <w:r>
        <w:t xml:space="preserve">Allicin selbst ist hitzebeständig. Doch kann das Enzym Alliinase, welches für die Entstehung von Allicin notwendig ist, durch Hitze komplett inaktiviert werden. Deshalb sollten geschnittene Zwiebeln oder geschnittener oder geriebener </w:t>
        <w:fldChar w:fldCharType="begin"/>
        <w:instrText xml:space="preserve">XE "Knoblauch" \G </w:instrText>
        <w:fldChar w:fldCharType="end"/>
        <w:t>Knoblauch ca. 5 Minuten offen liegen, damit sich Allicin bilden kann.</w:t>
      </w:r>
    </w:p>
    <w:p>
      <w:r>
        <w:fldChar w:fldCharType="begin"/>
        <w:instrText xml:space="preserve">XE "Knoblauch" \G </w:instrText>
        <w:fldChar w:fldCharType="end"/>
        <w:t>Knoblauch besitzt vielfältige Heilwirkungen:</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7"/>
        <w:numPr>
          <w:ilvl w:val="1"/>
          <w:numId w:val="2"/>
        </w:numPr>
        <w:ind w:left="397" w:hanging="197"/>
        <w:contextualSpacing/>
      </w:pPr>
      <w:r>
        <w:t>Abtötung von Bakterien und Pilzen</w:t>
      </w:r>
    </w:p>
    <w:p>
      <w:pPr>
        <w:pStyle w:val="para17"/>
        <w:numPr>
          <w:ilvl w:val="1"/>
          <w:numId w:val="2"/>
        </w:numPr>
        <w:ind w:left="397" w:hanging="197"/>
        <w:contextualSpacing/>
      </w:pPr>
      <w:r>
        <w:t>Kräftigung des Immunsystems</w:t>
      </w:r>
    </w:p>
    <w:p>
      <w:pPr>
        <w:pStyle w:val="para17"/>
        <w:numPr>
          <w:ilvl w:val="1"/>
          <w:numId w:val="2"/>
        </w:numPr>
        <w:ind w:left="397" w:hanging="197"/>
        <w:contextualSpacing/>
      </w:pPr>
      <w:r>
        <w:t>Stimulierung der Verdauung</w:t>
      </w:r>
    </w:p>
    <w:p>
      <w:pPr>
        <w:pStyle w:val="para17"/>
        <w:numPr>
          <w:ilvl w:val="1"/>
          <w:numId w:val="2"/>
        </w:numPr>
        <w:ind w:left="397" w:hanging="197"/>
        <w:contextualSpacing/>
      </w:pPr>
      <w:r>
        <w:t>Förderung der Durchblutung</w:t>
      </w:r>
    </w:p>
    <w:p>
      <w:pPr>
        <w:pStyle w:val="para17"/>
        <w:numPr>
          <w:ilvl w:val="1"/>
          <w:numId w:val="2"/>
        </w:numPr>
        <w:ind w:left="397" w:hanging="197"/>
        <w:contextualSpacing/>
      </w:pPr>
      <w:r>
        <w:t>Stärkung von Herz und Kreislauf</w:t>
      </w:r>
    </w:p>
    <w:p>
      <w:pPr>
        <w:pStyle w:val="para17"/>
        <w:numPr>
          <w:ilvl w:val="1"/>
          <w:numId w:val="2"/>
        </w:numPr>
        <w:ind w:left="397" w:hanging="197"/>
        <w:contextualSpacing/>
      </w:pPr>
      <w:r>
        <w:t>Senkung des Blutfettspiegels</w:t>
      </w:r>
    </w:p>
    <w:p>
      <w:pPr>
        <w:pStyle w:val="para17"/>
        <w:numPr>
          <w:ilvl w:val="1"/>
          <w:numId w:val="2"/>
        </w:numPr>
        <w:ind w:left="397" w:hanging="197"/>
        <w:contextualSpacing/>
      </w:pPr>
      <w:r>
        <w:t>Senkung des Blutdrucks</w:t>
      </w:r>
    </w:p>
    <w:p>
      <w:pPr>
        <w:pStyle w:val="para17"/>
        <w:numPr>
          <w:ilvl w:val="1"/>
          <w:numId w:val="2"/>
        </w:numPr>
        <w:ind w:left="397" w:hanging="197"/>
        <w:contextualSpacing/>
      </w:pPr>
      <w:r>
        <w:t>Prophylaxe gegen Arteriosklerose</w:t>
      </w:r>
    </w:p>
    <w:p>
      <w:pPr>
        <w:pStyle w:val="para17"/>
        <w:numPr>
          <w:ilvl w:val="1"/>
          <w:numId w:val="2"/>
        </w:numPr>
        <w:ind w:left="397" w:hanging="197"/>
        <w:contextualSpacing/>
      </w:pPr>
      <w:r>
        <w:t>Verlangsamung des Alterungsprozesses</w:t>
      </w:r>
    </w:p>
    <w:p>
      <w:pPr>
        <w:pStyle w:val="para17"/>
        <w:numPr>
          <w:ilvl w:val="1"/>
          <w:numId w:val="2"/>
        </w:numPr>
        <w:ind w:left="397" w:hanging="197"/>
        <w:contextualSpacing/>
      </w:pPr>
      <w:r>
        <w:t>Erhöhung der Konzentrationsfähigkeit</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rPr>
          <w:b/>
          <w:bCs/>
        </w:rPr>
      </w:pPr>
      <w:r>
        <w:rPr>
          <w:b/>
          <w:bCs/>
        </w:rPr>
        <w:t>Vermeidung der Knoblauchfahne</w:t>
      </w:r>
    </w:p>
    <w:p>
      <w:r>
        <w:t>Das Kauen von Blattpetersilie und Fenchelsamen verhindert die starke Ausdünstung der gesundheitsfördernden Schwefelverbindungen</w:t>
      </w:r>
      <w:bookmarkStart w:id="152" w:name="_TOC000006"/>
      <w:r/>
    </w:p>
    <w:p>
      <w:pPr>
        <w:pStyle w:val="para3"/>
        <w:numPr>
          <w:ilvl w:val="2"/>
          <w:numId w:val="1"/>
        </w:numPr>
        <w:ind w:left="720" w:hanging="720"/>
      </w:pPr>
      <w:bookmarkStart w:id="153" w:name="_TOC000206"/>
      <w:r>
        <w:t>Frische Kräuter</w:t>
      </w:r>
      <w:bookmarkEnd w:id="152"/>
      <w:r/>
      <w:bookmarkEnd w:id="153"/>
      <w:r/>
    </w:p>
    <w:p>
      <w:r>
        <w:t>Frische Kräuter geben Ihren Speisen die richtige Würze und kurbeln den Stoffwechsel lang anhaltend an. Außerdem wecken sie die Lebensgeister und kräftigen Ihr Immunsystem. Es gibt keine Lebensmittel, die pro Gramm eine ähnlich hohe Nährstoffdichte haben. Deshalb setzen Sie überall dort frische Kräuter ein, wo es möglich ist.</w:t>
      </w:r>
    </w:p>
    <w:p>
      <w:r>
        <w:t>Die Kräuter werden dabei nicht gekocht, sondern immer erst beim Anrichten über die Gerichte gestreut oder kalt verarbeitet. Auch in Soßen kommen die frischen Kräuter erst unmittelbar vor dem Servieren.</w:t>
      </w:r>
    </w:p>
    <w:p>
      <w:r>
        <w:t>Ganz besonders stoffwechselaktiv wirken Schnittlauch, Petersilie, Rosmarin und Basilikum. Während Schnittlauch viel schwefelhaltige Inhaltsstoffe enthält, die Ihre Belastbarkeit erhöhen, zeichnet sich Petersilie durch reichlich Pflanzenwirkstoffe aus, die Ihren Körper vor dem Altern schützen. Allerdings sollten Sie jetzt nicht täglich Petersilie bundweise essen, da solche Übermengen an Petersilie auch zu Herzrhythmusstörungen führen können. Ebenso sollten Schwangere keine größere Petersilienmenge essen, da der Inhaltsstoff Apiol auch die Gebärmuttermuskulatur anregt, was Fehlgeburten auslösen könnte.</w:t>
      </w:r>
    </w:p>
    <w:p>
      <w:pPr>
        <w:pStyle w:val="para1"/>
        <w:numPr>
          <w:ilvl w:val="0"/>
          <w:numId w:val="1"/>
        </w:numPr>
        <w:ind w:left="432" w:hanging="432"/>
      </w:pPr>
      <w:r>
        <w:br w:type="page"/>
      </w:r>
      <w:bookmarkStart w:id="154" w:name="_TOC000303"/>
      <w:r/>
      <w:bookmarkStart w:id="155" w:name="_TOC000029"/>
      <w:r/>
      <w:bookmarkEnd w:id="155"/>
      <w:r/>
      <w:bookmarkStart w:id="156" w:name="_TOC000030"/>
      <w:r/>
      <w:bookmarkEnd w:id="156"/>
      <w:r/>
      <w:bookmarkStart w:id="157" w:name="_TOC000097"/>
      <w:r>
        <w:t>Ernährung</w:t>
      </w:r>
      <w:bookmarkEnd w:id="157"/>
      <w:r>
        <w:t>smanagement</w:t>
      </w:r>
      <w:bookmarkEnd w:id="154"/>
      <w:r/>
    </w:p>
    <w:p>
      <w:pPr>
        <w:pStyle w:val="para2"/>
        <w:numPr>
          <w:ilvl w:val="1"/>
          <w:numId w:val="1"/>
        </w:numPr>
        <w:ind w:left="576" w:hanging="576"/>
      </w:pPr>
      <w:bookmarkStart w:id="158" w:name="_TOC000102"/>
      <w:r/>
      <w:bookmarkEnd w:id="158"/>
      <w:r/>
      <w:bookmarkStart w:id="159" w:name="_TOC000137"/>
      <w:r>
        <w:fldChar w:fldCharType="begin"/>
        <w:instrText xml:space="preserve">XE "Gewichtsmanagement" \G </w:instrText>
        <w:fldChar w:fldCharType="end"/>
        <w:t>Gewichtsmanagement</w:t>
      </w:r>
      <w:bookmarkEnd w:id="159"/>
      <w:r/>
    </w:p>
    <w:p>
      <w:pPr>
        <w:rPr>
          <w:rFonts w:ascii="Cambria" w:hAnsi="Cambria"/>
          <w:sz w:val="16"/>
          <w:szCs w:val="16"/>
          <w:vertAlign w:val="superscript"/>
        </w:rPr>
      </w:pPr>
      <w:r>
        <w:rPr>
          <w:sz w:val="16"/>
          <w:szCs w:val="16"/>
        </w:rPr>
        <w:t>Quelle: Bernhard Hobelsberger, Dr. Wolfgang Feil: Dr. FOOD - gesunde Ernährung für starke Gelenke, GU 2021, Seite 66-93</w:t>
      </w:r>
      <w:r>
        <w:rPr>
          <w:rFonts w:ascii="Cambria" w:hAnsi="Cambria"/>
          <w:sz w:val="16"/>
          <w:szCs w:val="16"/>
          <w:vertAlign w:val="superscript"/>
        </w:rPr>
      </w:r>
    </w:p>
    <w:p>
      <w:r>
        <w:t>Wer Übergewicht abbaut, erleichtert Hüfte, Knie und Sprunggelenk das Leben enorm. Weil Bauchspeck-Botenstoffe Entzündungen fördern, bremst das Abnehmen auch die Entzündung in den Gelenken.</w:t>
      </w:r>
    </w:p>
    <w:p>
      <w:pPr>
        <w:pStyle w:val="para3"/>
        <w:numPr>
          <w:ilvl w:val="2"/>
          <w:numId w:val="1"/>
        </w:numPr>
        <w:ind w:left="720" w:hanging="720"/>
      </w:pPr>
      <w:bookmarkStart w:id="160" w:name="_TOC000264"/>
      <w:r>
        <w:fldChar w:fldCharType="begin"/>
        <w:instrText xml:space="preserve">XE "Gewichtsmanagement" \G </w:instrText>
        <w:fldChar w:fldCharType="end"/>
        <w:t>Gewichtsmanagement geht ganz leicht</w:t>
      </w:r>
      <w:bookmarkEnd w:id="160"/>
      <w:r/>
    </w:p>
    <w:p>
      <w:pPr>
        <w:rPr>
          <w:sz w:val="18"/>
          <w:szCs w:val="18"/>
        </w:rPr>
      </w:pPr>
      <w:r>
        <w:rPr>
          <w:sz w:val="18"/>
          <w:szCs w:val="18"/>
        </w:rPr>
        <w:t>Quellen: Rundmails von Dr. Feil im Rahmen der Knorpel- und Knochenkur</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Verringern Sie hierfür die </w:t>
        <w:fldChar w:fldCharType="begin"/>
        <w:instrText xml:space="preserve">XE "Kohlenhydrate" \G </w:instrText>
        <w:fldChar w:fldCharType="end"/>
        <w:t xml:space="preserve">Kohlenhydrate in Ihrer Ernährung und essen Sie stattdessen mehr </w:t>
        <w:fldChar w:fldCharType="begin"/>
        <w:instrText xml:space="preserve">XE "Fett" \G </w:instrText>
        <w:fldChar w:fldCharType="end"/>
        <w:t xml:space="preserve">Fett und </w:t>
        <w:fldChar w:fldCharType="begin"/>
        <w:instrText xml:space="preserve">XE "Eiweiß" \G </w:instrText>
        <w:fldChar w:fldCharType="end"/>
        <w:t>Eiweiß!</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color w:val="007f7f"/>
        </w:rPr>
      </w:pPr>
      <w:r>
        <w:rPr>
          <w:b/>
          <w:bCs/>
          <w:color w:val="007f7f"/>
        </w:rPr>
        <w:t xml:space="preserve">Früher haben wir gelernt: </w:t>
        <w:fldChar w:fldCharType="begin"/>
        <w:instrText xml:space="preserve">XE "Fett" \G </w:instrText>
        <w:fldChar w:fldCharType="end"/>
        <w:t xml:space="preserve">Fett macht </w:t>
        <w:fldChar w:fldCharType="begin"/>
        <w:instrText xml:space="preserve">XE "Fett" \G </w:instrText>
        <w:fldChar w:fldCharType="end"/>
        <w:t>fett.</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color w:val="007f7f"/>
        </w:rPr>
      </w:pPr>
      <w:r>
        <w:rPr>
          <w:b/>
          <w:bCs/>
          <w:color w:val="007f7f"/>
        </w:rPr>
        <w:t>Heute wissen wir: Das stimmt so nicht (unbedingt).</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Ein Zuviel an Kohlenhydraten wird jedoch in den Zellen als Fettreserve eingelagert.</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Das liegt daran, dass der Körper normalerweise gerne die schnell umsetzbaren </w:t>
        <w:fldChar w:fldCharType="begin"/>
        <w:instrText xml:space="preserve">XE "Kohlenhydrate" \G </w:instrText>
        <w:fldChar w:fldCharType="end"/>
        <w:t>Kohlenhydrate verbrennt.</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Wenn es jetzt zu viel des Guten werden, legt er sich einen Vorrat an Energie an.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 wir das jetzt wissen, können wir ganz einfach gegensteuern.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color w:val="007f7f"/>
        </w:rPr>
      </w:pPr>
      <w:r>
        <w:rPr>
          <w:b/>
          <w:bCs/>
          <w:color w:val="007f7f"/>
        </w:rPr>
        <w:t xml:space="preserve">Damit Sie keinen Heißhunger auf </w:t>
        <w:fldChar w:fldCharType="begin"/>
        <w:instrText xml:space="preserve">XE "Kohlenhydrate" \G </w:instrText>
        <w:fldChar w:fldCharType="end"/>
        <w:t>Kohlenhydrate entwickeln, empfehle ich Ihnen, ganz langsam damit zu starten, dass Sie zumindest abends auf die „Sättigungsbeilage“ in Form von Kartoffeln, Nudeln, Reis oder Brot verzichten. Essen Sie stattdessen lieber mehr Gemüse!</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Das hat gleich zwei Vorteile:</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Erstens ist Gemüse vitalstoffreich und hat eine geringe Energiedichte.</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Damit nehmen Sie im Verhältnis zu wenigen Kalorien viele gesunde Stoffe zu sich.</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Und zweitens enthält Gemüse viele gesunde Ballaststoffe, die Ihrem Darm guttun.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Wenn Sie diese erste Stufe leicht mitgehen können, empfehle ich Ihnen, schrittweise auch zu den anderen Mahlzeiten die </w:t>
        <w:fldChar w:fldCharType="begin"/>
        <w:instrText xml:space="preserve">XE "Kohlenhydrate" \G </w:instrText>
        <w:fldChar w:fldCharType="end"/>
        <w:t>Kohlenhydrate wegzulassen.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color w:val="007f7f"/>
        </w:rPr>
      </w:pPr>
      <w:r>
        <w:rPr>
          <w:b/>
          <w:bCs/>
          <w:color w:val="007f7f"/>
        </w:rPr>
        <w:t>Viele Erfolgsgeschichten aus der Praxis zeigen, dass gerade das Weglassen von Weizenprodukten enormes Verbesserungspotenzial für Ihr Wohlbefinden hat.</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Der Grund ist einfach:</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Weizen (und auch Roggen) sind sehr stark auf Ertrag gezüchtet worden.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Sie werden immer robuster gegen Krankheiten und Schädlinge.</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Das führt zu hohen Lektinwerten, die zu Entzündungen im Körper führen können.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Wir sind einfach nicht darauf ausgelegt.</w:t>
      </w:r>
    </w:p>
    <w:p>
      <w:pPr>
        <w:ind w:left="170" w:right="165"/>
        <w:spacing w:after="80"/>
        <w:tabs defTabSz="708">
          <w:tab w:val="right" w:pos="8787" w:leader="none"/>
        </w:tabs>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Viele Menschen vertragen auch das </w:t>
        <w:fldChar w:fldCharType="begin"/>
        <w:instrText xml:space="preserve">XE "Gluten" \G </w:instrText>
        <w:fldChar w:fldCharType="end"/>
        <w:t>Gluten nicht so gut.</w:t>
      </w:r>
    </w:p>
    <w:p>
      <w:pPr>
        <w:ind w:left="170" w:right="165"/>
        <w:spacing w:after="80"/>
        <w:tabs defTabSz="708">
          <w:tab w:val="right" w:pos="8787" w:leader="none"/>
        </w:tabs>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color w:val="007f7f"/>
        </w:rPr>
      </w:pPr>
      <w:r>
        <w:rPr>
          <w:b/>
          <w:bCs/>
          <w:color w:val="007f7f"/>
        </w:rPr>
        <w:t xml:space="preserve">Sie tun sich also in vielerlei Hinsicht einen großen Gefallen, wenn Sie (zumindest schrittweise) die </w:t>
        <w:fldChar w:fldCharType="begin"/>
        <w:instrText xml:space="preserve">XE "Kohlenhydrate" \G </w:instrText>
        <w:fldChar w:fldCharType="end"/>
        <w:t>Kohlenhydrate aus Ihrer Ernährung gegen viel leckeres Gemüse und Salate tauschen.</w:t>
        <w:tab/>
      </w:r>
      <w:r>
        <w:rPr>
          <w:color w:val="007f7f"/>
          <w:sz w:val="18"/>
          <w:szCs w:val="18"/>
        </w:rPr>
        <w:t xml:space="preserve">weiter </w:t>
      </w:r>
      <w:r/>
      <w:r>
        <w:rPr>
          <w:noProof/>
        </w:rPr>
        <w:drawing>
          <wp:inline distT="0" distB="0" distL="0" distR="0">
            <wp:extent cx="1562100" cy="101600"/>
            <wp:effectExtent l="0" t="0" r="0" b="0"/>
            <wp:docPr id="17" name="Grafik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fik151"/>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4AwAAB6IAAAAAAAAAAAAAAQAAAAAAAAAAAAAAAQAAAAAAAAAAAAAAnAkAAKAAAAAAAAAAAAAAAAAAAAAoAAAACAAAAAEAAAABAAAAMAAAABQAAAAAAAAAAAD//wAAAQAAAP//AAABAA=="/>
                        </a:ext>
                      </a:extLst>
                    </pic:cNvPicPr>
                  </pic:nvPicPr>
                  <pic:blipFill>
                    <a:blip r:embed="rId66"/>
                    <a:stretch>
                      <a:fillRect/>
                    </a:stretch>
                  </pic:blipFill>
                  <pic:spPr>
                    <a:xfrm>
                      <a:off x="0" y="0"/>
                      <a:ext cx="1562100" cy="101600"/>
                    </a:xfrm>
                    <a:prstGeom prst="rect">
                      <a:avLst/>
                    </a:prstGeom>
                    <a:noFill/>
                    <a:ln w="12700">
                      <a:noFill/>
                    </a:ln>
                  </pic:spPr>
                </pic:pic>
              </a:graphicData>
            </a:graphic>
          </wp:inline>
        </w:drawing>
      </w:r>
      <w:r/>
      <w:r>
        <w:rPr>
          <w:b/>
          <w:bCs/>
          <w:color w:val="007f7f"/>
        </w:rPr>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color w:val="007f7f"/>
        </w:rPr>
      </w:pPr>
      <w:r>
        <w:rPr>
          <w:b/>
          <w:bCs/>
          <w:color w:val="007f7f"/>
        </w:rPr>
        <w:t xml:space="preserve">Wenn Sie die </w:t>
        <w:fldChar w:fldCharType="begin"/>
        <w:instrText xml:space="preserve">XE "Kohlenhydrate" \G </w:instrText>
        <w:fldChar w:fldCharType="end"/>
        <w:t>Kohlenhydrate gestern Abend schon weggelassen haben und keinen zusätzlichen Hunger verspürt haben, darf ich Ihnen gratulieren: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color w:val="007f7f"/>
        </w:rPr>
      </w:pPr>
      <w:r>
        <w:rPr>
          <w:b/>
          <w:bCs/>
          <w:color w:val="007f7f"/>
        </w:rPr>
        <w:t>Sie haben einen großen Schritt zu Ihrem Wohlfühlgewicht getan!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Wenn Sie Ihren Stoffwechsel auf leckere Art und Weise noch zusätzlich ankurbeln wollen, ist der heutige Tipp etwas für Sie:</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color w:val="007f7f"/>
        </w:rPr>
      </w:pPr>
      <w:r>
        <w:rPr>
          <w:b/>
          <w:bCs/>
          <w:color w:val="007f7f"/>
        </w:rPr>
        <w:t>Essen Sie zu jeder Mahlzeit einen leckeren Beerenquark!</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Nehmen Sie am besten die 20%-Variante und verfeinern Sie den Quark noch zusätzlich mit einem Bio-Leinöl.</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Den Quark verrühren Sie dann mit einer guten Handvoll (frischer) Beeren und einem Spritzer Zitronensaft – lecker!</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Wenn Sie die Abwechslung mögen, können Sie sich auch – nach dem gleichen Grundrezept – einen frischen Kräuterquark zubereiten.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Und natürlich geht auch immer die Variante mit tiefgekühlten Beeren oder Kräutern.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Nicht jeder hat frische Zutaten jederzeit verfügbar.</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Dann ist es besser, auf Tiefkühlware zurückzugreifen, als eine fertige Ware aus dem Supermarkt mitzunehmen.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Dort haben Sie oft wieder Zucker oder andere Zusatzstoffe, die vielleicht wieder entzündungsfördernd sind.</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color w:val="007f7f"/>
        </w:rPr>
      </w:pPr>
      <w:r>
        <w:rPr>
          <w:b/>
          <w:bCs/>
          <w:color w:val="007f7f"/>
        </w:rPr>
        <w:t xml:space="preserve">Warum </w:t>
        <w:fldChar w:fldCharType="begin"/>
        <w:instrText xml:space="preserve">XE "Eiweiß" \G </w:instrText>
        <w:fldChar w:fldCharType="end"/>
        <w:t>Eiweiß?</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fldChar w:fldCharType="begin"/>
        <w:instrText xml:space="preserve">XE "Eiweiß" \G </w:instrText>
        <w:fldChar w:fldCharType="end"/>
        <w:t xml:space="preserve">Eiweiß sättigt wesentlich schneller und lang anhaltender als </w:t>
        <w:fldChar w:fldCharType="begin"/>
        <w:instrText xml:space="preserve">XE "Kohlenhydrate" \G </w:instrText>
        <w:fldChar w:fldCharType="end"/>
        <w:t>Kohlenhydrate.</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Wir haben im Magen einen Rezeptor für die Eiweißmenge, die wir essen.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Sie sind einfach schneller satt und bleiben es auch.</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Dadurch senken Sie die Gesamtkalorienzufuhr ohne lästiges Zählen.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Und </w:t>
        <w:fldChar w:fldCharType="begin"/>
        <w:instrText xml:space="preserve">XE "Eiweiß" \G </w:instrText>
        <w:fldChar w:fldCharType="end"/>
        <w:t>Eiweiß sorgt dafür, dass mehr Muskelmasse aufgebaut werden kann (Wir beschäftigen uns bald wieder mit zusätzlichen Bewegungsübungen!).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Muskeln verbrauchen mehr Energie und sorgen dafür, dass der Stoffwechsel in Gang bleibt.</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Sie tun sich also doppelt etwas Gutes, wenn Sie Ihre tägliche Portion Quark zu sich nehmen!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Ich weiß, dass die richtige Ernährung, insbesondere der Verzicht auf Süßigkeiten oder </w:t>
        <w:fldChar w:fldCharType="begin"/>
        <w:instrText xml:space="preserve">XE "Kohlenhydrate" \G </w:instrText>
        <w:fldChar w:fldCharType="end"/>
        <w:t>Kohlenhydrate, eine Herausforderung sein kann.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Auch das Intervallfasten kann eine Hürde sein.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Ihr Körper ist da genau wie Sie auch.</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Wenn er bemerkt, dass Sie verzichten, fährt er den Stoffwechsel herunter.</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Diese Reaktion sicherte uns in Zeiten der Lebensmittelknappheit das Überleben. Heute haben wir alles im Überfluss.</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Damit es nicht zu einer Jojo-Reaktion kommt, oder Sie in alte Muster zurückfallen, sollten Sie sich an einem Tag in der Woche einen „Cheat Day“ erlauben.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Ihr Körper merkt so nicht, dass Sie verzichten, und hält den Stoffwechsel auf Normalbetrieb.</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Was ist am Cheat Day erlaubt?</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An diesem Tag dürfen Sie alles essen und machen, was Sie möchten.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Am Anfang mag es durchaus sein, dass Sie allen Verlockungen der Konditorei auf einmal nachgeben wollen.</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Mit der Zeit werden Sie feststellen, dass Ihre Lust auf Süßes abnimmt.</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Das ist völlig in Ordnung.</w:t>
      </w:r>
    </w:p>
    <w:p>
      <w:pPr>
        <w:ind w:left="170" w:right="165"/>
        <w:spacing w:after="80"/>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p>
    <w:p>
      <w:pPr>
        <w:pStyle w:val="para3"/>
        <w:numPr>
          <w:ilvl w:val="2"/>
          <w:numId w:val="1"/>
        </w:numPr>
        <w:ind w:left="720" w:hanging="720"/>
      </w:pPr>
      <w:bookmarkStart w:id="161" w:name="_TOC000098"/>
      <w:r>
        <w:t xml:space="preserve">Das Gewicht und </w:t>
        <w:fldChar w:fldCharType="begin"/>
        <w:instrText xml:space="preserve">XE "Arthrose" \G </w:instrText>
        <w:fldChar w:fldCharType="end"/>
        <w:t>Arthrose</w:t>
      </w:r>
      <w:bookmarkEnd w:id="161"/>
      <w:r/>
    </w:p>
    <w:p>
      <w:r>
        <w:t xml:space="preserve">Der Abschied von der </w:t>
        <w:fldChar w:fldCharType="begin"/>
        <w:instrText xml:space="preserve">XE "Arthrose" \G </w:instrText>
        <w:fldChar w:fldCharType="end"/>
        <w:t xml:space="preserve">Arthrose beginnt auf der Waage. Damit sich der Knorpel in den Gelenken der Beinachse regenerieren kann, sollten Hüfte, Knie und Sprunggelenk davon befreit werden, unnötige Lasten durch die Welt zu tragen. Beim Abnehmen gelten zwei Regeln: </w:t>
      </w:r>
    </w:p>
    <w:p>
      <w:pPr>
        <w:pStyle w:val="para28"/>
        <w:numPr>
          <w:ilvl w:val="1"/>
          <w:numId w:val="2"/>
        </w:numPr>
        <w:ind w:left="397" w:hanging="197"/>
      </w:pPr>
      <w:r>
        <w:t>Jedes Kilo weniger zählt.</w:t>
      </w:r>
    </w:p>
    <w:p>
      <w:pPr>
        <w:pStyle w:val="para28"/>
        <w:numPr>
          <w:ilvl w:val="1"/>
          <w:numId w:val="2"/>
        </w:numPr>
        <w:ind w:left="397" w:hanging="197"/>
      </w:pPr>
      <w:r>
        <w:t>Je mehr, desto besser.</w:t>
      </w:r>
    </w:p>
    <w:p>
      <w:r>
        <w:t>Wer es schaffte, mindestens 10 % des Ausgangsgewichts abzunehmen, konnte in einer großen Studie der Universität von Kalifornien in San Francisco den dauerhaften Schäden durch eine Kniearthrose wirksam entgegensteuern. Der Effekt ist deshalb so groß, weil zu viel Körpermasse den Knorpel dreifach schädigt:</w:t>
      </w:r>
    </w:p>
    <w:p>
      <w:pPr>
        <w:pStyle w:val="para17"/>
        <w:numPr>
          <w:ilvl w:val="1"/>
          <w:numId w:val="2"/>
        </w:numPr>
        <w:ind w:left="397" w:hanging="197"/>
      </w:pPr>
      <w:r>
        <w:t>Die Überbeanspruchung des Knorpels begünstigt kleine Risse in der Knorpeloberfläche. Das Gewebe erweicht und hält Druckbelastungen weniger gut stand. Bei zu viel Körperfülle verändert sich überdies die Stellung des Knies, das begünstigt O-Beine.</w:t>
      </w:r>
    </w:p>
    <w:p>
      <w:pPr>
        <w:pStyle w:val="para17"/>
        <w:numPr>
          <w:ilvl w:val="1"/>
          <w:numId w:val="2"/>
        </w:numPr>
        <w:ind w:left="397" w:hanging="197"/>
      </w:pPr>
      <w:r>
        <w:t xml:space="preserve">Vor allem im Bauchfett werden entzündungsfördernde Stoffe produziert, sogenannte Zytokine. Diese befeuern die </w:t>
        <w:fldChar w:fldCharType="begin"/>
        <w:instrText xml:space="preserve">XE "Arthrose" \G </w:instrText>
        <w:fldChar w:fldCharType="end"/>
        <w:t>Arthrose. Deshalb entwickeln Übergewichtige häufig sogar Probleme mit Gelenken, die nicht mechanisch belastet werden.</w:t>
      </w:r>
    </w:p>
    <w:p>
      <w:pPr>
        <w:pStyle w:val="para17"/>
        <w:numPr>
          <w:ilvl w:val="1"/>
          <w:numId w:val="2"/>
        </w:numPr>
        <w:ind w:left="397" w:hanging="197"/>
      </w:pPr>
      <w:r>
        <w:t>Wer korpulent ist, bewegt sich meist eher ungern. Ein immobiles Gelenk produziert aber weniger Gelenkflüssigkeit. Dadurch wird der Knorpel rau und spröde, was den Abbau beschleunigt und Schmerzen hervorruft - ein Teufelskreis.</w:t>
      </w:r>
    </w:p>
    <w:p>
      <w:pPr>
        <w:pStyle w:val="para3"/>
        <w:numPr>
          <w:ilvl w:val="2"/>
          <w:numId w:val="1"/>
        </w:numPr>
        <w:ind w:left="720" w:hanging="720"/>
      </w:pPr>
      <w:bookmarkStart w:id="162" w:name="_TOC000099"/>
      <w:r>
        <w:t xml:space="preserve">Ein gutes </w:t>
        <w:fldChar w:fldCharType="begin"/>
        <w:instrText xml:space="preserve">XE "Gewichtsmanagement" \G </w:instrText>
        <w:fldChar w:fldCharType="end"/>
        <w:t>Gewichtsmanagement ist entscheidend</w:t>
      </w:r>
      <w:bookmarkEnd w:id="162"/>
      <w:r/>
    </w:p>
    <w:p>
      <w:r>
        <w:t xml:space="preserve">Doch wie wird man nun die lästigen Pfunde los? Neben ausreichend Bewegung ist ein gutes </w:t>
        <w:fldChar w:fldCharType="begin"/>
        <w:instrText xml:space="preserve">XE "Gewichtsmanagement" \G </w:instrText>
        <w:fldChar w:fldCharType="end"/>
        <w:t>Gewichtsmanagement gefragt. In einem Satz zusammengefasst lautet die Regel:</w:t>
      </w:r>
    </w:p>
    <w:p>
      <w:pPr>
        <w:ind w:left="510" w:right="562"/>
      </w:pPr>
      <w:r>
        <w:t>Eine gesunde Schlank-Kost sollte möglichst kalorienarm und sättigend sein, dabei alle nötigen entzündungshemmenden und antioxidativen Nährstoffe liefern, die der Knorpel braucht.</w:t>
      </w:r>
    </w:p>
    <w:p>
      <w:r>
        <w:t xml:space="preserve">Das gelingt mit einem Speiseplan, der reichlich Gemüse, Salate und moderat Obst vorsieht, dazu hochwertige Eiweißlieferanten à la Quark und Fisch sowie ballaststoffreiche Lebensmittel wie Hülsenfrüchte oder Haferflocken. Nudeln, helles Brot und Reis liefern hingegen vor allem »leere« </w:t>
        <w:fldChar w:fldCharType="begin"/>
        <w:instrText xml:space="preserve">XE "Kohlenhydrate" \G </w:instrText>
        <w:fldChar w:fldCharType="end"/>
        <w:t>Kohlenhydrate. Sie gilt es, in überschaubaren Mengen zu konsumieren. Wer diese Dickmacher begrenzt und sich darauf konzentriert, gute Energielieferanten zu sich zu nehmen, wird schon beinahe von selbst schlank.</w:t>
      </w:r>
    </w:p>
    <w:p>
      <w:r/>
    </w:p>
    <w:p>
      <w:pPr>
        <w:pStyle w:val="para4"/>
        <w:numPr>
          <w:ilvl w:val="3"/>
          <w:numId w:val="1"/>
        </w:numPr>
        <w:ind w:left="1077" w:hanging="1077"/>
      </w:pPr>
      <w:r>
        <w:br w:type="page"/>
      </w:r>
      <w:bookmarkStart w:id="163" w:name="_TOC000123"/>
      <w:r>
        <w:fldChar w:fldCharType="begin"/>
        <w:instrText xml:space="preserve">XE "Gewichtsmanagement" \G </w:instrText>
        <w:fldChar w:fldCharType="end"/>
        <w:t xml:space="preserve">Gewichtsmanagement Schritt 1: Weniger </w:t>
        <w:fldChar w:fldCharType="begin"/>
        <w:instrText xml:space="preserve">XE "Kohlenhydrate" \G </w:instrText>
        <w:fldChar w:fldCharType="end"/>
        <w:t>Kohlenhydrate</w:t>
      </w:r>
      <w:bookmarkEnd w:id="163"/>
      <w:r/>
    </w:p>
    <w:p>
      <w:r>
        <w:t xml:space="preserve">Wer </w:t>
        <w:fldChar w:fldCharType="begin"/>
        <w:instrText xml:space="preserve">XE "Stärke" \G </w:instrText>
        <w:fldChar w:fldCharType="end"/>
        <w:t xml:space="preserve">stärke- und zuckerhaltige Lebensmittel wie Baguette, Reis, Pasta, Kuchen oder Softdrinks reduziert, hat den ersten, wichtigsten Schritt beim Abnehmen schon mal gemacht. Ab jetzt hilft der Körper mit. Zum einen, indem er die Fettspeicherung vermindert: Denn all diese </w:t>
        <w:fldChar w:fldCharType="begin"/>
        <w:instrText xml:space="preserve">XE "Kohlenhydrate" \G </w:instrText>
        <w:fldChar w:fldCharType="end"/>
        <w:t xml:space="preserve">Kohlenhydrate liefern einen schnellen Energieschub in Form von </w:t>
        <w:fldChar w:fldCharType="begin"/>
        <w:instrText xml:space="preserve">XE "Glukose" \G </w:instrText>
        <w:fldChar w:fldCharType="end"/>
        <w:t xml:space="preserve">Glukose (Blutzucker), den die Muskeln überhaupt nicht verwerten können - es sei denn, man schuftet im Steinbruch oder trainiert für einen Triathlon. Der Körper lagert die </w:t>
        <w:fldChar w:fldCharType="begin"/>
        <w:instrText xml:space="preserve">XE "Glukose" \G </w:instrText>
        <w:fldChar w:fldCharType="end"/>
        <w:t xml:space="preserve">Glukose letztlich als </w:t>
        <w:fldChar w:fldCharType="begin"/>
        <w:instrText xml:space="preserve">XE "Fett" \G </w:instrText>
        <w:fldChar w:fldCharType="end"/>
        <w:t xml:space="preserve">Fett in den Fettzellen ein. Es wird wird eine der wichtigsten Ursachen für Heißhunger ausgeschaltet, wenn man </w:t>
        <w:fldChar w:fldCharType="begin"/>
        <w:instrText xml:space="preserve">XE "Kohlenhydrate" \G </w:instrText>
        <w:fldChar w:fldCharType="end"/>
        <w:t>Kohlenhydrate reduziert. Denn bei der Verstoffwechslung von Weißmehlprodukten und Zucker steigt der Blutzuckerspiegel rasch an.</w:t>
      </w:r>
    </w:p>
    <w:p>
      <w:r>
        <w:t xml:space="preserve">Dies regt wiederum die Bauchspeicheldrüse an, mehr Insulin auszuschütten, um die Zuckerenergie in die Vorratsschränke Leber und Muskeln zu verräumen. Hat das Insulin die Glukosemoleküle verstaut, saust der Blutzuckerspiegel wieder in die Tiefe, sogar auf unter normal. Diese Achterbahnfahrt des Blutzuckerspiegels weckt Heißhunger, der Körper verlangt nach neuen Kohlenhydraten. Darüber hinaus lässt der ständige Insulinausstoß die Entzündungswerte ansteigen - das facht </w:t>
        <w:fldChar w:fldCharType="begin"/>
        <w:instrText xml:space="preserve">XE "Arthrose" \G </w:instrText>
        <w:fldChar w:fldCharType="end"/>
        <w:t>Arthrose und Arthritis zusätzlich an.</w:t>
      </w:r>
    </w:p>
    <w:p>
      <w:pPr>
        <w:pStyle w:val="para4"/>
        <w:numPr>
          <w:ilvl w:val="3"/>
          <w:numId w:val="1"/>
        </w:numPr>
        <w:ind w:left="1077" w:hanging="1077"/>
      </w:pPr>
      <w:bookmarkStart w:id="164" w:name="_TOC000124"/>
      <w:r>
        <w:fldChar w:fldCharType="begin"/>
        <w:instrText xml:space="preserve">XE "Gewichtsmanagement" \G </w:instrText>
        <w:fldChar w:fldCharType="end"/>
        <w:t>Gewichtsmanagement Schritt 2: Besseres Timing</w:t>
      </w:r>
      <w:bookmarkEnd w:id="164"/>
      <w:r/>
    </w:p>
    <w:p>
      <w:r>
        <w:t xml:space="preserve">Low Carb heißt nicht No Carb (aus dem Englischen: </w:t>
        <w:fldChar w:fldCharType="begin"/>
        <w:instrText xml:space="preserve">XE "Kohlenhydrate" \G </w:instrText>
        <w:fldChar w:fldCharType="end"/>
        <w:t xml:space="preserve">Kohlenhydrate = Carbohydrates). Schließlich sind </w:t>
        <w:fldChar w:fldCharType="begin"/>
        <w:instrText xml:space="preserve">XE "Kohlenhydrate" \G </w:instrText>
        <w:fldChar w:fldCharType="end"/>
        <w:t xml:space="preserve">Kohlenhydrate auch Treibstoff fürs Gehirn. In Form von Obst und Gemüse liefern sie zudem </w:t>
        <w:fldChar w:fldCharType="begin"/>
        <w:instrText xml:space="preserve">XE "Vitamine" \G </w:instrText>
        <w:fldChar w:fldCharType="end"/>
        <w:t xml:space="preserve">Vitamine, Mineralien und sekundäre Pflanzenstoffe. Aber vor allem abends sollten Sie auf Nudeln, Reis und Co. verzichten. So bleibt der Insulinspiegel nachts im Keller und die Pfunde schmelzen quasi im Schlaf. (Insulin blockiert die Fettverbrennung!) Zum Frühstück ist ein Brötchen mit Marmelade weniger dramatisch, weil die Glykogenspeicher nun leer sind und die </w:t>
        <w:fldChar w:fldCharType="begin"/>
        <w:instrText xml:space="preserve">XE "Glukose" \G </w:instrText>
        <w:fldChar w:fldCharType="end"/>
        <w:t xml:space="preserve">Glukose in Energie für den Tag umgewandelt wird - nicht zuletzt für die grauen Zellen. Am besten ist die Kombination aus hochwertigen Kohlenhydraten und </w:t>
        <w:fldChar w:fldCharType="begin"/>
        <w:instrText xml:space="preserve">XE "Eiweiß" \G </w:instrText>
        <w:fldChar w:fldCharType="end"/>
        <w:t>Eiweiß, etwa in Form eines Obstsalats mit ein paar Käsewürfeln oder als Rührei mit einem Chia-Quark-Brötchen. Zuckerreiches Obst genießt man am besten als Nachtisch oder Zwischenmahlzeit mit ein paar Nüssen. Als reiner Snack zwischendurch fördern süße Früchte das Blutzucker-Jo-Jo.</w:t>
      </w:r>
    </w:p>
    <w:p>
      <w:pPr>
        <w:pStyle w:val="para4"/>
        <w:numPr>
          <w:ilvl w:val="3"/>
          <w:numId w:val="1"/>
        </w:numPr>
        <w:ind w:left="1077" w:hanging="1077"/>
      </w:pPr>
      <w:bookmarkStart w:id="165" w:name="_TOC000125"/>
      <w:r>
        <w:fldChar w:fldCharType="begin"/>
        <w:instrText xml:space="preserve">XE "Gewichtsmanagement" \G </w:instrText>
        <w:fldChar w:fldCharType="end"/>
        <w:t xml:space="preserve">Gewichtsmanagement Schritt 3: Mehr </w:t>
        <w:fldChar w:fldCharType="begin"/>
        <w:instrText xml:space="preserve">XE "Eiweiß" \G </w:instrText>
        <w:fldChar w:fldCharType="end"/>
        <w:t>Eiweiß</w:t>
      </w:r>
      <w:bookmarkEnd w:id="165"/>
      <w:r/>
    </w:p>
    <w:p>
      <w:r>
        <w:t xml:space="preserve">Wer abnehmen will und </w:t>
        <w:fldChar w:fldCharType="begin"/>
        <w:instrText xml:space="preserve">XE "Arthrose" \G </w:instrText>
        <w:fldChar w:fldCharType="end"/>
        <w:t>Arthrose hat, braucht mehr Protein</w:t>
      </w:r>
      <w:r>
        <w:fldChar w:fldCharType="begin"/>
        <w:instrText xml:space="preserve">XE "Protein"</w:instrText>
        <w:fldChar w:fldCharType="end"/>
      </w:r>
      <w:r>
        <w:t xml:space="preserve">e. Die Aminosäuren, aus denen sich Eiweiße zusammensetzen, bilden die Bausteine für Hormone, Muskeln, Nerven, Sehnen, Bänder, Knorpel und Knochen. </w:t>
        <w:fldChar w:fldCharType="begin"/>
        <w:instrText xml:space="preserve">XE "Eiweiß" \G </w:instrText>
        <w:fldChar w:fldCharType="end"/>
        <w:t xml:space="preserve">Eiweiß hilft also, Muskulatur aufzubauen, mehr stoffwechselaktivierende Hormone zu bilden und letztlich, die Gelenke stabiler zu machen. Wer ausreichend </w:t>
        <w:fldChar w:fldCharType="begin"/>
        <w:instrText xml:space="preserve">XE "Eiweiß" \G </w:instrText>
        <w:fldChar w:fldCharType="end"/>
        <w:t>Eiweiß isst, bleibt auch länger satt und hält seinen Blutzuckerspiegel stabil.</w:t>
      </w:r>
    </w:p>
    <w:p>
      <w:r>
        <w:t xml:space="preserve">Bei </w:t>
        <w:fldChar w:fldCharType="begin"/>
        <w:instrText xml:space="preserve">XE "Arthrose" \G </w:instrText>
        <w:fldChar w:fldCharType="end"/>
        <w:t xml:space="preserve">Arthrose sollte man 1,5 bis 1,8 Gramm </w:t>
        <w:fldChar w:fldCharType="begin"/>
        <w:instrText xml:space="preserve">XE "Eiweiß" \G </w:instrText>
        <w:fldChar w:fldCharType="end"/>
        <w:t>Eiweiß pro Kilogramm Körpergewicht zu sich nehmen, also fast das Doppelte dessen, was die Deutsche Gesellschaft für Ernährung (DGE) empfiehlt. Bei einem Gewicht von 80 Kilogramm wären das 120 bis etwas über 140 Gramm täglich. Diese Menge schafft man nur, wenn man darauf achtet, dass jede Mahlzeit zu etwa einem Viertel aus einer Eiweißquelle besteht.</w:t>
      </w:r>
    </w:p>
    <w:p>
      <w:r>
        <w:t>Wichtig ist, auf eine ausgewogene Mischung aus tierischen und pflanzlichen Proteinprodukten zu achten.</w:t>
      </w:r>
    </w:p>
    <w:p>
      <w:r/>
    </w:p>
    <w:p>
      <w:pPr>
        <w:pStyle w:val="para4"/>
        <w:numPr>
          <w:ilvl w:val="3"/>
          <w:numId w:val="1"/>
        </w:numPr>
        <w:ind w:left="1077" w:hanging="1077"/>
      </w:pPr>
      <w:r>
        <w:br w:type="page"/>
      </w:r>
      <w:bookmarkStart w:id="166" w:name="_TOC000360"/>
      <w:r>
        <w:t>Sind Sie Frühstücker?</w:t>
      </w:r>
      <w:bookmarkEnd w:id="166"/>
      <w:r/>
    </w:p>
    <w:p>
      <w:pPr>
        <w:rPr>
          <w:sz w:val="18"/>
          <w:szCs w:val="18"/>
        </w:rPr>
      </w:pPr>
      <w:r>
        <w:rPr>
          <w:sz w:val="18"/>
          <w:szCs w:val="18"/>
        </w:rPr>
        <w:t>Quelle: Rundmails von Dr. Feil im Rahmen der Knorpel- und Knochenkur</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Viele Menschen haben es sich angewöhnt, in Hektik und Eile einen Kaffee runterzustürzen und vielleicht noch ein Stück Marmeladenbrot abzubeißen, bevor Sie getrieben von Terminen das Haus verlassen.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Wenn Sie sich nicht dazu entschließen können, dauerhaft auf ein Modell des intermittierenden Fastens umzusteigen, bei dem Sie das Frühstück auslassen, sollten Sie auf ein gesundes Frühstück achten.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rPr>
          <w:b/>
          <w:bCs/>
        </w:rPr>
        <w:t>Was verstehe ich unter einem gesunden Frühstück?</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Ein gutes Frühstück sollte immer einen hohen Eiweißanteil haben.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Das hält lange satt und den Blutzuckerspiegel konstant.</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rPr>
          <w:b/>
          <w:bCs/>
        </w:rPr>
        <w:t>Müssen Sie deswegen auf das Marmeladenbrot verzichten?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Nicht unbedingt!</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Wenn Sie dazu eine schöne Portion Gewürzquark essen, oder sich ein kleines Rührei mit frischen Kräutern und Zwiebeln gönnen, oder wenn Sie dazu einen leckeren Frühstücksdrink aus Quark, Beeren, etwas Bio-Leinöl und Buttermilch trinken, ist das Marmeladenbrot machbar.</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Wenn Sie ohnehin zur „Müslifraktion“ zählen, ersetzen Sie die Milch durch Quark, oder Sie machen sich einen tollen Hafer- oder Hirsebrei mit </w:t>
        <w:fldChar w:fldCharType="begin"/>
        <w:instrText xml:space="preserve">XE "Zimt" \G </w:instrText>
        <w:fldChar w:fldCharType="end"/>
        <w:t>Zimt und Nüssen.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Ein paar frische Beeren sollten in jedem Fall dabei sein.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Die schmecken nicht nur lecker, sondern haben Unmengen an Vitalstoffen, die morgens schon den Turbo zünden!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rPr>
          <w:b/>
          <w:bCs/>
        </w:rPr>
        <w:t>Mein Extratipp:</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Wenn Sie es morgens eilig haben (weil Sie vielleicht nur schwer aus dem Bett kommen), bereiten Sie sich das Frühstück schon abends vor.</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Der Frühstücksdrink oder ein Müsli schmecken auch nach einer Nacht Reife lecker!</w:t>
      </w:r>
    </w:p>
    <w:p>
      <w:r/>
    </w:p>
    <w:p>
      <w:pPr>
        <w:pStyle w:val="para3"/>
        <w:numPr>
          <w:ilvl w:val="2"/>
          <w:numId w:val="1"/>
        </w:numPr>
        <w:ind w:left="720" w:hanging="720"/>
      </w:pPr>
      <w:r>
        <w:br w:type="page"/>
      </w:r>
      <w:bookmarkStart w:id="167" w:name="_TOC000126"/>
      <w:r/>
      <w:bookmarkStart w:id="168" w:name="_TOC000322"/>
      <w:r>
        <w:t>Fastenkuren</w:t>
      </w:r>
      <w:bookmarkEnd w:id="168"/>
      <w:r/>
      <w:bookmarkEnd w:id="167"/>
      <w:r/>
    </w:p>
    <w:p>
      <w:pPr>
        <w:rPr>
          <w:sz w:val="18"/>
          <w:szCs w:val="18"/>
        </w:rPr>
      </w:pPr>
      <w:r>
        <w:rPr>
          <w:sz w:val="18"/>
          <w:szCs w:val="18"/>
        </w:rPr>
        <w:t>Quelle: Rundmails von Dr. Feil im Rahmen der Knorpel- und Knochenkur</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rPr>
          <w:b/>
          <w:bCs/>
        </w:rPr>
        <w:t>Mit Fastenkuren kann der Körper sich so auf seine „Baustellen“ konzentrieren und dringend benötigte Reparaturen durchführen.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Das kommt Ihren Knorpeln zugute.</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Die kleine Fastenkur können Sie ideal am Wochenende machen, denn sie dauert nur drei Tage.</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Am besten kochen Sie sich für jeden Tag etwa einen halben Liter Brühe vor. Das kann eine reine Gemüsebrühe sein, oder Sie kochen ein Bio-Suppenhuhn oder ein paar Bio-Beinscheiben vom Weiderind.</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In diese Brühe geben Sie dann etwa die gleiche Menge an Gemüse nach Ihrem Geschmack. Ich empfehle Ihnen einen bunten Mix aus Sellerie, Karotten, Lauch, Kohlrabi, Petersilienwurzel, Pastinaken, Steckrübe, Brokkoli und Kürbis.</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Sie können auch eine gefrorene Mischung nehmen.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Kochen Sie das geputzte und klein geschnittene Gemüse in der Brühe ca. zehn Minuten, bis es weich ist. Danach passieren Sie es mit einem Mixer fein.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Zum Abschmecken nehmen Sie frische Kräuter, fisch gemahlenen </w:t>
        <w:fldChar w:fldCharType="begin"/>
        <w:instrText xml:space="preserve">XE "Pfeffer" \G </w:instrText>
        <w:fldChar w:fldCharType="end"/>
        <w:t>Pfeffer und wenig Salz.</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Sie sollten jetzt für jeden Tag etwa einen Liter fertige Püreesuppe haben.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Davon können Sie sich zwei Mal am Tag großzügig eine Mahlzeit zubereiten. Die Suppe dürfte pro Teller nicht mehr als rund 150 kcal haben. Bei vier Tellern pro Tag nehmen Sie so rund 600 kcal zu sich.</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Achten Sie darauf, dass Sie zusätzlich noch etwa zwei Liter Wasser oder ungesüßten Tee (gerne grünen Tee) zu sich nehmen.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Selbstverständlich ist Kaffee in Maßen ebenfalls erlaubt.</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Fangen Sie mit einem Einstiegstag am Donnerstag an, an dem Sie nur leichte Kost wie Salat zu sich nehmen. Am Freitag, Samstag und Sonntag essen Sie dann nur die Suppe und sind am Montag wieder bereit, um mit einer leichten Mahlzeit zu starten.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Es versteht sich von selbst, dass Sie die Fastenkur nicht an dem Wochenende machen, an dem Sie zu einem Galadiner, Geburtstagen oder üppigen Festmahlen eingeladen sind.</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Das ist aber nur die eine Seite.</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Nutzen Sie die drei Tage Fasten, um sich mit sich selbst zu beschäftigen.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Lesen Sie ein Buch.</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Gehen Sie spazieren.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Genießen Sie die Ruhe.</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Auch das ist wichtig!</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Gerade in der heutigen, eher hektischen Zeit brauchen wir Rückzugsmöglichkeiten.</w:t>
      </w:r>
    </w:p>
    <w:p>
      <w:pPr>
        <w:ind w:left="227"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Eine Fastenkur hilft Ihnen also doppelt: Der Körper baut überflüssige Strukturen ab und repariert wichtige. Sie finden Ihre Ruhe und mehr zu sich selbst.</w:t>
      </w:r>
    </w:p>
    <w:p>
      <w:pPr>
        <w:pStyle w:val="para2"/>
        <w:numPr>
          <w:ilvl w:val="1"/>
          <w:numId w:val="1"/>
        </w:numPr>
        <w:ind w:left="576" w:hanging="576"/>
      </w:pPr>
      <w:r>
        <w:br w:type="page"/>
      </w:r>
      <w:bookmarkStart w:id="169" w:name="_TOC000324"/>
      <w:r>
        <w:t>Gesunder Darm, gesunde Gelenke</w:t>
      </w:r>
      <w:bookmarkEnd w:id="169"/>
      <w:r/>
    </w:p>
    <w:p>
      <w:r>
        <w:t>Ob die Gelenknährstoffe dort ankommen, wo sie benötigt werden, hängt auch vom Zustand des Verdauungsapparats ab. Denn nur wenn der Darm und seine Schleimhäute gesund sind, können Knorpelbausteine und Co. ausreichend verwertet werden.</w:t>
      </w:r>
    </w:p>
    <w:p>
      <w:r>
        <w:t xml:space="preserve">Der Darm ist das Nadelöhr, durch das Nährstoffe in den Körper gelangen. Ein vitaler Verdauungstrakt stellt sicher, dass Knochen, Muskeln oder Knorpel von den Biosubstanzen profitieren, die wir uns auf den Teller laden. Ist seine Funktion jedoch gestört, gelangen zu wenig Baustoffe und Entzündungshemmer in die Zellen. Die Gelenke hungern quasi vor vollen Tellern, selbst wenn wir tüchtig Eiweiße, </w:t>
        <w:fldChar w:fldCharType="begin"/>
        <w:instrText xml:space="preserve">XE "Antioxidantien" \G </w:instrText>
        <w:fldChar w:fldCharType="end"/>
        <w:t>Antioxidantien, Knorpelbausteine und ähnliche Vitalstoffe auf dem Speiseplan haben. Und das ist längst nicht das einzige Problem, das ein erkrankter Verdauungsapparat aufwirft. Denn hinter dem Bauchnabel liegt auch ein bedeutender Teil des Immunsystems - rund 70 % der körpereigenen Abwehrzellen versammeln sich hier. Deshalb spielt die Darmgesundheit eine wichtige Rolle bei Autoimmunerkrankungen wie beispielsweise rheumatoider Arthritis.</w:t>
      </w:r>
    </w:p>
    <w:p>
      <w:pPr>
        <w:pStyle w:val="para3"/>
        <w:numPr>
          <w:ilvl w:val="2"/>
          <w:numId w:val="1"/>
        </w:numPr>
        <w:ind w:left="720" w:hanging="720"/>
      </w:pPr>
      <w:bookmarkStart w:id="170" w:name="_TOC000127"/>
      <w:r>
        <w:t>Mikrokosmos im Darm</w:t>
      </w:r>
      <w:bookmarkEnd w:id="170"/>
      <w:r/>
    </w:p>
    <w:p>
      <w:r>
        <w:t>Von besonderer Bedeutung sind die 100 Billionen aktiven Bakterien, die sich vor allem im Dickdarm tummeln. Dieser Mikrokosmos - früher als Darmflora, heute als Darmmikrobiom bezeichnet - setzt sich aus mehr als 400 verschiedenen Arten zusammen. Die Einzeller, z. B. Laktobazillen und Bifidobakterien, helfen bei der Verwertung der Nahrung, regen die Verdauung an und funktionieren als Trainingspartner für das Immunsystem.</w:t>
      </w:r>
    </w:p>
    <w:p>
      <w:r>
        <w:t>Zudem produzieren sie den Knochenbooster Vitamin K2, der zwei Proteine aktiviert, die den Kalziumeinbau im Skelett fördern beziehungsweise die Gefäßkalzifizierung verhindern.</w:t>
      </w:r>
    </w:p>
    <w:p>
      <w:r>
        <w:t xml:space="preserve">Nicht zuletzt stellen die Bakterien kurzkettige </w:t>
        <w:fldChar w:fldCharType="begin"/>
        <w:instrText xml:space="preserve">XE "Fettsäuren" \G </w:instrText>
        <w:fldChar w:fldCharType="end"/>
        <w:t>Fettsäuren wie Butyrat her, die den Zellen der Darmschleimhaut als Nahrungsquelle dienen.</w:t>
      </w:r>
    </w:p>
    <w:p>
      <w:r>
        <w:t>Ist die Darmschleimhaut intakt, gelangen Fremdkörper - und damit eine mögliche Entzündungsquelle - nicht so leicht in den Organismus. Entscheidend für die Schutzfunktion ist dabei vor allem die Vielfalt und Zusammensetzung der Bakterienstämme:</w:t>
      </w:r>
    </w:p>
    <w:p>
      <w:r>
        <w:t>Sie muss in Balance sein, damit Verdauung und Immunabwehr funktionieren - und die Gelenke stark bleiben.</w:t>
      </w:r>
    </w:p>
    <w:p>
      <w:pPr>
        <w:pStyle w:val="para4"/>
        <w:numPr>
          <w:ilvl w:val="3"/>
          <w:numId w:val="1"/>
        </w:numPr>
        <w:ind w:left="1077" w:hanging="1077"/>
      </w:pPr>
      <w:bookmarkStart w:id="171" w:name="_TOC000128"/>
      <w:r>
        <w:t>Was der Darm liebt</w:t>
      </w:r>
      <w:bookmarkEnd w:id="171"/>
      <w:r/>
    </w:p>
    <w:p>
      <w:pPr>
        <w:pStyle w:val="para5"/>
        <w:numPr>
          <w:ilvl w:val="4"/>
          <w:numId w:val="1"/>
        </w:numPr>
        <w:ind w:left="1134" w:hanging="1134"/>
      </w:pPr>
      <w:bookmarkStart w:id="172" w:name="_TOC000130"/>
      <w:r>
        <w:t>Gemüse</w:t>
      </w:r>
      <w:bookmarkEnd w:id="172"/>
      <w:r/>
    </w:p>
    <w:p>
      <w:r>
        <w:t xml:space="preserve">Präbiotika, die Grundnahrung für die wertvollen Darmbakterien, stecken beispielsweise in Artischocken, Chicorée, Spargel, Schwarzwurzeln, </w:t>
        <w:fldChar w:fldCharType="begin"/>
        <w:instrText xml:space="preserve">XE "Knoblauch" \G </w:instrText>
        <w:fldChar w:fldCharType="end"/>
        <w:t>Knoblauch, Zwiebeln und Bananen, in geringeren Mengen auch in Getreide. Diese pflanzlichen Lebensmittel enthalten unverdauliche Inhaltsstoffe wie etwa Inulin oder Oligofruktose, die wie eine Verjüngungskur für die wertvollen Bifidobakterien im Dickdarm wirken. Die Mikroben stürzen sich auf die zähen Leckerbissen (sogenannte Präbiotika), fermentieren die Ballaststoffe und können sich dank dieses Kraftfutters tüchtig vermehren. Damit werden schädliche, entzündungsfördernde Darmbakterien wie Clostridien und Escherichia coli verdrängt. Experten raten, täglich mindestens 5 Gramm Ballaststoffe aus der Gruppe der Präbiotika zu essen.</w:t>
      </w:r>
    </w:p>
    <w:p>
      <w:r>
        <w:rPr>
          <w:b/>
          <w:bCs/>
        </w:rPr>
        <w:t>Präbiotika:</w:t>
      </w:r>
      <w:r>
        <w:t xml:space="preserve"> Futter für die guten Darmbakterien.</w:t>
      </w:r>
    </w:p>
    <w:p>
      <w:r>
        <w:rPr>
          <w:b/>
          <w:bCs/>
        </w:rPr>
        <w:t>Probiotika:</w:t>
      </w:r>
      <w:r>
        <w:t xml:space="preserve"> Sind die lebenden Mikroorganismen selbst, z. B. in Joghurt oder Kefir.</w:t>
      </w:r>
    </w:p>
    <w:p>
      <w:r>
        <w:t>In diesen Nahrungsmitteln sind besonders viele Präbiotika enthalten:</w:t>
      </w:r>
    </w:p>
    <w:p>
      <w:pPr>
        <w:rPr>
          <w:sz w:val="18"/>
          <w:szCs w:val="18"/>
        </w:rPr>
      </w:pPr>
      <w:r>
        <w:t xml:space="preserve">Quelle: </w:t>
      </w:r>
      <w:hyperlink r:id="rId67" w:history="1">
        <w:r>
          <w:rPr>
            <w:rStyle w:val="char20"/>
            <w:sz w:val="18"/>
            <w:szCs w:val="18"/>
          </w:rPr>
          <w:t>https://madena.de/blogs/news/was-sind-eigentlich-praebiotika-und-wo-stecken-sie-drin</w:t>
        </w:r>
      </w:hyperlink>
      <w:r>
        <w:rPr>
          <w:sz w:val="18"/>
          <w:szCs w:val="18"/>
        </w:rPr>
        <w:t xml:space="preserve"> - 06.09.2025</w:t>
      </w:r>
      <w:r>
        <w:rPr>
          <w:sz w:val="18"/>
          <w:szCs w:val="18"/>
        </w:rPr>
      </w:r>
    </w:p>
    <w:tbl>
      <w:tblPr>
        <w:tblStyle w:val="TableNormal"/>
        <w:name w:val="Tabelle41"/>
        <w:tabOrder w:val="0"/>
        <w:jc w:val="left"/>
        <w:tblInd w:w="0" w:type="dxa"/>
        <w:tblW w:w="9060" w:type="dxa"/>
        <w:pPr>
          <w:spacing w:after="0" w:line="240" w:lineRule="auto"/>
          <w:jc w:val="left"/>
          <w:widowControl w:val="0"/>
        </w:pPr>
        <w:tblLook w:val="0600" w:firstRow="0" w:lastRow="0" w:firstColumn="0" w:lastColumn="0" w:noHBand="1" w:noVBand="1"/>
      </w:tblPr>
      <w:tblGrid>
        <w:gridCol w:w="2534"/>
        <w:gridCol w:w="6526"/>
      </w:tblGrid>
      <w:tr>
        <w:trPr>
          <w:tblHeader/>
          <w:cantSplit w:val="0"/>
          <w:trHeight w:val="0" w:hRule="auto"/>
        </w:trPr>
        <w:tc>
          <w:tcPr>
            <w:tcW w:w="2534" w:type="dxa"/>
            <w:vAlign w:val="center"/>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sz w:val="24"/>
                <w:szCs w:val="24"/>
              </w:rPr>
            </w:pPr>
            <w:r>
              <w:rPr>
                <w:rFonts w:eastAsia="Tahoma" w:cs="Tahoma"/>
                <w:color w:val="000000"/>
                <w:kern w:val="1"/>
                <w:sz w:val="24"/>
                <w:szCs w:val="24"/>
              </w:rPr>
              <w:t>Präbiotika</w:t>
            </w:r>
          </w:p>
        </w:tc>
        <w:tc>
          <w:tcPr>
            <w:tcW w:w="6526" w:type="dxa"/>
            <w:vAlign w:val="center"/>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sz w:val="24"/>
                <w:szCs w:val="24"/>
              </w:rPr>
            </w:pPr>
            <w:r>
              <w:rPr>
                <w:rFonts w:eastAsia="Tahoma" w:cs="Tahoma"/>
                <w:color w:val="000000"/>
                <w:kern w:val="1"/>
                <w:sz w:val="24"/>
                <w:szCs w:val="24"/>
              </w:rPr>
              <w:t>Lebensmittel</w:t>
            </w:r>
          </w:p>
        </w:tc>
      </w:tr>
      <w:tr>
        <w:trPr>
          <w:tblHeader w:val="0"/>
          <w:cantSplit w:val="0"/>
          <w:trHeight w:val="0" w:hRule="auto"/>
        </w:trPr>
        <w:tc>
          <w:tcPr>
            <w:tcW w:w="2534" w:type="dxa"/>
            <w:vAlign w:val="center"/>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rPr>
            </w:pPr>
            <w:r>
              <w:rPr>
                <w:rFonts w:eastAsia="Tahoma" w:cs="Tahoma"/>
                <w:color w:val="000000"/>
                <w:kern w:val="1"/>
              </w:rPr>
              <w:t>Inulin</w:t>
            </w:r>
          </w:p>
        </w:tc>
        <w:tc>
          <w:tcPr>
            <w:tcW w:w="6526" w:type="dxa"/>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rPr>
            </w:pPr>
            <w:r>
              <w:rPr>
                <w:rFonts w:eastAsia="Tahoma" w:cs="Tahoma"/>
                <w:color w:val="000000"/>
                <w:kern w:val="1"/>
              </w:rPr>
              <w:t xml:space="preserve">Pastinaken, Chicorée, Topinambur, Zichorien, Löwenzahn, Artischocken, getrockneter </w:t>
              <w:fldChar w:fldCharType="begin"/>
              <w:instrText xml:space="preserve">XE "Knoblauch" \G </w:instrText>
              <w:fldChar w:fldCharType="end"/>
              <w:t>Knoblauch</w:t>
            </w:r>
          </w:p>
        </w:tc>
      </w:tr>
      <w:tr>
        <w:trPr>
          <w:tblHeader w:val="0"/>
          <w:cantSplit w:val="0"/>
          <w:trHeight w:val="0" w:hRule="auto"/>
        </w:trPr>
        <w:tc>
          <w:tcPr>
            <w:tcW w:w="2534" w:type="dxa"/>
            <w:vAlign w:val="center"/>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rPr>
            </w:pPr>
            <w:r>
              <w:rPr>
                <w:rFonts w:eastAsia="Tahoma" w:cs="Tahoma"/>
                <w:color w:val="000000"/>
                <w:kern w:val="1"/>
              </w:rPr>
              <w:t xml:space="preserve">Resistente </w:t>
              <w:fldChar w:fldCharType="begin"/>
              <w:instrText xml:space="preserve">XE "Stärke" \G </w:instrText>
              <w:fldChar w:fldCharType="end"/>
              <w:t>Stärke</w:t>
            </w:r>
          </w:p>
        </w:tc>
        <w:tc>
          <w:tcPr>
            <w:tcW w:w="6526" w:type="dxa"/>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rPr>
            </w:pPr>
            <w:r>
              <w:rPr>
                <w:rFonts w:eastAsia="Tahoma" w:cs="Tahoma"/>
                <w:color w:val="000000"/>
                <w:kern w:val="1"/>
              </w:rPr>
              <w:t>in gekochten, abgekühlten Kartoffeln, Vollkornnudeln, Reis, Erbsen, Bohnen, Haferbrei</w:t>
              <w:br w:type="textWrapping"/>
              <w:t>in Vollkornbrot, grünen Bananen, Gerste, Hirse</w:t>
            </w:r>
          </w:p>
        </w:tc>
      </w:tr>
      <w:tr>
        <w:trPr>
          <w:tblHeader w:val="0"/>
          <w:cantSplit w:val="0"/>
          <w:trHeight w:val="0" w:hRule="auto"/>
        </w:trPr>
        <w:tc>
          <w:tcPr>
            <w:tcW w:w="2534" w:type="dxa"/>
            <w:vAlign w:val="center"/>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rPr>
            </w:pPr>
            <w:r>
              <w:rPr>
                <w:rFonts w:eastAsia="Tahoma" w:cs="Tahoma"/>
                <w:color w:val="000000"/>
                <w:kern w:val="1"/>
              </w:rPr>
              <w:t>Fructooligosaccharide</w:t>
            </w:r>
          </w:p>
        </w:tc>
        <w:tc>
          <w:tcPr>
            <w:tcW w:w="6526" w:type="dxa"/>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rPr>
            </w:pPr>
            <w:r>
              <w:rPr>
                <w:rFonts w:eastAsia="Tahoma" w:cs="Tahoma"/>
                <w:color w:val="000000"/>
                <w:kern w:val="1"/>
              </w:rPr>
              <w:t xml:space="preserve">Roggen, Lauch, Zwiebeln, </w:t>
              <w:fldChar w:fldCharType="begin"/>
              <w:instrText xml:space="preserve">XE "Knoblauch" \G </w:instrText>
              <w:fldChar w:fldCharType="end"/>
              <w:t xml:space="preserve">Knoblauch, Spargeln, </w:t>
              <w:fldChar w:fldCharType="begin"/>
              <w:instrText xml:space="preserve">XE "Ingwer" \G </w:instrText>
              <w:fldChar w:fldCharType="end"/>
              <w:t>Ingwer</w:t>
            </w:r>
          </w:p>
        </w:tc>
      </w:tr>
      <w:tr>
        <w:trPr>
          <w:tblHeader w:val="0"/>
          <w:cantSplit w:val="0"/>
          <w:trHeight w:val="0" w:hRule="auto"/>
        </w:trPr>
        <w:tc>
          <w:tcPr>
            <w:tcW w:w="2534" w:type="dxa"/>
            <w:vAlign w:val="center"/>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rPr>
            </w:pPr>
            <w:r>
              <w:rPr>
                <w:rFonts w:eastAsia="Tahoma" w:cs="Tahoma"/>
                <w:color w:val="000000"/>
                <w:kern w:val="1"/>
              </w:rPr>
              <w:t>Hemicellulosen</w:t>
            </w:r>
          </w:p>
        </w:tc>
        <w:tc>
          <w:tcPr>
            <w:tcW w:w="6526" w:type="dxa"/>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rPr>
            </w:pPr>
            <w:r>
              <w:rPr>
                <w:rFonts w:eastAsia="Tahoma" w:cs="Tahoma"/>
                <w:color w:val="000000"/>
                <w:kern w:val="1"/>
              </w:rPr>
              <w:t>Haferflocken, Gerste, Weizen, Roggen, Rosenkohl, rote Beete</w:t>
            </w:r>
          </w:p>
        </w:tc>
      </w:tr>
      <w:tr>
        <w:trPr>
          <w:tblHeader w:val="0"/>
          <w:cantSplit w:val="0"/>
          <w:trHeight w:val="0" w:hRule="auto"/>
        </w:trPr>
        <w:tc>
          <w:tcPr>
            <w:tcW w:w="2534" w:type="dxa"/>
            <w:vAlign w:val="center"/>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rPr>
            </w:pPr>
            <w:r>
              <w:rPr>
                <w:rFonts w:eastAsia="Tahoma" w:cs="Tahoma"/>
                <w:color w:val="000000"/>
                <w:kern w:val="1"/>
              </w:rPr>
              <w:t>Schleimstoffe</w:t>
            </w:r>
          </w:p>
        </w:tc>
        <w:tc>
          <w:tcPr>
            <w:tcW w:w="6526" w:type="dxa"/>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rPr>
            </w:pPr>
            <w:r>
              <w:rPr>
                <w:rFonts w:eastAsia="Tahoma" w:cs="Tahoma"/>
                <w:color w:val="000000"/>
                <w:kern w:val="1"/>
              </w:rPr>
              <w:t>Leinsamen</w:t>
            </w:r>
          </w:p>
        </w:tc>
      </w:tr>
      <w:tr>
        <w:trPr>
          <w:tblHeader w:val="0"/>
          <w:cantSplit w:val="0"/>
          <w:trHeight w:val="0" w:hRule="auto"/>
        </w:trPr>
        <w:tc>
          <w:tcPr>
            <w:tcW w:w="2534" w:type="dxa"/>
            <w:vAlign w:val="center"/>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rPr>
            </w:pPr>
            <w:r>
              <w:rPr>
                <w:rFonts w:eastAsia="Tahoma" w:cs="Tahoma"/>
                <w:color w:val="000000"/>
                <w:kern w:val="1"/>
              </w:rPr>
              <w:t>Pektine</w:t>
            </w:r>
          </w:p>
        </w:tc>
        <w:tc>
          <w:tcPr>
            <w:tcW w:w="6526" w:type="dxa"/>
            <w:shd w:val="none"/>
            <w:tcMar>
              <w:top w:w="57" w:type="dxa"/>
              <w:left w:w="170" w:type="dxa"/>
              <w:bottom w:w="56" w:type="dxa"/>
              <w:right w:w="17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766737683" protected="0"/>
          </w:tcPr>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color w:val="000000"/>
                <w:kern w:val="1"/>
              </w:rPr>
            </w:pPr>
            <w:r>
              <w:rPr>
                <w:rFonts w:eastAsia="Tahoma" w:cs="Tahoma"/>
                <w:color w:val="000000"/>
                <w:kern w:val="1"/>
              </w:rPr>
              <w:t>Beerenobst, Äpfel, Birnen, Quitten, Zitrusfrüchte, Karotten, Kürbis</w:t>
            </w:r>
          </w:p>
        </w:tc>
      </w:tr>
    </w:tbl>
    <w:p>
      <w:r>
        <w:t>Wenn du dich bisher eher ballaststoffarm ernährt hast, sprich mit Weißmehl-, Fertigprodukten und tierischen Nahrungsmitteln, solltest du die Ballaststoff-Dosis langsam steigern, dies gilt auch für Nahrungsergänzungsmittel, die als Darmkur Probiotika, kombiniert mit Präbiotika enthalten. Es ist ganz normal, dass es zu Beginn zu leichten Blähungen kommen kann. Denn deine Darmbakterien benötigen etwas Zeit, um sich an die komplexen Nahrungsbestandteile zu gewöhnen. Die Trägheit des Darms wird geweckt, die Bewegung angeregt.</w:t>
      </w:r>
    </w:p>
    <w:p>
      <w:pPr>
        <w:pStyle w:val="para5"/>
        <w:numPr>
          <w:ilvl w:val="4"/>
          <w:numId w:val="1"/>
        </w:numPr>
        <w:ind w:left="1134" w:hanging="1134"/>
      </w:pPr>
      <w:bookmarkStart w:id="173" w:name="_TOC000132"/>
      <w:r>
        <w:t>Sauermilchprodukte</w:t>
      </w:r>
      <w:bookmarkEnd w:id="173"/>
      <w:r/>
    </w:p>
    <w:p>
      <w:r>
        <w:t>Naturjoghurt, Kefir, Quark und saure Sahne besitzen aktive Milchsäurebakterien, zum Teil in hoher Anzahl, die sich im Darm ansiedeln. Sie liefern sozusagen Nachschub an guten Darmbewohnern.</w:t>
      </w:r>
    </w:p>
    <w:p>
      <w:r>
        <w:t>Auch milchsauer vergorene Lebensmittel wie Sauerkraut, eingelegtes Gemüse oder der koreanische Kimchi - fermentierter Chinakohl - liefern die sogenannten Probiotika (lat.-griech. für das Leben). Konventioneller Joghurt, der für eine längere Haltbarkeit abschließend wärmebehandelt wird, enthält hingegen keine lebenden Kulturen mehr. Crème fraîche, Sahne oder Schmand zeigen ebenfalls nur geringen Nutzen für das Mikrobiom.</w:t>
      </w:r>
    </w:p>
    <w:p>
      <w:pPr>
        <w:pStyle w:val="para5"/>
        <w:numPr>
          <w:ilvl w:val="4"/>
          <w:numId w:val="1"/>
        </w:numPr>
        <w:ind w:left="1134" w:hanging="1134"/>
      </w:pPr>
      <w:bookmarkStart w:id="174" w:name="_TOC000133"/>
      <w:r>
        <w:t>Glutamin</w:t>
      </w:r>
      <w:bookmarkEnd w:id="174"/>
      <w:r/>
    </w:p>
    <w:p>
      <w:bookmarkStart w:id="175" w:name="_TOC000134"/>
      <w:r>
        <w:t>Glutamin ist eine Aminosäure, die im Körper eine wichtige Rolle spielt, insbesondere als Energielieferant für Zellen und als Baustein für Protein</w:t>
      </w:r>
      <w:r>
        <w:fldChar w:fldCharType="begin"/>
        <w:instrText xml:space="preserve">XE "Protein"</w:instrText>
        <w:fldChar w:fldCharType="end"/>
      </w:r>
      <w:r>
        <w:t>e. Es ist die am häufigsten vorkommende freie Aminosäure im Blutplasma und in den Muskeln. Obwohl der Körper Glutamin selbst produzieren kann, kann es bei bestimmten Belastungen oder Erkrankungen zu einem erhöhten Bedarf kommen, weshalb eine Nahrungsergänzung sinnvoll sein kann.</w:t>
      </w:r>
    </w:p>
    <w:p>
      <w:pPr>
        <w:rPr>
          <w:b/>
          <w:bCs/>
        </w:rPr>
      </w:pPr>
      <w:r>
        <w:rPr>
          <w:b/>
          <w:bCs/>
        </w:rPr>
        <w:t>Funktionen</w:t>
      </w:r>
    </w:p>
    <w:p>
      <w:r>
        <w:t>Glutamin ist an vielen Stoffwechselprozessen beteiligt, darunter die Proteinsynthese, die Aufrechterhaltung des Immunsystems und die Energieversorgung von Zellen, insbesondere im Darm und bei Immunzellen. Es dient auch als Stickstofftransporter und kann die Wundheilung unterstützen. </w:t>
      </w:r>
    </w:p>
    <w:p>
      <w:pPr>
        <w:rPr>
          <w:b/>
          <w:bCs/>
        </w:rPr>
      </w:pPr>
      <w:r>
        <w:rPr>
          <w:b/>
          <w:bCs/>
        </w:rPr>
        <w:t>Vorkommen</w:t>
      </w:r>
    </w:p>
    <w:p>
      <w:r>
        <w:t>Glutamin kommt natürlich in proteinreichen Lebensmitteln wie Fleisch, Fisch, Milchprodukten, Hülsenfrüchten und Getreide vor.</w:t>
      </w:r>
    </w:p>
    <w:p>
      <w:pPr>
        <w:rPr>
          <w:b/>
          <w:bCs/>
        </w:rPr>
      </w:pPr>
      <w:r>
        <w:rPr>
          <w:b/>
          <w:bCs/>
        </w:rPr>
        <w:t>Bedarf</w:t>
      </w:r>
    </w:p>
    <w:p>
      <w:r>
        <w:t>Der Körper produziert Glutamin selbst, aber bei intensivem Training, Verletzungen, Krankheiten oder Stress kann der Bedarf steigen.</w:t>
      </w:r>
    </w:p>
    <w:p>
      <w:pPr>
        <w:pStyle w:val="para4"/>
        <w:numPr>
          <w:ilvl w:val="3"/>
          <w:numId w:val="1"/>
        </w:numPr>
        <w:ind w:left="1077" w:hanging="1077"/>
      </w:pPr>
      <w:bookmarkStart w:id="176" w:name="_TOC000101"/>
      <w:r>
        <w:t>Was der Darm hasst</w:t>
      </w:r>
      <w:bookmarkEnd w:id="175"/>
      <w:r/>
      <w:bookmarkEnd w:id="176"/>
      <w:r/>
    </w:p>
    <w:p>
      <w:pPr>
        <w:pStyle w:val="para5"/>
        <w:numPr>
          <w:ilvl w:val="4"/>
          <w:numId w:val="1"/>
        </w:numPr>
        <w:ind w:left="1134" w:hanging="1134"/>
      </w:pPr>
      <w:bookmarkStart w:id="177" w:name="_TOC000135"/>
      <w:r>
        <w:t>Moderne Ernährung</w:t>
      </w:r>
      <w:bookmarkEnd w:id="177"/>
      <w:r/>
    </w:p>
    <w:p>
      <w:r>
        <w:t>Fast Food, Fleisch- und Wurstwaren aus Massentierhaltung, Weißbrot und Softdrinks lassen die Bakterienvielfalt verkümmern. Wie sich dieser Mangel an Pflanzenfasern auswirkt, haben Forscher der kalifornischen Stanford University 2016 anhand von Mäusen untersucht. Bereits nach wenigen Wochen ohne Ballaststoffe waren einige Mikrobenarten komplett aus dem Darm der Tiere verschwunden. Viele andere nützliche Bakterienarten reduzierten sich um bis zu 75 %.</w:t>
      </w:r>
    </w:p>
    <w:p>
      <w:pPr>
        <w:pStyle w:val="para5"/>
        <w:numPr>
          <w:ilvl w:val="4"/>
          <w:numId w:val="1"/>
        </w:numPr>
        <w:ind w:left="1134" w:hanging="1134"/>
      </w:pPr>
      <w:bookmarkStart w:id="178" w:name="_TOC000136"/>
      <w:r>
        <w:t>Antibiotika</w:t>
      </w:r>
      <w:bookmarkEnd w:id="178"/>
      <w:r/>
    </w:p>
    <w:p>
      <w:r>
        <w:t>Diese Medikamente bringen nicht nur die Verursacher von Blasenentzündungen und Blutvergiftung ums Eck, sondern auch viele nützliche Bakterien im Bauch. Zwar erholt sich die Darmflora im Laufe von Monaten, ähnlich wie ein abgebranntes Waldstück. Einige der empfindlichen Nützlinge machen sich aber dauerhaft aus dem Staub, wie 2018 eine Studie zeigte, die das Max-Delbrück-Centrum für Molekulare Medizin (MDC) in Berlin durchgeführt hatte.</w:t>
      </w:r>
    </w:p>
    <w:p>
      <w:bookmarkStart w:id="179" w:name="_TOC000195"/>
      <w:r/>
    </w:p>
    <w:p>
      <w:pPr>
        <w:pStyle w:val="para2"/>
        <w:numPr>
          <w:ilvl w:val="1"/>
          <w:numId w:val="1"/>
        </w:numPr>
        <w:ind w:left="576" w:hanging="576"/>
      </w:pPr>
      <w:r>
        <w:br w:type="page"/>
      </w:r>
      <w:bookmarkStart w:id="180" w:name="_TOC000278"/>
      <w:r>
        <w:t>Eisenaufnahme optimieren</w:t>
      </w:r>
      <w:bookmarkEnd w:id="179"/>
      <w:r/>
      <w:bookmarkEnd w:id="180"/>
      <w:r/>
    </w:p>
    <w:p>
      <w:pPr>
        <w:rPr>
          <w:sz w:val="16"/>
          <w:szCs w:val="16"/>
        </w:rPr>
      </w:pPr>
      <w:r>
        <w:rPr>
          <w:sz w:val="16"/>
          <w:szCs w:val="16"/>
        </w:rPr>
        <w:t xml:space="preserve">Quelle: </w:t>
      </w:r>
      <w:hyperlink r:id="rId68" w:history="1">
        <w:r>
          <w:rPr>
            <w:rStyle w:val="char20"/>
            <w:sz w:val="16"/>
            <w:szCs w:val="16"/>
          </w:rPr>
          <w:t>https://www.eisenmangel.de/ernaehrung-eisenmangel/eisenaufnahme-hemmstoffe-foerderstoffe</w:t>
        </w:r>
      </w:hyperlink>
      <w:r>
        <w:rPr>
          <w:sz w:val="16"/>
          <w:szCs w:val="16"/>
        </w:rPr>
        <w:t xml:space="preserve"> - 14.07.2025</w:t>
      </w:r>
      <w:r>
        <w:rPr>
          <w:sz w:val="16"/>
          <w:szCs w:val="16"/>
        </w:rPr>
      </w:r>
    </w:p>
    <w:p>
      <w:r>
        <w:t xml:space="preserve">Entscheidend für die ausreichende Versorgung des Körpers mit </w:t>
        <w:fldChar w:fldCharType="begin"/>
        <w:instrText xml:space="preserve">XE "Eisen" \G </w:instrText>
        <w:fldChar w:fldCharType="end"/>
        <w:t xml:space="preserve">Eisen ist nicht allein der Eisengehalt der Lebensmittel, sondern auch, wie gut dieses </w:t>
        <w:fldChar w:fldCharType="begin"/>
        <w:instrText xml:space="preserve">XE "Eisen" \G </w:instrText>
        <w:fldChar w:fldCharType="end"/>
        <w:t xml:space="preserve">Eisen vom Körper verwertet werden kann. Bei einer gesunden und ausgewogenen Ernährung sollte daher berücksichtigt werden, dass manche Lebensmittel die Aufnahme von </w:t>
        <w:fldChar w:fldCharType="begin"/>
        <w:instrText xml:space="preserve">XE "Eisen" \G </w:instrText>
        <w:fldChar w:fldCharType="end"/>
        <w:t>Eisen fördern und andere wiederum die Aufnahme erschweren.</w:t>
      </w:r>
    </w:p>
    <w:p>
      <w:pPr>
        <w:pStyle w:val="para3"/>
        <w:numPr>
          <w:ilvl w:val="2"/>
          <w:numId w:val="1"/>
        </w:numPr>
        <w:ind w:left="720" w:hanging="720"/>
      </w:pPr>
      <w:bookmarkStart w:id="181" w:name="_TOC000198"/>
      <w:r>
        <w:t>Förderstoffe der Eisenaufnahme</w:t>
      </w:r>
      <w:bookmarkEnd w:id="181"/>
      <w:r/>
    </w:p>
    <w:p>
      <w:r>
        <w:t xml:space="preserve">Am besten wird das 2-wertige </w:t>
        <w:fldChar w:fldCharType="begin"/>
        <w:instrText xml:space="preserve">XE "Eisen" \G </w:instrText>
        <w:fldChar w:fldCharType="end"/>
        <w:t>Eisen (Häm-</w:t>
        <w:fldChar w:fldCharType="begin"/>
        <w:instrText xml:space="preserve">XE "Eisen" \G </w:instrText>
        <w:fldChar w:fldCharType="end"/>
        <w:t xml:space="preserve">Eisen) im Körper aufgenommen. Es findet sich in tierischen Produkten wie Fleisch, Leber und Fisch. In pflanzlichen Nahrungsmitteln dagegen ist hauptsächlich das deutlich schlechter resorbierbare 3-wertige </w:t>
        <w:fldChar w:fldCharType="begin"/>
        <w:instrText xml:space="preserve">XE "Eisen" \G </w:instrText>
        <w:fldChar w:fldCharType="end"/>
        <w:t>Eisen (Nicht-Häm-</w:t>
        <w:fldChar w:fldCharType="begin"/>
        <w:instrText xml:space="preserve">XE "Eisen" \G </w:instrText>
        <w:fldChar w:fldCharType="end"/>
        <w:t>Eisen) enthalten.</w:t>
      </w:r>
    </w:p>
    <w:p>
      <w:r>
        <w:t xml:space="preserve">Allerdings können bestimmte Inhaltsstoffe der Nahrung die Eisenaufnahme verbessern – sogenannte Resorptionsförderer (Aufnahmeförderer). Diese wandeln einen Teil des 3-wertigen Eisens in besser resorbierbares 2-wertiges </w:t>
        <w:fldChar w:fldCharType="begin"/>
        <w:instrText xml:space="preserve">XE "Eisen" \G </w:instrText>
        <w:fldChar w:fldCharType="end"/>
        <w:t xml:space="preserve">Eisen um und schützen das gut bioverfügbare 2-wertige </w:t>
        <w:fldChar w:fldCharType="begin"/>
        <w:instrText xml:space="preserve">XE "Eisen" \G </w:instrText>
        <w:fldChar w:fldCharType="end"/>
        <w:t xml:space="preserve">Eisen vor Oxidation, also vor der Umwandlung in weniger gut resorbierbares 3-wertiges </w:t>
        <w:fldChar w:fldCharType="begin"/>
        <w:instrText xml:space="preserve">XE "Eisen" \G </w:instrText>
        <w:fldChar w:fldCharType="end"/>
        <w:t xml:space="preserve">Eisen. Das Trinken von einem Glas Orangensaft oder die Zugabe von ein paar Tropfen Zitronensaft in Wasser unterstützen durch das Vitamin C die Aufnahme von </w:t>
        <w:fldChar w:fldCharType="begin"/>
        <w:instrText xml:space="preserve">XE "Eisen" \G </w:instrText>
        <w:fldChar w:fldCharType="end"/>
        <w:t>Eisen. Gleiches gilt für andere Vitamin C-reiche Nahrungsmittel wie Acerola, Sanddorn, Paprika, Brokkoli oder Sauerkraut. Eine Auflistung von Aufnahmeförderern zeigt die folgende Tabelle.</w:t>
      </w:r>
    </w:p>
    <w:p>
      <w:pPr>
        <w:spacing/>
        <w:jc w:val="center"/>
      </w:pPr>
      <w:r>
        <w:rPr>
          <w:noProof/>
        </w:rPr>
        <w:drawing>
          <wp:inline distT="0" distB="0" distL="0" distR="0">
            <wp:extent cx="5774055" cy="2451735"/>
            <wp:effectExtent l="0" t="0" r="0" b="0"/>
            <wp:docPr id="18" name="Grafi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fik 76"/>
                    <pic:cNvPicPr>
                      <a:picLocks noChangeAspect="1"/>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IUjAAAVDwAAhSMAABUP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DBAAAB6IAAAAAAAAAAAAAAQAAAAAAAAAAAAAAAQAAAAAAAAAAAAAAhSMAABUPAAAAAAAAAAAAAAAAAAAoAAAACAAAAAEAAAABAAAAMAAAABQAAAAAAAAAAAD//wAAAQAAAP//AAABAA=="/>
                        </a:ext>
                      </a:extLst>
                    </pic:cNvPicPr>
                  </pic:nvPicPr>
                  <pic:blipFill>
                    <a:blip r:embed="rId69"/>
                    <a:stretch>
                      <a:fillRect/>
                    </a:stretch>
                  </pic:blipFill>
                  <pic:spPr>
                    <a:xfrm>
                      <a:off x="0" y="0"/>
                      <a:ext cx="5774055" cy="2451735"/>
                    </a:xfrm>
                    <a:prstGeom prst="rect">
                      <a:avLst/>
                    </a:prstGeom>
                    <a:noFill/>
                    <a:ln w="12700">
                      <a:noFill/>
                    </a:ln>
                  </pic:spPr>
                </pic:pic>
              </a:graphicData>
            </a:graphic>
          </wp:inline>
        </w:drawing>
      </w:r>
      <w:r/>
    </w:p>
    <w:p>
      <w:pPr>
        <w:spacing/>
        <w:jc w:val="center"/>
      </w:pPr>
      <w:r>
        <w:t xml:space="preserve">Aufnahmeförderer für </w:t>
        <w:fldChar w:fldCharType="begin"/>
        <w:instrText xml:space="preserve">XE "Eisen" \G </w:instrText>
        <w:fldChar w:fldCharType="end"/>
        <w:t>Eisen</w:t>
      </w:r>
    </w:p>
    <w:p>
      <w:pPr>
        <w:pStyle w:val="para3"/>
        <w:numPr>
          <w:ilvl w:val="2"/>
          <w:numId w:val="1"/>
        </w:numPr>
        <w:ind w:left="720" w:hanging="720"/>
      </w:pPr>
      <w:bookmarkStart w:id="182" w:name="_TOC000199"/>
      <w:r>
        <w:t>Hemmstoffe der Eisenaufnahme</w:t>
      </w:r>
      <w:bookmarkEnd w:id="182"/>
      <w:r/>
    </w:p>
    <w:p>
      <w:r>
        <w:t xml:space="preserve">Es gibt allerdings auch Lebensmittel, die dem Körper die Aufnahme von </w:t>
        <w:fldChar w:fldCharType="begin"/>
        <w:instrText xml:space="preserve">XE "Eisen" \G </w:instrText>
        <w:fldChar w:fldCharType="end"/>
        <w:t>Eisen aus der Nahrung erschweren.</w:t>
      </w:r>
    </w:p>
    <w:p>
      <w:pPr>
        <w:pStyle w:val="para28"/>
        <w:numPr>
          <w:ilvl w:val="1"/>
          <w:numId w:val="2"/>
        </w:numPr>
        <w:ind w:left="397" w:hanging="197"/>
      </w:pPr>
      <w:r>
        <w:t>Schwarztee (durch Tannine)</w:t>
      </w:r>
    </w:p>
    <w:p>
      <w:pPr>
        <w:pStyle w:val="para28"/>
        <w:numPr>
          <w:ilvl w:val="1"/>
          <w:numId w:val="2"/>
        </w:numPr>
        <w:ind w:left="397" w:hanging="197"/>
      </w:pPr>
      <w:r>
        <w:t>Kakao, Schokolade, Spinat, Rhabarber (durch Oxalsäure)</w:t>
      </w:r>
    </w:p>
    <w:p>
      <w:pPr>
        <w:pStyle w:val="para28"/>
        <w:numPr>
          <w:ilvl w:val="1"/>
          <w:numId w:val="2"/>
        </w:numPr>
        <w:ind w:left="397" w:hanging="197"/>
      </w:pPr>
      <w:r>
        <w:t>Kaffee, Kräutertee, Rotwein (durch Polyphenole)</w:t>
      </w:r>
    </w:p>
    <w:p>
      <w:pPr>
        <w:pStyle w:val="para28"/>
        <w:numPr>
          <w:ilvl w:val="1"/>
          <w:numId w:val="2"/>
        </w:numPr>
        <w:ind w:left="397" w:hanging="197"/>
      </w:pPr>
      <w:r>
        <w:t>Gemüse, Reis, Hülsenfrüchte (durch Phytate)</w:t>
      </w:r>
    </w:p>
    <w:p>
      <w:pPr>
        <w:pStyle w:val="para28"/>
        <w:numPr>
          <w:ilvl w:val="1"/>
          <w:numId w:val="2"/>
        </w:numPr>
        <w:ind w:left="397" w:hanging="197"/>
      </w:pPr>
      <w:r>
        <w:fldChar w:fldCharType="begin"/>
        <w:instrText xml:space="preserve">XE "Milchprodukte" \G </w:instrText>
        <w:fldChar w:fldCharType="end"/>
        <w:t xml:space="preserve">Milchprodukte (durch </w:t>
        <w:fldChar w:fldCharType="begin"/>
        <w:instrText xml:space="preserve">XE "Calcium" \G </w:instrText>
        <w:fldChar w:fldCharType="end"/>
        <w:t>Calcium und Phosphate)</w:t>
      </w:r>
    </w:p>
    <w:p>
      <w:r>
        <w:t xml:space="preserve">Die Aufnahme von pflanzlichem </w:t>
        <w:fldChar w:fldCharType="begin"/>
        <w:instrText xml:space="preserve">XE "Eisen" \G </w:instrText>
        <w:fldChar w:fldCharType="end"/>
        <w:t>Eisen wird von diesen Hemmstoffen stärker beeinträchtigt als die des Häm-Eisens aus tierischen Nahrungsmitteln. Deshalb sollte bei Ernährungsweisen mit Fleischverzicht besonders auf die Kostzusammenstellung geachtet werden: Es ist dann umso wichtiger, die eisenreichen Lebensmittel mit Vitamin C-haltigen Lebensmitteln, die die Eisenaufnahme fördern, zu kombinieren.</w:t>
      </w:r>
    </w:p>
    <w:p>
      <w:r>
        <w:rPr>
          <w:b/>
          <w:bCs/>
        </w:rPr>
        <w:fldChar w:fldCharType="begin"/>
        <w:instrText xml:space="preserve">XE "Phytinsäure" \G </w:instrText>
        <w:fldChar w:fldCharType="end"/>
        <w:t>Phytinsäure</w:t>
      </w:r>
      <w:r>
        <w:t xml:space="preserve"> und </w:t>
      </w:r>
      <w:r>
        <w:rPr>
          <w:b/>
          <w:bCs/>
        </w:rPr>
        <w:t>Oxalsäure</w:t>
      </w:r>
      <w:r>
        <w:t xml:space="preserve"> behindern die Eisenaufnahme im Körper hauptsächlich durch einen Prozess der Komplexbildung, bei dem sie </w:t>
        <w:fldChar w:fldCharType="begin"/>
        <w:instrText xml:space="preserve">XE "Eisen" \G </w:instrText>
        <w:fldChar w:fldCharType="end"/>
        <w:t xml:space="preserve">Eisen und andere </w:t>
        <w:fldChar w:fldCharType="begin"/>
        <w:instrText xml:space="preserve">XE "Mineralstoffe" \G </w:instrText>
        <w:fldChar w:fldCharType="end"/>
        <w:t xml:space="preserve">Mineralstoffe wie </w:t>
        <w:fldChar w:fldCharType="begin"/>
        <w:instrText xml:space="preserve">XE "Zink" \G </w:instrText>
        <w:fldChar w:fldCharType="end"/>
        <w:t>Zink und Kalzium an sich binden und dadurch ihre Bioverfügbarkeit reduzieren.</w:t>
      </w:r>
    </w:p>
    <w:p>
      <w:r>
        <w:rPr>
          <w:b/>
          <w:bCs/>
        </w:rPr>
        <w:t>Polyphenole</w:t>
      </w:r>
      <w:r>
        <w:t xml:space="preserve">, die in Lebensmitteln wie Tee, Kaffee, Vollkornprodukten, Hülsenfrüchten und Samen vorkommen, binden sich an </w:t>
        <w:fldChar w:fldCharType="begin"/>
        <w:instrText xml:space="preserve">XE "Eisen" \G </w:instrText>
        <w:fldChar w:fldCharType="end"/>
        <w:t>Eisen im Verdauungstrakt. Diese Bindung führt zur Bildung von schwer löslichen Komplexen, die nicht mehr so leicht vom Darm aufgenommen werden können. Deshalb sinkt die Menge des Eisens, das in den Blutkreislauf gelangt und für den Körper verfügbar ist.</w:t>
      </w:r>
    </w:p>
    <w:p>
      <w:r>
        <w:rPr>
          <w:b/>
          <w:bCs/>
        </w:rPr>
        <w:fldChar w:fldCharType="begin"/>
        <w:instrText xml:space="preserve">XE "Calcium" \G </w:instrText>
        <w:fldChar w:fldCharType="end"/>
        <w:t>Calcium</w:t>
      </w:r>
      <w:r>
        <w:t xml:space="preserve">, </w:t>
      </w:r>
      <w:r>
        <w:rPr>
          <w:b/>
          <w:bCs/>
        </w:rPr>
        <w:fldChar w:fldCharType="begin"/>
        <w:instrText xml:space="preserve">XE "Zink" \G </w:instrText>
        <w:fldChar w:fldCharType="end"/>
        <w:t>Zink</w:t>
      </w:r>
      <w:r>
        <w:t xml:space="preserve"> und </w:t>
      </w:r>
      <w:r>
        <w:rPr>
          <w:b/>
          <w:bCs/>
        </w:rPr>
        <w:fldChar w:fldCharType="begin"/>
        <w:instrText xml:space="preserve">XE "Magnesium" \G </w:instrText>
        <w:fldChar w:fldCharType="end"/>
        <w:t>Magnesium</w:t>
      </w:r>
      <w:r>
        <w:t xml:space="preserve"> konkurrieren mit </w:t>
        <w:fldChar w:fldCharType="begin"/>
        <w:instrText xml:space="preserve">XE "Eisen" \G </w:instrText>
        <w:fldChar w:fldCharType="end"/>
        <w:t xml:space="preserve">Eisen um die Aufnahme über den gleichen spezifischen Kationentransporter (DMT1) im Dünndarm. Wenn </w:t>
        <w:fldChar w:fldCharType="begin"/>
        <w:instrText xml:space="preserve">XE "Calcium" \G </w:instrText>
        <w:fldChar w:fldCharType="end"/>
        <w:t xml:space="preserve">Calcium, </w:t>
        <w:fldChar w:fldCharType="begin"/>
        <w:instrText xml:space="preserve">XE "Zink" \G </w:instrText>
        <w:fldChar w:fldCharType="end"/>
        <w:t xml:space="preserve">Zink oder </w:t>
        <w:fldChar w:fldCharType="begin"/>
        <w:instrText xml:space="preserve">XE "Magnesium" \G </w:instrText>
        <w:fldChar w:fldCharType="end"/>
        <w:t xml:space="preserve">Magnesium zusammen mit </w:t>
        <w:fldChar w:fldCharType="begin"/>
        <w:instrText xml:space="preserve">XE "Eisen" \G </w:instrText>
        <w:fldChar w:fldCharType="end"/>
        <w:t xml:space="preserve">Eisen konsumiert werden, ist der Platz für </w:t>
        <w:fldChar w:fldCharType="begin"/>
        <w:instrText xml:space="preserve">XE "Eisen" \G </w:instrText>
        <w:fldChar w:fldCharType="end"/>
        <w:t>Eisen bei der Aufnahme über diesen Kationentransporter reduziert.</w:t>
      </w:r>
    </w:p>
    <w:p>
      <w:r/>
    </w:p>
    <w:p>
      <w:pPr>
        <w:pStyle w:val="para3"/>
        <w:numPr>
          <w:ilvl w:val="2"/>
          <w:numId w:val="1"/>
        </w:numPr>
        <w:ind w:left="720" w:hanging="720"/>
      </w:pPr>
      <w:bookmarkStart w:id="183" w:name="_TOC000215"/>
      <w:r/>
      <w:bookmarkStart w:id="184" w:name="_TOC000214"/>
      <w:r/>
      <w:r>
        <w:rPr>
          <w:rFonts w:eastAsia="Cambria" w:cs="Basic Roman"/>
          <w:lang w:eastAsia="zh-cn" w:bidi="ar-sa"/>
        </w:rPr>
        <w:t>Eisenhaltige Lebensmittel</w:t>
      </w:r>
      <w:r/>
      <w:bookmarkEnd w:id="183"/>
      <w:r/>
    </w:p>
    <w:p>
      <w:pPr>
        <w:spacing/>
        <w:jc w:val="left"/>
        <w:rPr>
          <w:sz w:val="16"/>
          <w:szCs w:val="16"/>
        </w:rPr>
      </w:pPr>
      <w:r>
        <w:t xml:space="preserve">Quelle: </w:t>
      </w:r>
      <w:hyperlink r:id="rId70" w:history="1">
        <w:r>
          <w:rPr>
            <w:rStyle w:val="char20"/>
            <w:sz w:val="16"/>
            <w:szCs w:val="16"/>
          </w:rPr>
          <w:t>https://www.eisencheck.at/</w:t>
          <w:fldChar w:fldCharType="begin"/>
          <w:instrText xml:space="preserve">XE "Eisen" \G </w:instrText>
          <w:fldChar w:fldCharType="end"/>
          <w:t>eisen-im-koerper/eisenhaltige-lebensmittel/#eisenhaltige-lebensmittel</w:t>
        </w:r>
      </w:hyperlink>
      <w:r>
        <w:rPr>
          <w:sz w:val="16"/>
          <w:szCs w:val="16"/>
        </w:rPr>
        <w:t>, 05.09.2025</w:t>
      </w:r>
      <w:r>
        <w:rPr>
          <w:sz w:val="16"/>
          <w:szCs w:val="16"/>
        </w:rPr>
      </w:r>
    </w:p>
    <w:p>
      <w:r>
        <w:t>Der tägliche Eisenbedarf hängt von Alter und Geschlecht ab.</w:t>
      </w:r>
    </w:p>
    <w:p>
      <w:pPr>
        <w:spacing w:after="0" w:line="240" w:lineRule="auto"/>
        <w:jc w:val="center"/>
        <w:widowControl w:val="0"/>
        <w:rPr>
          <w:rFonts w:ascii="Basic Roman" w:hAnsi="Basic Roman" w:eastAsia="Basic Roman"/>
          <w:kern w:val="1"/>
          <w:sz w:val="20"/>
          <w:szCs w:val="20"/>
        </w:rPr>
      </w:pPr>
      <w:r/>
      <w:r>
        <w:rPr>
          <w:noProof/>
        </w:rPr>
        <w:drawing>
          <wp:inline distT="0" distB="0" distL="0" distR="0">
            <wp:extent cx="3429000" cy="2576195"/>
            <wp:effectExtent l="0" t="0" r="0" b="0"/>
            <wp:docPr id="19" name="Grafik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fik94"/>
                    <pic:cNvPicPr>
                      <a:picLocks noChangeAspect="1"/>
                      <a:extLst>
                        <a:ext uri="sm">
                          <sm:smNativeData xmlns:sm="sm" val="SMDATA_17_E0dOaRMAAAAlAAAAEQAAAC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UBAAAByAAAAAAAAAAAAAAAQAAAAAAAAAAAAAAAQAAAAAAAAAAAAAAGBUAANkPAAAAAAAAAAAAAAAAAAAoAAAACAAAAAEAAAABAAAAMAAAABQAAAAAAAAAAAD//wAAAQAAAP//AAABAA=="/>
                        </a:ext>
                      </a:extLst>
                    </pic:cNvPicPr>
                  </pic:nvPicPr>
                  <pic:blipFill>
                    <a:blip r:embed="rId71"/>
                    <a:stretch>
                      <a:fillRect/>
                    </a:stretch>
                  </pic:blipFill>
                  <pic:spPr>
                    <a:xfrm>
                      <a:off x="0" y="0"/>
                      <a:ext cx="3429000" cy="2576195"/>
                    </a:xfrm>
                    <a:prstGeom prst="rect">
                      <a:avLst/>
                    </a:prstGeom>
                    <a:noFill/>
                    <a:ln w="12700">
                      <a:noFill/>
                    </a:ln>
                  </pic:spPr>
                </pic:pic>
              </a:graphicData>
            </a:graphic>
          </wp:inline>
        </w:drawing>
      </w:r>
      <w:r/>
      <w:r>
        <w:rPr>
          <w:rFonts w:ascii="Basic Roman" w:hAnsi="Basic Roman" w:eastAsia="Basic Roman"/>
          <w:kern w:val="1"/>
          <w:sz w:val="20"/>
          <w:szCs w:val="20"/>
        </w:rPr>
      </w:r>
    </w:p>
    <w:p>
      <w:r/>
    </w:p>
    <w:p>
      <w:r>
        <w:br w:type="page"/>
      </w:r>
    </w:p>
    <w:tbl>
      <w:tblPr>
        <w:tblStyle w:val="TableGrid"/>
        <w:name w:val="Tabelle40"/>
        <w:tabOrder w:val="0"/>
        <w:jc w:val="left"/>
        <w:tblInd w:w="0" w:type="dxa"/>
        <w:tblW w:w="8365" w:type="dxa"/>
        <w:pPr>
          <w:spacing/>
          <w:jc w:val="left"/>
        </w:pPr>
        <w:tblLook w:val="04A0" w:firstRow="1" w:lastRow="0" w:firstColumn="1" w:lastColumn="0" w:noHBand="0" w:noVBand="1"/>
      </w:tblPr>
      <w:tblGrid>
        <w:gridCol w:w="3626"/>
        <w:gridCol w:w="2268"/>
        <w:gridCol w:w="2471"/>
      </w:tblGrid>
      <w:tr>
        <w:trPr>
          <w:tblHeader w:val="0"/>
          <w:cantSplit w:val="0"/>
          <w:trHeight w:val="0" w:hRule="auto"/>
        </w:trPr>
        <w:tc>
          <w:tcPr>
            <w:tcW w:w="3626" w:type="dxa"/>
            <w:shd w:val="solid" w:color="DDFE87" tmshd="1677721856, 0, 8912605"/>
            <w:tcMar>
              <w:top w:w="57" w:type="dxa"/>
              <w:left w:w="57" w:type="dxa"/>
              <w:bottom w:w="57" w:type="dxa"/>
              <w:right w:w="57" w:type="dxa"/>
            </w:tcMar>
            <w:tmTcPr id="1766737683" protected="0"/>
          </w:tcPr>
          <w:p>
            <w:pPr>
              <w:spacing/>
              <w:jc w:val="left"/>
            </w:pPr>
            <w:r/>
          </w:p>
        </w:tc>
        <w:tc>
          <w:tcPr>
            <w:tcW w:w="2268" w:type="dxa"/>
            <w:shd w:val="solid" w:color="DDFE87" tmshd="1677721856, 0, 8912605"/>
            <w:tcMar>
              <w:top w:w="57" w:type="dxa"/>
              <w:left w:w="57" w:type="dxa"/>
              <w:bottom w:w="57" w:type="dxa"/>
              <w:right w:w="57" w:type="dxa"/>
            </w:tcMar>
            <w:tmTcPr id="1766737683" protected="0"/>
          </w:tcPr>
          <w:p>
            <w:pPr>
              <w:spacing w:after="0" w:line="240" w:lineRule="auto"/>
              <w:jc w:val="left"/>
            </w:pPr>
            <w:r>
              <w:t>Eisengehalt pro 100g</w:t>
            </w:r>
          </w:p>
        </w:tc>
        <w:tc>
          <w:tcPr>
            <w:tcW w:w="2471" w:type="dxa"/>
            <w:shd w:val="solid" w:color="DDFE87" tmshd="1677721856, 0, 8912605"/>
            <w:tcMar>
              <w:top w:w="57" w:type="dxa"/>
              <w:left w:w="57" w:type="dxa"/>
              <w:bottom w:w="57" w:type="dxa"/>
              <w:right w:w="57" w:type="dxa"/>
            </w:tcMar>
            <w:tmTcPr id="1766737683" protected="0"/>
          </w:tcPr>
          <w:p>
            <w:pPr>
              <w:spacing w:after="0" w:line="240" w:lineRule="auto"/>
              <w:jc w:val="left"/>
            </w:pPr>
            <w:r>
              <w:t xml:space="preserve">Verzehrmenge um 15mg </w:t>
              <w:fldChar w:fldCharType="begin"/>
              <w:instrText xml:space="preserve">XE "Eisen" \G </w:instrText>
              <w:fldChar w:fldCharType="end"/>
              <w:t>Eisen zuzuführen</w:t>
            </w:r>
          </w:p>
        </w:tc>
      </w:tr>
      <w:tr>
        <w:trPr>
          <w:tblHeader w:val="0"/>
          <w:cantSplit w:val="0"/>
          <w:trHeight w:val="0" w:hRule="auto"/>
        </w:trPr>
        <w:tc>
          <w:tcPr>
            <w:tcW w:w="3626" w:type="dxa"/>
            <w:shd w:val="solid" w:color="F0F0E0" tmshd="1477181696, 32639, 16777215"/>
            <w:tcMar>
              <w:top w:w="57" w:type="dxa"/>
              <w:left w:w="57" w:type="dxa"/>
              <w:bottom w:w="57" w:type="dxa"/>
              <w:right w:w="57" w:type="dxa"/>
            </w:tcMar>
            <w:tmTcPr id="1766737683" protected="0"/>
          </w:tcPr>
          <w:p>
            <w:pPr>
              <w:spacing w:after="0" w:line="240" w:lineRule="auto"/>
              <w:jc w:val="left"/>
              <w:rPr>
                <w:color w:val="0000ff"/>
              </w:rPr>
            </w:pPr>
            <w:r>
              <w:rPr>
                <w:color w:val="0000ff"/>
              </w:rPr>
              <w:t>FLEISCH &amp; WURST</w:t>
            </w:r>
          </w:p>
        </w:tc>
        <w:tc>
          <w:tcPr>
            <w:tcW w:w="2268" w:type="dxa"/>
            <w:tcMar>
              <w:top w:w="57" w:type="dxa"/>
              <w:left w:w="57" w:type="dxa"/>
              <w:bottom w:w="57" w:type="dxa"/>
              <w:right w:w="57" w:type="dxa"/>
            </w:tcMar>
            <w:tmTcPr id="1766737683" protected="0"/>
          </w:tcPr>
          <w:p>
            <w:pPr>
              <w:spacing/>
              <w:jc w:val="left"/>
            </w:pPr>
            <w:r/>
          </w:p>
        </w:tc>
        <w:tc>
          <w:tcPr>
            <w:tcW w:w="2471" w:type="dxa"/>
            <w:tcMar>
              <w:top w:w="57" w:type="dxa"/>
              <w:left w:w="57" w:type="dxa"/>
              <w:bottom w:w="57" w:type="dxa"/>
              <w:right w:w="57" w:type="dxa"/>
            </w:tcMar>
            <w:tmTcPr id="1766737683" protected="0"/>
          </w:tcPr>
          <w:p>
            <w:pPr>
              <w:spacing/>
              <w:jc w:val="left"/>
            </w:pPr>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Blutwurst</w:t>
            </w:r>
          </w:p>
        </w:tc>
        <w:tc>
          <w:tcPr>
            <w:tcW w:w="2268" w:type="dxa"/>
            <w:tcMar>
              <w:top w:w="57" w:type="dxa"/>
              <w:left w:w="57" w:type="dxa"/>
              <w:bottom w:w="57" w:type="dxa"/>
              <w:right w:w="567" w:type="dxa"/>
            </w:tcMar>
            <w:tmTcPr id="1766737683" protected="0"/>
          </w:tcPr>
          <w:p>
            <w:pPr>
              <w:spacing w:after="0" w:line="240" w:lineRule="auto"/>
              <w:jc w:val="right"/>
            </w:pPr>
            <w:r>
              <w:t>30 mg</w:t>
            </w:r>
          </w:p>
        </w:tc>
        <w:tc>
          <w:tcPr>
            <w:tcW w:w="2471" w:type="dxa"/>
            <w:tcMar>
              <w:top w:w="57" w:type="dxa"/>
              <w:left w:w="57" w:type="dxa"/>
              <w:bottom w:w="57" w:type="dxa"/>
              <w:right w:w="567" w:type="dxa"/>
            </w:tcMar>
            <w:tmTcPr id="1766737683" protected="0"/>
          </w:tcPr>
          <w:p>
            <w:pPr>
              <w:spacing w:after="0" w:line="240" w:lineRule="auto"/>
              <w:jc w:val="right"/>
            </w:pPr>
            <w:r>
              <w:t>50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Schweineleber</w:t>
            </w:r>
          </w:p>
        </w:tc>
        <w:tc>
          <w:tcPr>
            <w:tcW w:w="2268" w:type="dxa"/>
            <w:tcMar>
              <w:top w:w="57" w:type="dxa"/>
              <w:left w:w="57" w:type="dxa"/>
              <w:bottom w:w="57" w:type="dxa"/>
              <w:right w:w="567" w:type="dxa"/>
            </w:tcMar>
            <w:tmTcPr id="1766737683" protected="0"/>
          </w:tcPr>
          <w:p>
            <w:pPr>
              <w:spacing w:after="0" w:line="240" w:lineRule="auto"/>
              <w:jc w:val="right"/>
            </w:pPr>
            <w:r>
              <w:t>18 mg</w:t>
            </w:r>
          </w:p>
        </w:tc>
        <w:tc>
          <w:tcPr>
            <w:tcW w:w="2471" w:type="dxa"/>
            <w:tcMar>
              <w:top w:w="57" w:type="dxa"/>
              <w:left w:w="57" w:type="dxa"/>
              <w:bottom w:w="57" w:type="dxa"/>
              <w:right w:w="567" w:type="dxa"/>
            </w:tcMar>
            <w:tmTcPr id="1766737683" protected="0"/>
          </w:tcPr>
          <w:p>
            <w:pPr>
              <w:spacing w:after="0" w:line="240" w:lineRule="auto"/>
              <w:jc w:val="right"/>
            </w:pPr>
            <w:r>
              <w:t>83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Rinderschinken</w:t>
            </w:r>
          </w:p>
        </w:tc>
        <w:tc>
          <w:tcPr>
            <w:tcW w:w="2268" w:type="dxa"/>
            <w:tcMar>
              <w:top w:w="57" w:type="dxa"/>
              <w:left w:w="57" w:type="dxa"/>
              <w:bottom w:w="57" w:type="dxa"/>
              <w:right w:w="567" w:type="dxa"/>
            </w:tcMar>
            <w:tmTcPr id="1766737683" protected="0"/>
          </w:tcPr>
          <w:p>
            <w:pPr>
              <w:spacing w:after="0" w:line="240" w:lineRule="auto"/>
              <w:jc w:val="right"/>
            </w:pPr>
            <w:r>
              <w:t>10 mg</w:t>
            </w:r>
          </w:p>
        </w:tc>
        <w:tc>
          <w:tcPr>
            <w:tcW w:w="2471" w:type="dxa"/>
            <w:tcMar>
              <w:top w:w="57" w:type="dxa"/>
              <w:left w:w="57" w:type="dxa"/>
              <w:bottom w:w="57" w:type="dxa"/>
              <w:right w:w="567" w:type="dxa"/>
            </w:tcMar>
            <w:tmTcPr id="1766737683" protected="0"/>
          </w:tcPr>
          <w:p>
            <w:pPr>
              <w:spacing w:after="0" w:line="240" w:lineRule="auto"/>
              <w:jc w:val="right"/>
            </w:pPr>
            <w:r>
              <w:t>150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Kalbsleber</w:t>
            </w:r>
          </w:p>
        </w:tc>
        <w:tc>
          <w:tcPr>
            <w:tcW w:w="2268" w:type="dxa"/>
            <w:tcMar>
              <w:top w:w="57" w:type="dxa"/>
              <w:left w:w="57" w:type="dxa"/>
              <w:bottom w:w="57" w:type="dxa"/>
              <w:right w:w="567" w:type="dxa"/>
            </w:tcMar>
            <w:tmTcPr id="1766737683" protected="0"/>
          </w:tcPr>
          <w:p>
            <w:pPr>
              <w:spacing w:after="0" w:line="240" w:lineRule="auto"/>
              <w:jc w:val="right"/>
            </w:pPr>
            <w:r>
              <w:t>7,5 mg</w:t>
            </w:r>
          </w:p>
        </w:tc>
        <w:tc>
          <w:tcPr>
            <w:tcW w:w="2471" w:type="dxa"/>
            <w:tcMar>
              <w:top w:w="57" w:type="dxa"/>
              <w:left w:w="57" w:type="dxa"/>
              <w:bottom w:w="57" w:type="dxa"/>
              <w:right w:w="567" w:type="dxa"/>
            </w:tcMar>
            <w:tmTcPr id="1766737683" protected="0"/>
          </w:tcPr>
          <w:p>
            <w:pPr>
              <w:spacing w:after="0" w:line="240" w:lineRule="auto"/>
              <w:jc w:val="right"/>
            </w:pPr>
            <w:r>
              <w:t>200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Leberwurst</w:t>
            </w:r>
          </w:p>
        </w:tc>
        <w:tc>
          <w:tcPr>
            <w:tcW w:w="2268" w:type="dxa"/>
            <w:tcMar>
              <w:top w:w="57" w:type="dxa"/>
              <w:left w:w="57" w:type="dxa"/>
              <w:bottom w:w="57" w:type="dxa"/>
              <w:right w:w="567" w:type="dxa"/>
            </w:tcMar>
            <w:tmTcPr id="1766737683" protected="0"/>
          </w:tcPr>
          <w:p>
            <w:pPr>
              <w:spacing w:after="0" w:line="240" w:lineRule="auto"/>
              <w:jc w:val="right"/>
            </w:pPr>
            <w:r>
              <w:t>3 mg</w:t>
            </w:r>
          </w:p>
        </w:tc>
        <w:tc>
          <w:tcPr>
            <w:tcW w:w="2471" w:type="dxa"/>
            <w:tcMar>
              <w:top w:w="57" w:type="dxa"/>
              <w:left w:w="57" w:type="dxa"/>
              <w:bottom w:w="57" w:type="dxa"/>
              <w:right w:w="567" w:type="dxa"/>
            </w:tcMar>
            <w:tmTcPr id="1766737683" protected="0"/>
          </w:tcPr>
          <w:p>
            <w:pPr>
              <w:spacing w:after="0" w:line="240" w:lineRule="auto"/>
              <w:jc w:val="right"/>
            </w:pPr>
            <w:r>
              <w:t>200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Rindfleisch</w:t>
            </w:r>
          </w:p>
        </w:tc>
        <w:tc>
          <w:tcPr>
            <w:tcW w:w="2268" w:type="dxa"/>
            <w:tcMar>
              <w:top w:w="57" w:type="dxa"/>
              <w:left w:w="57" w:type="dxa"/>
              <w:bottom w:w="57" w:type="dxa"/>
              <w:right w:w="567" w:type="dxa"/>
            </w:tcMar>
            <w:tmTcPr id="1766737683" protected="0"/>
          </w:tcPr>
          <w:p>
            <w:pPr>
              <w:spacing w:after="0" w:line="240" w:lineRule="auto"/>
              <w:jc w:val="right"/>
            </w:pPr>
            <w:r>
              <w:t>2,1 mg</w:t>
            </w:r>
          </w:p>
        </w:tc>
        <w:tc>
          <w:tcPr>
            <w:tcW w:w="2471" w:type="dxa"/>
            <w:tcMar>
              <w:top w:w="57" w:type="dxa"/>
              <w:left w:w="57" w:type="dxa"/>
              <w:bottom w:w="57" w:type="dxa"/>
              <w:right w:w="567" w:type="dxa"/>
            </w:tcMar>
            <w:tmTcPr id="1766737683" protected="0"/>
          </w:tcPr>
          <w:p>
            <w:pPr>
              <w:spacing w:after="0" w:line="240" w:lineRule="auto"/>
              <w:jc w:val="right"/>
            </w:pPr>
            <w:r>
              <w:t>714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Kalbfleisch</w:t>
            </w:r>
          </w:p>
        </w:tc>
        <w:tc>
          <w:tcPr>
            <w:tcW w:w="2268" w:type="dxa"/>
            <w:tcMar>
              <w:top w:w="57" w:type="dxa"/>
              <w:left w:w="57" w:type="dxa"/>
              <w:bottom w:w="57" w:type="dxa"/>
              <w:right w:w="567" w:type="dxa"/>
            </w:tcMar>
            <w:tmTcPr id="1766737683" protected="0"/>
          </w:tcPr>
          <w:p>
            <w:pPr>
              <w:spacing w:after="0" w:line="240" w:lineRule="auto"/>
              <w:jc w:val="right"/>
            </w:pPr>
            <w:r>
              <w:t>2 mg</w:t>
            </w:r>
          </w:p>
        </w:tc>
        <w:tc>
          <w:tcPr>
            <w:tcW w:w="2471" w:type="dxa"/>
            <w:tcMar>
              <w:top w:w="57" w:type="dxa"/>
              <w:left w:w="57" w:type="dxa"/>
              <w:bottom w:w="57" w:type="dxa"/>
              <w:right w:w="567" w:type="dxa"/>
            </w:tcMar>
            <w:tmTcPr id="1766737683" protected="0"/>
          </w:tcPr>
          <w:p>
            <w:pPr>
              <w:spacing w:after="0" w:line="240" w:lineRule="auto"/>
              <w:jc w:val="right"/>
            </w:pPr>
            <w:r>
              <w:t>750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Schweinefleisch</w:t>
            </w:r>
          </w:p>
        </w:tc>
        <w:tc>
          <w:tcPr>
            <w:tcW w:w="2268" w:type="dxa"/>
            <w:tcMar>
              <w:top w:w="57" w:type="dxa"/>
              <w:left w:w="57" w:type="dxa"/>
              <w:bottom w:w="57" w:type="dxa"/>
              <w:right w:w="567" w:type="dxa"/>
            </w:tcMar>
            <w:tmTcPr id="1766737683" protected="0"/>
          </w:tcPr>
          <w:p>
            <w:pPr>
              <w:spacing w:after="0" w:line="240" w:lineRule="auto"/>
              <w:jc w:val="right"/>
            </w:pPr>
            <w:r>
              <w:t>1,4 mg</w:t>
            </w:r>
          </w:p>
        </w:tc>
        <w:tc>
          <w:tcPr>
            <w:tcW w:w="2471" w:type="dxa"/>
            <w:tcMar>
              <w:top w:w="57" w:type="dxa"/>
              <w:left w:w="57" w:type="dxa"/>
              <w:bottom w:w="57" w:type="dxa"/>
              <w:right w:w="567" w:type="dxa"/>
            </w:tcMar>
            <w:tmTcPr id="1766737683" protected="0"/>
          </w:tcPr>
          <w:p>
            <w:pPr>
              <w:spacing w:after="0" w:line="240" w:lineRule="auto"/>
              <w:jc w:val="right"/>
            </w:pPr>
            <w:r>
              <w:t>1.100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Schinken</w:t>
            </w:r>
          </w:p>
        </w:tc>
        <w:tc>
          <w:tcPr>
            <w:tcW w:w="2268" w:type="dxa"/>
            <w:tcMar>
              <w:top w:w="57" w:type="dxa"/>
              <w:left w:w="57" w:type="dxa"/>
              <w:bottom w:w="57" w:type="dxa"/>
              <w:right w:w="567" w:type="dxa"/>
            </w:tcMar>
            <w:tmTcPr id="1766737683" protected="0"/>
          </w:tcPr>
          <w:p>
            <w:pPr>
              <w:spacing w:after="0" w:line="240" w:lineRule="auto"/>
              <w:jc w:val="right"/>
            </w:pPr>
            <w:r>
              <w:t>1,1 mg</w:t>
            </w:r>
          </w:p>
        </w:tc>
        <w:tc>
          <w:tcPr>
            <w:tcW w:w="2471" w:type="dxa"/>
            <w:tcMar>
              <w:top w:w="57" w:type="dxa"/>
              <w:left w:w="57" w:type="dxa"/>
              <w:bottom w:w="57" w:type="dxa"/>
              <w:right w:w="567" w:type="dxa"/>
            </w:tcMar>
            <w:tmTcPr id="1766737683" protected="0"/>
          </w:tcPr>
          <w:p>
            <w:pPr>
              <w:spacing w:after="0" w:line="240" w:lineRule="auto"/>
              <w:jc w:val="right"/>
            </w:pPr>
            <w:r>
              <w:t>1.360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Huhn</w:t>
            </w:r>
          </w:p>
        </w:tc>
        <w:tc>
          <w:tcPr>
            <w:tcW w:w="2268" w:type="dxa"/>
            <w:tcMar>
              <w:top w:w="57" w:type="dxa"/>
              <w:left w:w="57" w:type="dxa"/>
              <w:bottom w:w="57" w:type="dxa"/>
              <w:right w:w="567" w:type="dxa"/>
            </w:tcMar>
            <w:tmTcPr id="1766737683" protected="0"/>
          </w:tcPr>
          <w:p>
            <w:pPr>
              <w:spacing w:after="0" w:line="240" w:lineRule="auto"/>
              <w:jc w:val="right"/>
            </w:pPr>
            <w:r>
              <w:t>0,7 mg</w:t>
            </w:r>
          </w:p>
        </w:tc>
        <w:tc>
          <w:tcPr>
            <w:tcW w:w="2471" w:type="dxa"/>
            <w:tcMar>
              <w:top w:w="57" w:type="dxa"/>
              <w:left w:w="57" w:type="dxa"/>
              <w:bottom w:w="57" w:type="dxa"/>
              <w:right w:w="567" w:type="dxa"/>
            </w:tcMar>
            <w:tmTcPr id="1766737683" protected="0"/>
          </w:tcPr>
          <w:p>
            <w:pPr>
              <w:spacing w:after="0" w:line="240" w:lineRule="auto"/>
              <w:jc w:val="right"/>
            </w:pPr>
            <w:r>
              <w:t>2.200 g</w:t>
            </w:r>
          </w:p>
        </w:tc>
      </w:tr>
      <w:tr>
        <w:trPr>
          <w:tblHeader w:val="0"/>
          <w:cantSplit w:val="0"/>
          <w:trHeight w:val="0" w:hRule="auto"/>
        </w:trPr>
        <w:tc>
          <w:tcPr>
            <w:tcW w:w="3626" w:type="dxa"/>
            <w:shd w:val="solid" w:color="F0F0E0" tmshd="1477181696, 32639, 16777215"/>
            <w:tcMar>
              <w:top w:w="57" w:type="dxa"/>
              <w:left w:w="57" w:type="dxa"/>
              <w:bottom w:w="57" w:type="dxa"/>
              <w:right w:w="57" w:type="dxa"/>
            </w:tcMar>
            <w:tmTcPr id="1766737683" protected="0"/>
          </w:tcPr>
          <w:p>
            <w:pPr>
              <w:spacing w:after="0" w:line="240" w:lineRule="auto"/>
              <w:jc w:val="left"/>
              <w:rPr>
                <w:color w:val="0000ff"/>
              </w:rPr>
            </w:pPr>
            <w:r>
              <w:rPr>
                <w:color w:val="0000ff"/>
              </w:rPr>
              <w:t>GETREIDE</w:t>
            </w:r>
          </w:p>
        </w:tc>
        <w:tc>
          <w:tcPr>
            <w:tcW w:w="2268" w:type="dxa"/>
            <w:tcMar>
              <w:top w:w="57" w:type="dxa"/>
              <w:left w:w="57" w:type="dxa"/>
              <w:bottom w:w="57" w:type="dxa"/>
              <w:right w:w="57" w:type="dxa"/>
            </w:tcMar>
            <w:tmTcPr id="1766737683" protected="0"/>
          </w:tcPr>
          <w:p>
            <w:pPr>
              <w:spacing/>
              <w:jc w:val="left"/>
            </w:pPr>
            <w:r/>
          </w:p>
        </w:tc>
        <w:tc>
          <w:tcPr>
            <w:tcW w:w="2471" w:type="dxa"/>
            <w:tcMar>
              <w:top w:w="57" w:type="dxa"/>
              <w:left w:w="57" w:type="dxa"/>
              <w:bottom w:w="57" w:type="dxa"/>
              <w:right w:w="567" w:type="dxa"/>
            </w:tcMar>
            <w:tmTcPr id="1766737683" protected="0"/>
          </w:tcPr>
          <w:p>
            <w:pPr>
              <w:spacing/>
              <w:jc w:val="right"/>
            </w:pPr>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Weizenkleie</w:t>
            </w:r>
          </w:p>
        </w:tc>
        <w:tc>
          <w:tcPr>
            <w:tcW w:w="2268" w:type="dxa"/>
            <w:tcMar>
              <w:top w:w="57" w:type="dxa"/>
              <w:left w:w="57" w:type="dxa"/>
              <w:bottom w:w="57" w:type="dxa"/>
              <w:right w:w="567" w:type="dxa"/>
            </w:tcMar>
            <w:tmTcPr id="1766737683" protected="0"/>
          </w:tcPr>
          <w:p>
            <w:pPr>
              <w:spacing w:after="0" w:line="240" w:lineRule="auto"/>
              <w:jc w:val="right"/>
            </w:pPr>
            <w:r>
              <w:t>15 mg</w:t>
            </w:r>
          </w:p>
        </w:tc>
        <w:tc>
          <w:tcPr>
            <w:tcW w:w="2471" w:type="dxa"/>
            <w:tcMar>
              <w:top w:w="57" w:type="dxa"/>
              <w:left w:w="57" w:type="dxa"/>
              <w:bottom w:w="57" w:type="dxa"/>
              <w:right w:w="567" w:type="dxa"/>
            </w:tcMar>
            <w:tmTcPr id="1766737683" protected="0"/>
          </w:tcPr>
          <w:p>
            <w:pPr>
              <w:spacing w:after="0" w:line="240" w:lineRule="auto"/>
              <w:jc w:val="right"/>
            </w:pPr>
            <w:r>
              <w:t>100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Hirseflocken</w:t>
            </w:r>
          </w:p>
        </w:tc>
        <w:tc>
          <w:tcPr>
            <w:tcW w:w="2268" w:type="dxa"/>
            <w:tcMar>
              <w:top w:w="57" w:type="dxa"/>
              <w:left w:w="57" w:type="dxa"/>
              <w:bottom w:w="57" w:type="dxa"/>
              <w:right w:w="567" w:type="dxa"/>
            </w:tcMar>
            <w:tmTcPr id="1766737683" protected="0"/>
          </w:tcPr>
          <w:p>
            <w:pPr>
              <w:spacing w:after="0" w:line="240" w:lineRule="auto"/>
              <w:jc w:val="right"/>
            </w:pPr>
            <w:r>
              <w:t>9 mg</w:t>
            </w:r>
          </w:p>
        </w:tc>
        <w:tc>
          <w:tcPr>
            <w:tcW w:w="2471" w:type="dxa"/>
            <w:tcMar>
              <w:top w:w="57" w:type="dxa"/>
              <w:left w:w="57" w:type="dxa"/>
              <w:bottom w:w="57" w:type="dxa"/>
              <w:right w:w="567" w:type="dxa"/>
            </w:tcMar>
            <w:tmTcPr id="1766737683" protected="0"/>
          </w:tcPr>
          <w:p>
            <w:pPr>
              <w:spacing w:after="0" w:line="240" w:lineRule="auto"/>
              <w:jc w:val="right"/>
            </w:pPr>
            <w:r>
              <w:t>160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Weizenkeime</w:t>
            </w:r>
          </w:p>
        </w:tc>
        <w:tc>
          <w:tcPr>
            <w:tcW w:w="2268" w:type="dxa"/>
            <w:tcMar>
              <w:top w:w="57" w:type="dxa"/>
              <w:left w:w="57" w:type="dxa"/>
              <w:bottom w:w="57" w:type="dxa"/>
              <w:right w:w="567" w:type="dxa"/>
            </w:tcMar>
            <w:tmTcPr id="1766737683" protected="0"/>
          </w:tcPr>
          <w:p>
            <w:pPr>
              <w:spacing w:after="0" w:line="240" w:lineRule="auto"/>
              <w:jc w:val="right"/>
            </w:pPr>
            <w:r>
              <w:t>7,6 mg</w:t>
            </w:r>
          </w:p>
        </w:tc>
        <w:tc>
          <w:tcPr>
            <w:tcW w:w="2471" w:type="dxa"/>
            <w:tcMar>
              <w:top w:w="57" w:type="dxa"/>
              <w:left w:w="57" w:type="dxa"/>
              <w:bottom w:w="57" w:type="dxa"/>
              <w:right w:w="567" w:type="dxa"/>
            </w:tcMar>
            <w:tmTcPr id="1766737683" protected="0"/>
          </w:tcPr>
          <w:p>
            <w:pPr>
              <w:spacing w:after="0" w:line="240" w:lineRule="auto"/>
              <w:jc w:val="right"/>
            </w:pPr>
            <w:r>
              <w:t>197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Haferflocken, Grünkern</w:t>
            </w:r>
          </w:p>
        </w:tc>
        <w:tc>
          <w:tcPr>
            <w:tcW w:w="2268" w:type="dxa"/>
            <w:tcMar>
              <w:top w:w="57" w:type="dxa"/>
              <w:left w:w="57" w:type="dxa"/>
              <w:bottom w:w="57" w:type="dxa"/>
              <w:right w:w="567" w:type="dxa"/>
            </w:tcMar>
            <w:tmTcPr id="1766737683" protected="0"/>
          </w:tcPr>
          <w:p>
            <w:pPr>
              <w:spacing w:after="0" w:line="240" w:lineRule="auto"/>
              <w:jc w:val="right"/>
            </w:pPr>
            <w:r>
              <w:t>4,2 mg</w:t>
            </w:r>
          </w:p>
        </w:tc>
        <w:tc>
          <w:tcPr>
            <w:tcW w:w="2471" w:type="dxa"/>
            <w:tcMar>
              <w:top w:w="57" w:type="dxa"/>
              <w:left w:w="57" w:type="dxa"/>
              <w:bottom w:w="57" w:type="dxa"/>
              <w:right w:w="567" w:type="dxa"/>
            </w:tcMar>
            <w:tmTcPr id="1766737683" protected="0"/>
          </w:tcPr>
          <w:p>
            <w:pPr>
              <w:spacing w:after="0" w:line="240" w:lineRule="auto"/>
              <w:jc w:val="right"/>
            </w:pPr>
            <w:r>
              <w:t>360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Buchweizen</w:t>
            </w:r>
          </w:p>
        </w:tc>
        <w:tc>
          <w:tcPr>
            <w:tcW w:w="2268" w:type="dxa"/>
            <w:tcMar>
              <w:top w:w="57" w:type="dxa"/>
              <w:left w:w="57" w:type="dxa"/>
              <w:bottom w:w="57" w:type="dxa"/>
              <w:right w:w="567" w:type="dxa"/>
            </w:tcMar>
            <w:tmTcPr id="1766737683" protected="0"/>
          </w:tcPr>
          <w:p>
            <w:pPr>
              <w:spacing w:after="0" w:line="240" w:lineRule="auto"/>
              <w:jc w:val="right"/>
            </w:pPr>
            <w:r>
              <w:t>3,5 mg</w:t>
            </w:r>
          </w:p>
        </w:tc>
        <w:tc>
          <w:tcPr>
            <w:tcW w:w="2471" w:type="dxa"/>
            <w:tcMar>
              <w:top w:w="57" w:type="dxa"/>
              <w:left w:w="57" w:type="dxa"/>
              <w:bottom w:w="57" w:type="dxa"/>
              <w:right w:w="567" w:type="dxa"/>
            </w:tcMar>
            <w:tmTcPr id="1766737683" protected="0"/>
          </w:tcPr>
          <w:p>
            <w:pPr>
              <w:spacing w:after="0" w:line="240" w:lineRule="auto"/>
              <w:jc w:val="right"/>
            </w:pPr>
            <w:r>
              <w:t>428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Roggenmehl</w:t>
            </w:r>
          </w:p>
        </w:tc>
        <w:tc>
          <w:tcPr>
            <w:tcW w:w="2268" w:type="dxa"/>
            <w:tcMar>
              <w:top w:w="57" w:type="dxa"/>
              <w:left w:w="57" w:type="dxa"/>
              <w:bottom w:w="57" w:type="dxa"/>
              <w:right w:w="567" w:type="dxa"/>
            </w:tcMar>
            <w:tmTcPr id="1766737683" protected="0"/>
          </w:tcPr>
          <w:p>
            <w:pPr>
              <w:spacing w:after="0" w:line="240" w:lineRule="auto"/>
              <w:jc w:val="right"/>
            </w:pPr>
            <w:r>
              <w:t>2,1 mg</w:t>
            </w:r>
          </w:p>
        </w:tc>
        <w:tc>
          <w:tcPr>
            <w:tcW w:w="2471" w:type="dxa"/>
            <w:tcMar>
              <w:top w:w="57" w:type="dxa"/>
              <w:left w:w="57" w:type="dxa"/>
              <w:bottom w:w="57" w:type="dxa"/>
              <w:right w:w="567" w:type="dxa"/>
            </w:tcMar>
            <w:tmTcPr id="1766737683" protected="0"/>
          </w:tcPr>
          <w:p>
            <w:pPr>
              <w:spacing w:after="0" w:line="240" w:lineRule="auto"/>
              <w:jc w:val="right"/>
            </w:pPr>
            <w:r>
              <w:t>714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Weizenmehl</w:t>
            </w:r>
          </w:p>
        </w:tc>
        <w:tc>
          <w:tcPr>
            <w:tcW w:w="2268" w:type="dxa"/>
            <w:tcMar>
              <w:top w:w="57" w:type="dxa"/>
              <w:left w:w="57" w:type="dxa"/>
              <w:bottom w:w="57" w:type="dxa"/>
              <w:right w:w="567" w:type="dxa"/>
            </w:tcMar>
            <w:tmTcPr id="1766737683" protected="0"/>
          </w:tcPr>
          <w:p>
            <w:pPr>
              <w:spacing w:after="0" w:line="240" w:lineRule="auto"/>
              <w:jc w:val="right"/>
            </w:pPr>
            <w:r>
              <w:t>1,5 mg</w:t>
            </w:r>
          </w:p>
        </w:tc>
        <w:tc>
          <w:tcPr>
            <w:tcW w:w="2471" w:type="dxa"/>
            <w:tcMar>
              <w:top w:w="57" w:type="dxa"/>
              <w:left w:w="57" w:type="dxa"/>
              <w:bottom w:w="57" w:type="dxa"/>
              <w:right w:w="567" w:type="dxa"/>
            </w:tcMar>
            <w:tmTcPr id="1766737683" protected="0"/>
          </w:tcPr>
          <w:p>
            <w:pPr>
              <w:spacing w:after="0" w:line="240" w:lineRule="auto"/>
              <w:jc w:val="right"/>
            </w:pPr>
            <w:r>
              <w:t>1.000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Reis parboiled</w:t>
            </w:r>
          </w:p>
        </w:tc>
        <w:tc>
          <w:tcPr>
            <w:tcW w:w="2268" w:type="dxa"/>
            <w:tcMar>
              <w:top w:w="57" w:type="dxa"/>
              <w:left w:w="57" w:type="dxa"/>
              <w:bottom w:w="57" w:type="dxa"/>
              <w:right w:w="567" w:type="dxa"/>
            </w:tcMar>
            <w:tmTcPr id="1766737683" protected="0"/>
          </w:tcPr>
          <w:p>
            <w:pPr>
              <w:spacing w:after="0" w:line="240" w:lineRule="auto"/>
              <w:jc w:val="right"/>
            </w:pPr>
            <w:r>
              <w:t>1,4 mg</w:t>
            </w:r>
          </w:p>
        </w:tc>
        <w:tc>
          <w:tcPr>
            <w:tcW w:w="2471" w:type="dxa"/>
            <w:tcMar>
              <w:top w:w="57" w:type="dxa"/>
              <w:left w:w="57" w:type="dxa"/>
              <w:bottom w:w="57" w:type="dxa"/>
              <w:right w:w="567" w:type="dxa"/>
            </w:tcMar>
            <w:tmTcPr id="1766737683" protected="0"/>
          </w:tcPr>
          <w:p>
            <w:pPr>
              <w:spacing w:after="0" w:line="240" w:lineRule="auto"/>
              <w:jc w:val="right"/>
            </w:pPr>
            <w:r>
              <w:t>1.070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Zwieback</w:t>
            </w:r>
          </w:p>
        </w:tc>
        <w:tc>
          <w:tcPr>
            <w:tcW w:w="2268" w:type="dxa"/>
            <w:tcMar>
              <w:top w:w="57" w:type="dxa"/>
              <w:left w:w="57" w:type="dxa"/>
              <w:bottom w:w="57" w:type="dxa"/>
              <w:right w:w="567" w:type="dxa"/>
            </w:tcMar>
            <w:tmTcPr id="1766737683" protected="0"/>
          </w:tcPr>
          <w:p>
            <w:pPr>
              <w:spacing w:after="0" w:line="240" w:lineRule="auto"/>
              <w:jc w:val="right"/>
            </w:pPr>
            <w:r>
              <w:t>1,3 mg</w:t>
            </w:r>
          </w:p>
        </w:tc>
        <w:tc>
          <w:tcPr>
            <w:tcW w:w="2471" w:type="dxa"/>
            <w:tcMar>
              <w:top w:w="57" w:type="dxa"/>
              <w:left w:w="57" w:type="dxa"/>
              <w:bottom w:w="57" w:type="dxa"/>
              <w:right w:w="567" w:type="dxa"/>
            </w:tcMar>
            <w:tmTcPr id="1766737683" protected="0"/>
          </w:tcPr>
          <w:p>
            <w:pPr>
              <w:spacing w:after="0" w:line="240" w:lineRule="auto"/>
              <w:jc w:val="right"/>
            </w:pPr>
            <w:r>
              <w:t>1.150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Weißbrot</w:t>
            </w:r>
          </w:p>
        </w:tc>
        <w:tc>
          <w:tcPr>
            <w:tcW w:w="2268" w:type="dxa"/>
            <w:tcMar>
              <w:top w:w="57" w:type="dxa"/>
              <w:left w:w="57" w:type="dxa"/>
              <w:bottom w:w="57" w:type="dxa"/>
              <w:right w:w="567" w:type="dxa"/>
            </w:tcMar>
            <w:tmTcPr id="1766737683" protected="0"/>
          </w:tcPr>
          <w:p>
            <w:pPr>
              <w:spacing w:after="0" w:line="240" w:lineRule="auto"/>
              <w:jc w:val="right"/>
            </w:pPr>
            <w:r>
              <w:t>1,2 mg</w:t>
            </w:r>
          </w:p>
        </w:tc>
        <w:tc>
          <w:tcPr>
            <w:tcW w:w="2471" w:type="dxa"/>
            <w:tcMar>
              <w:top w:w="57" w:type="dxa"/>
              <w:left w:w="57" w:type="dxa"/>
              <w:bottom w:w="57" w:type="dxa"/>
              <w:right w:w="567" w:type="dxa"/>
            </w:tcMar>
            <w:tmTcPr id="1766737683" protected="0"/>
          </w:tcPr>
          <w:p>
            <w:pPr>
              <w:spacing w:after="0" w:line="240" w:lineRule="auto"/>
              <w:jc w:val="right"/>
            </w:pPr>
            <w:r>
              <w:t>1.250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Weizengrieß</w:t>
            </w:r>
          </w:p>
        </w:tc>
        <w:tc>
          <w:tcPr>
            <w:tcW w:w="2268" w:type="dxa"/>
            <w:tcMar>
              <w:top w:w="57" w:type="dxa"/>
              <w:left w:w="57" w:type="dxa"/>
              <w:bottom w:w="57" w:type="dxa"/>
              <w:right w:w="567" w:type="dxa"/>
            </w:tcMar>
            <w:tmTcPr id="1766737683" protected="0"/>
          </w:tcPr>
          <w:p>
            <w:pPr>
              <w:spacing w:after="0" w:line="240" w:lineRule="auto"/>
              <w:jc w:val="right"/>
            </w:pPr>
            <w:r>
              <w:t>1,1 mg</w:t>
            </w:r>
          </w:p>
        </w:tc>
        <w:tc>
          <w:tcPr>
            <w:tcW w:w="2471" w:type="dxa"/>
            <w:tcMar>
              <w:top w:w="57" w:type="dxa"/>
              <w:left w:w="57" w:type="dxa"/>
              <w:bottom w:w="57" w:type="dxa"/>
              <w:right w:w="567" w:type="dxa"/>
            </w:tcMar>
            <w:tmTcPr id="1766737683" protected="0"/>
          </w:tcPr>
          <w:p>
            <w:pPr>
              <w:spacing w:after="0" w:line="240" w:lineRule="auto"/>
              <w:jc w:val="right"/>
            </w:pPr>
            <w:r>
              <w:t>1.360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jc w:val="left"/>
            </w:pPr>
            <w:r>
              <w:t>Reis geschält</w:t>
            </w:r>
          </w:p>
        </w:tc>
        <w:tc>
          <w:tcPr>
            <w:tcW w:w="2268" w:type="dxa"/>
            <w:tcMar>
              <w:top w:w="57" w:type="dxa"/>
              <w:left w:w="57" w:type="dxa"/>
              <w:bottom w:w="57" w:type="dxa"/>
              <w:right w:w="567" w:type="dxa"/>
            </w:tcMar>
            <w:tmTcPr id="1766737683" protected="0"/>
          </w:tcPr>
          <w:p>
            <w:pPr>
              <w:spacing w:after="0" w:line="240" w:lineRule="auto"/>
              <w:jc w:val="right"/>
            </w:pPr>
            <w:r>
              <w:t>0,6 mg</w:t>
            </w:r>
          </w:p>
        </w:tc>
        <w:tc>
          <w:tcPr>
            <w:tcW w:w="2471" w:type="dxa"/>
            <w:tcMar>
              <w:top w:w="57" w:type="dxa"/>
              <w:left w:w="57" w:type="dxa"/>
              <w:bottom w:w="57" w:type="dxa"/>
              <w:right w:w="567" w:type="dxa"/>
            </w:tcMar>
            <w:tmTcPr id="1766737683" protected="0"/>
          </w:tcPr>
          <w:p>
            <w:pPr>
              <w:spacing w:after="0" w:line="240" w:lineRule="auto"/>
              <w:jc w:val="right"/>
            </w:pPr>
            <w:r>
              <w:t>2.500 g</w:t>
            </w:r>
          </w:p>
        </w:tc>
      </w:tr>
      <w:tr>
        <w:trPr>
          <w:tblHeader w:val="0"/>
          <w:cantSplit w:val="0"/>
          <w:trHeight w:val="0" w:hRule="auto"/>
        </w:trPr>
        <w:tc>
          <w:tcPr>
            <w:tcW w:w="3626" w:type="dxa"/>
            <w:shd w:val="solid" w:color="F0F0E0" tmshd="1477181696, 32639, 16777215"/>
            <w:tcMar>
              <w:top w:w="57" w:type="dxa"/>
              <w:left w:w="57" w:type="dxa"/>
              <w:bottom w:w="57" w:type="dxa"/>
              <w:right w:w="57" w:type="dxa"/>
            </w:tcMar>
            <w:tmTcPr id="1766737683" protected="0"/>
          </w:tcPr>
          <w:p>
            <w:pPr>
              <w:spacing w:after="0" w:line="240" w:lineRule="auto"/>
              <w:jc w:val="left"/>
              <w:rPr>
                <w:color w:val="0000ff"/>
              </w:rPr>
            </w:pPr>
            <w:r>
              <w:rPr>
                <w:color w:val="0000ff"/>
              </w:rPr>
              <w:t>NÜSSE &amp; KERNE</w:t>
            </w:r>
          </w:p>
        </w:tc>
        <w:tc>
          <w:tcPr>
            <w:tcW w:w="2268" w:type="dxa"/>
            <w:tcMar>
              <w:top w:w="57" w:type="dxa"/>
              <w:left w:w="57" w:type="dxa"/>
              <w:bottom w:w="57" w:type="dxa"/>
              <w:right w:w="57" w:type="dxa"/>
            </w:tcMar>
            <w:tmTcPr id="1766737683" protected="0"/>
          </w:tcPr>
          <w:p>
            <w:pPr/>
            <w:r/>
          </w:p>
        </w:tc>
        <w:tc>
          <w:tcPr>
            <w:tcW w:w="2471" w:type="dxa"/>
            <w:tcMar>
              <w:top w:w="57" w:type="dxa"/>
              <w:left w:w="57" w:type="dxa"/>
              <w:bottom w:w="57" w:type="dxa"/>
              <w:right w:w="57" w:type="dxa"/>
            </w:tcMar>
            <w:tmTcPr id="1766737683" protected="0"/>
          </w:tcPr>
          <w:p>
            <w:pPr/>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pPr>
            <w:r>
              <w:t>Kürbiskerne</w:t>
            </w:r>
          </w:p>
        </w:tc>
        <w:tc>
          <w:tcPr>
            <w:tcW w:w="2268" w:type="dxa"/>
            <w:tcMar>
              <w:top w:w="57" w:type="dxa"/>
              <w:left w:w="57" w:type="dxa"/>
              <w:bottom w:w="57" w:type="dxa"/>
              <w:right w:w="567" w:type="dxa"/>
            </w:tcMar>
            <w:tmTcPr id="1766737683" protected="0"/>
          </w:tcPr>
          <w:p>
            <w:pPr>
              <w:spacing w:after="0" w:line="240" w:lineRule="auto"/>
              <w:jc w:val="right"/>
            </w:pPr>
            <w:r>
              <w:t>11,2 mg</w:t>
            </w:r>
          </w:p>
        </w:tc>
        <w:tc>
          <w:tcPr>
            <w:tcW w:w="2471" w:type="dxa"/>
            <w:tcMar>
              <w:top w:w="57" w:type="dxa"/>
              <w:left w:w="57" w:type="dxa"/>
              <w:bottom w:w="57" w:type="dxa"/>
              <w:right w:w="567" w:type="dxa"/>
            </w:tcMar>
            <w:tmTcPr id="1766737683" protected="0"/>
          </w:tcPr>
          <w:p>
            <w:pPr>
              <w:spacing w:after="0" w:line="240" w:lineRule="auto"/>
              <w:jc w:val="right"/>
            </w:pPr>
            <w:r>
              <w:t>170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pPr>
            <w:r>
              <w:t>Pinienkerne</w:t>
            </w:r>
          </w:p>
        </w:tc>
        <w:tc>
          <w:tcPr>
            <w:tcW w:w="2268" w:type="dxa"/>
            <w:tcMar>
              <w:top w:w="57" w:type="dxa"/>
              <w:left w:w="57" w:type="dxa"/>
              <w:bottom w:w="57" w:type="dxa"/>
              <w:right w:w="567" w:type="dxa"/>
            </w:tcMar>
            <w:tmTcPr id="1766737683" protected="0"/>
          </w:tcPr>
          <w:p>
            <w:pPr>
              <w:spacing w:after="0" w:line="240" w:lineRule="auto"/>
              <w:jc w:val="right"/>
            </w:pPr>
            <w:r>
              <w:t>9,2 mg</w:t>
            </w:r>
          </w:p>
        </w:tc>
        <w:tc>
          <w:tcPr>
            <w:tcW w:w="2471" w:type="dxa"/>
            <w:tcMar>
              <w:top w:w="57" w:type="dxa"/>
              <w:left w:w="57" w:type="dxa"/>
              <w:bottom w:w="57" w:type="dxa"/>
              <w:right w:w="567" w:type="dxa"/>
            </w:tcMar>
            <w:tmTcPr id="1766737683" protected="0"/>
          </w:tcPr>
          <w:p>
            <w:pPr>
              <w:spacing w:after="0" w:line="240" w:lineRule="auto"/>
              <w:jc w:val="right"/>
            </w:pPr>
            <w:r>
              <w:t>163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pPr>
            <w:r>
              <w:t>Mandeln</w:t>
            </w:r>
          </w:p>
        </w:tc>
        <w:tc>
          <w:tcPr>
            <w:tcW w:w="2268" w:type="dxa"/>
            <w:tcMar>
              <w:top w:w="57" w:type="dxa"/>
              <w:left w:w="57" w:type="dxa"/>
              <w:bottom w:w="57" w:type="dxa"/>
              <w:right w:w="567" w:type="dxa"/>
            </w:tcMar>
            <w:tmTcPr id="1766737683" protected="0"/>
          </w:tcPr>
          <w:p>
            <w:pPr>
              <w:spacing w:after="0" w:line="240" w:lineRule="auto"/>
              <w:jc w:val="right"/>
            </w:pPr>
            <w:r>
              <w:t>4,2 mg</w:t>
            </w:r>
          </w:p>
        </w:tc>
        <w:tc>
          <w:tcPr>
            <w:tcW w:w="2471" w:type="dxa"/>
            <w:tcMar>
              <w:top w:w="57" w:type="dxa"/>
              <w:left w:w="57" w:type="dxa"/>
              <w:bottom w:w="57" w:type="dxa"/>
              <w:right w:w="567" w:type="dxa"/>
            </w:tcMar>
            <w:tmTcPr id="1766737683" protected="0"/>
          </w:tcPr>
          <w:p>
            <w:pPr>
              <w:spacing w:after="0" w:line="240" w:lineRule="auto"/>
              <w:jc w:val="right"/>
            </w:pPr>
            <w:r>
              <w:t>360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pPr>
            <w:r>
              <w:t>Haselnüsse</w:t>
            </w:r>
          </w:p>
        </w:tc>
        <w:tc>
          <w:tcPr>
            <w:tcW w:w="2268" w:type="dxa"/>
            <w:tcMar>
              <w:top w:w="57" w:type="dxa"/>
              <w:left w:w="57" w:type="dxa"/>
              <w:bottom w:w="57" w:type="dxa"/>
              <w:right w:w="567" w:type="dxa"/>
            </w:tcMar>
            <w:tmTcPr id="1766737683" protected="0"/>
          </w:tcPr>
          <w:p>
            <w:pPr>
              <w:spacing w:after="0" w:line="240" w:lineRule="auto"/>
              <w:jc w:val="right"/>
            </w:pPr>
            <w:r>
              <w:t>3,7 mg</w:t>
            </w:r>
          </w:p>
        </w:tc>
        <w:tc>
          <w:tcPr>
            <w:tcW w:w="2471" w:type="dxa"/>
            <w:tcMar>
              <w:top w:w="57" w:type="dxa"/>
              <w:left w:w="57" w:type="dxa"/>
              <w:bottom w:w="57" w:type="dxa"/>
              <w:right w:w="567" w:type="dxa"/>
            </w:tcMar>
            <w:tmTcPr id="1766737683" protected="0"/>
          </w:tcPr>
          <w:p>
            <w:pPr>
              <w:spacing w:after="0" w:line="240" w:lineRule="auto"/>
              <w:jc w:val="right"/>
            </w:pPr>
            <w:r>
              <w:t>400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pPr>
            <w:r>
              <w:t>Walnüsse</w:t>
            </w:r>
          </w:p>
        </w:tc>
        <w:tc>
          <w:tcPr>
            <w:tcW w:w="2268" w:type="dxa"/>
            <w:tcMar>
              <w:top w:w="57" w:type="dxa"/>
              <w:left w:w="57" w:type="dxa"/>
              <w:bottom w:w="57" w:type="dxa"/>
              <w:right w:w="567" w:type="dxa"/>
            </w:tcMar>
            <w:tmTcPr id="1766737683" protected="0"/>
          </w:tcPr>
          <w:p>
            <w:pPr>
              <w:spacing w:after="0" w:line="240" w:lineRule="auto"/>
              <w:jc w:val="right"/>
            </w:pPr>
            <w:r>
              <w:t>2,5 mg</w:t>
            </w:r>
          </w:p>
        </w:tc>
        <w:tc>
          <w:tcPr>
            <w:tcW w:w="2471" w:type="dxa"/>
            <w:tcMar>
              <w:top w:w="57" w:type="dxa"/>
              <w:left w:w="57" w:type="dxa"/>
              <w:bottom w:w="57" w:type="dxa"/>
              <w:right w:w="567" w:type="dxa"/>
            </w:tcMar>
            <w:tmTcPr id="1766737683" protected="0"/>
          </w:tcPr>
          <w:p>
            <w:pPr>
              <w:spacing w:after="0" w:line="240" w:lineRule="auto"/>
              <w:jc w:val="right"/>
            </w:pPr>
            <w:r>
              <w:t>600 g</w:t>
            </w:r>
          </w:p>
        </w:tc>
      </w:tr>
      <w:tr>
        <w:trPr>
          <w:tblHeader w:val="0"/>
          <w:cantSplit w:val="0"/>
          <w:trHeight w:val="0" w:hRule="auto"/>
        </w:trPr>
        <w:tc>
          <w:tcPr>
            <w:tcW w:w="3626" w:type="dxa"/>
            <w:tcMar>
              <w:top w:w="57" w:type="dxa"/>
              <w:left w:w="57" w:type="dxa"/>
              <w:bottom w:w="57" w:type="dxa"/>
              <w:right w:w="57" w:type="dxa"/>
            </w:tcMar>
            <w:tmTcPr id="1766737683" protected="0"/>
          </w:tcPr>
          <w:p>
            <w:pPr>
              <w:spacing w:after="0" w:line="240" w:lineRule="auto"/>
            </w:pPr>
            <w:r>
              <w:t>Erdnüsse</w:t>
            </w:r>
          </w:p>
        </w:tc>
        <w:tc>
          <w:tcPr>
            <w:tcW w:w="2268" w:type="dxa"/>
            <w:tcMar>
              <w:top w:w="57" w:type="dxa"/>
              <w:left w:w="57" w:type="dxa"/>
              <w:bottom w:w="57" w:type="dxa"/>
              <w:right w:w="567" w:type="dxa"/>
            </w:tcMar>
            <w:tmTcPr id="1766737683" protected="0"/>
          </w:tcPr>
          <w:p>
            <w:pPr>
              <w:spacing w:after="0" w:line="240" w:lineRule="auto"/>
              <w:jc w:val="right"/>
            </w:pPr>
            <w:r>
              <w:t>2,4 mg</w:t>
            </w:r>
          </w:p>
        </w:tc>
        <w:tc>
          <w:tcPr>
            <w:tcW w:w="2471" w:type="dxa"/>
            <w:tcMar>
              <w:top w:w="57" w:type="dxa"/>
              <w:left w:w="57" w:type="dxa"/>
              <w:bottom w:w="57" w:type="dxa"/>
              <w:right w:w="567" w:type="dxa"/>
            </w:tcMar>
            <w:tmTcPr id="1766737683" protected="0"/>
          </w:tcPr>
          <w:p>
            <w:pPr>
              <w:spacing w:after="0" w:line="240" w:lineRule="auto"/>
              <w:jc w:val="right"/>
            </w:pPr>
            <w:r>
              <w:t>615 g</w:t>
            </w:r>
          </w:p>
        </w:tc>
      </w:tr>
    </w:tbl>
    <w:p>
      <w:r/>
    </w:p>
    <w:p>
      <w:r>
        <w:br w:type="page"/>
      </w:r>
    </w:p>
    <w:tbl>
      <w:tblPr>
        <w:tblStyle w:val="TableGrid"/>
        <w:name w:val="Tabelle34"/>
        <w:tabOrder w:val="0"/>
        <w:jc w:val="left"/>
        <w:tblInd w:w="0" w:type="dxa"/>
        <w:tblW w:w="8366" w:type="dxa"/>
        <w:pPr>
          <w:spacing/>
          <w:jc w:val="left"/>
        </w:pPr>
        <w:tblLook w:val="04A0" w:firstRow="1" w:lastRow="0" w:firstColumn="1" w:lastColumn="0" w:noHBand="0" w:noVBand="1"/>
      </w:tblPr>
      <w:tblGrid>
        <w:gridCol w:w="3626"/>
        <w:gridCol w:w="2268"/>
        <w:gridCol w:w="2472"/>
      </w:tblGrid>
      <w:tr>
        <w:trPr>
          <w:tblHeader w:val="0"/>
          <w:cantSplit w:val="0"/>
          <w:trHeight w:val="0" w:hRule="auto"/>
        </w:trPr>
        <w:tc>
          <w:tcPr>
            <w:tcW w:w="3626" w:type="dxa"/>
            <w:shd w:val="solid" w:color="DDFE87" tmshd="6553989, 8912605, 16777215"/>
            <w:tcMar>
              <w:top w:w="57" w:type="dxa"/>
              <w:left w:w="57" w:type="dxa"/>
              <w:bottom w:w="57" w:type="dxa"/>
              <w:right w:w="57" w:type="dxa"/>
            </w:tcMar>
            <w:tmTcPr id="1766737683" protected="0"/>
          </w:tcPr>
          <w:p>
            <w:pPr>
              <w:spacing/>
              <w:jc w:val="left"/>
            </w:pPr>
            <w:r/>
          </w:p>
        </w:tc>
        <w:tc>
          <w:tcPr>
            <w:tcW w:w="2268" w:type="dxa"/>
            <w:shd w:val="solid" w:color="DDFE87" tmshd="6553989, 8912605, 16777215"/>
            <w:tcMar>
              <w:top w:w="57" w:type="dxa"/>
              <w:left w:w="57" w:type="dxa"/>
              <w:bottom w:w="57" w:type="dxa"/>
              <w:right w:w="57" w:type="dxa"/>
            </w:tcMar>
            <w:tmTcPr id="1766737683" protected="0"/>
          </w:tcPr>
          <w:p>
            <w:pPr>
              <w:spacing w:after="0" w:line="240" w:lineRule="auto"/>
              <w:jc w:val="left"/>
            </w:pPr>
            <w:r>
              <w:t>Eisengehalt pro 100g</w:t>
            </w:r>
          </w:p>
        </w:tc>
        <w:tc>
          <w:tcPr>
            <w:tcW w:w="2472" w:type="dxa"/>
            <w:shd w:val="solid" w:color="DDFE87" tmshd="6553989, 8912605, 16777215"/>
            <w:tcMar>
              <w:top w:w="57" w:type="dxa"/>
              <w:left w:w="57" w:type="dxa"/>
              <w:bottom w:w="57" w:type="dxa"/>
              <w:right w:w="57" w:type="dxa"/>
            </w:tcMar>
            <w:tmTcPr id="1766737683" protected="0"/>
          </w:tcPr>
          <w:p>
            <w:pPr>
              <w:spacing w:after="0" w:line="240" w:lineRule="auto"/>
              <w:jc w:val="left"/>
            </w:pPr>
            <w:r>
              <w:t xml:space="preserve">Verzehrmenge um 15mg </w:t>
              <w:fldChar w:fldCharType="begin"/>
              <w:instrText xml:space="preserve">XE "Eisen" \G </w:instrText>
              <w:fldChar w:fldCharType="end"/>
              <w:t>Eisen zuzuführen</w:t>
            </w:r>
          </w:p>
        </w:tc>
      </w:tr>
      <w:tr>
        <w:trPr>
          <w:tblHeader w:val="0"/>
          <w:cantSplit w:val="0"/>
          <w:trHeight w:val="0" w:hRule="auto"/>
        </w:trPr>
        <w:tc>
          <w:tcPr>
            <w:tcW w:w="3626" w:type="dxa"/>
            <w:shd w:val="solid" w:color="F0F0E0" tmshd="1477181696, 32639, 16777215"/>
            <w:tcMar>
              <w:top w:w="57" w:type="dxa"/>
              <w:left w:w="57" w:type="dxa"/>
              <w:bottom w:w="57" w:type="dxa"/>
              <w:right w:w="57" w:type="dxa"/>
            </w:tcMar>
            <w:tmTcPr id="1766737683" protected="0"/>
          </w:tcPr>
          <w:p>
            <w:pPr>
              <w:spacing/>
              <w:jc w:val="left"/>
              <w:rPr>
                <w:color w:val="0000ff"/>
              </w:rPr>
            </w:pPr>
            <w:r>
              <w:rPr>
                <w:color w:val="0000ff"/>
              </w:rPr>
              <w:t>HÜLSENFRÜCHTE &amp; KARTOFFELN</w:t>
            </w:r>
          </w:p>
        </w:tc>
        <w:tc>
          <w:tcPr>
            <w:tcW w:w="2268" w:type="dxa"/>
            <w:tcMar>
              <w:top w:w="57" w:type="dxa"/>
              <w:left w:w="57" w:type="dxa"/>
              <w:bottom w:w="57" w:type="dxa"/>
              <w:right w:w="57" w:type="dxa"/>
            </w:tcMar>
            <w:tmTcPr id="1766737683" protected="0"/>
          </w:tcPr>
          <w:p>
            <w:pPr/>
            <w:r/>
          </w:p>
        </w:tc>
        <w:tc>
          <w:tcPr>
            <w:tcW w:w="2472" w:type="dxa"/>
            <w:tcMar>
              <w:top w:w="57" w:type="dxa"/>
              <w:left w:w="57" w:type="dxa"/>
              <w:bottom w:w="57" w:type="dxa"/>
              <w:right w:w="57" w:type="dxa"/>
            </w:tcMar>
            <w:tmTcPr id="1766737683" protected="0"/>
          </w:tcPr>
          <w:p>
            <w:pPr/>
            <w:r/>
          </w:p>
        </w:tc>
      </w:tr>
      <w:tr>
        <w:trPr>
          <w:tblHeader w:val="0"/>
          <w:cantSplit w:val="0"/>
          <w:trHeight w:val="0" w:hRule="auto"/>
        </w:trPr>
        <w:tc>
          <w:tcPr>
            <w:tcW w:w="3626" w:type="dxa"/>
            <w:tcMar>
              <w:top w:w="57" w:type="dxa"/>
              <w:left w:w="57" w:type="dxa"/>
              <w:bottom w:w="57" w:type="dxa"/>
              <w:right w:w="57" w:type="dxa"/>
            </w:tcMar>
            <w:tmTcPr id="1766737683" protected="0"/>
          </w:tcPr>
          <w:p>
            <w:pPr/>
            <w:r>
              <w:t>Sojabohnen getrocknet</w:t>
            </w:r>
          </w:p>
        </w:tc>
        <w:tc>
          <w:tcPr>
            <w:tcW w:w="2268" w:type="dxa"/>
            <w:tcMar>
              <w:top w:w="57" w:type="dxa"/>
              <w:left w:w="57" w:type="dxa"/>
              <w:bottom w:w="57" w:type="dxa"/>
              <w:right w:w="567" w:type="dxa"/>
            </w:tcMar>
            <w:tmTcPr id="1766737683" protected="0"/>
          </w:tcPr>
          <w:p>
            <w:pPr>
              <w:spacing/>
              <w:jc w:val="right"/>
            </w:pPr>
            <w:r>
              <w:t>9,7 mg</w:t>
            </w:r>
          </w:p>
        </w:tc>
        <w:tc>
          <w:tcPr>
            <w:tcW w:w="2472" w:type="dxa"/>
            <w:tcMar>
              <w:top w:w="57" w:type="dxa"/>
              <w:left w:w="57" w:type="dxa"/>
              <w:bottom w:w="57" w:type="dxa"/>
              <w:right w:w="567" w:type="dxa"/>
            </w:tcMar>
            <w:tmTcPr id="1766737683" protected="0"/>
          </w:tcPr>
          <w:p>
            <w:pPr>
              <w:spacing/>
              <w:jc w:val="right"/>
            </w:pPr>
            <w:r>
              <w:t>154 g</w:t>
            </w:r>
          </w:p>
        </w:tc>
      </w:tr>
      <w:tr>
        <w:trPr>
          <w:tblHeader w:val="0"/>
          <w:cantSplit w:val="0"/>
          <w:trHeight w:val="0" w:hRule="auto"/>
        </w:trPr>
        <w:tc>
          <w:tcPr>
            <w:tcW w:w="3626" w:type="dxa"/>
            <w:tcMar>
              <w:top w:w="57" w:type="dxa"/>
              <w:left w:w="57" w:type="dxa"/>
              <w:bottom w:w="57" w:type="dxa"/>
              <w:right w:w="57" w:type="dxa"/>
            </w:tcMar>
            <w:tmTcPr id="1766737683" protected="0"/>
          </w:tcPr>
          <w:p>
            <w:pPr/>
            <w:r>
              <w:t>Linsen getrocknet</w:t>
            </w:r>
          </w:p>
        </w:tc>
        <w:tc>
          <w:tcPr>
            <w:tcW w:w="2268" w:type="dxa"/>
            <w:tcMar>
              <w:top w:w="57" w:type="dxa"/>
              <w:left w:w="57" w:type="dxa"/>
              <w:bottom w:w="57" w:type="dxa"/>
              <w:right w:w="567" w:type="dxa"/>
            </w:tcMar>
            <w:tmTcPr id="1766737683" protected="0"/>
          </w:tcPr>
          <w:p>
            <w:pPr>
              <w:spacing/>
              <w:jc w:val="right"/>
            </w:pPr>
            <w:r>
              <w:t>8 mg</w:t>
            </w:r>
          </w:p>
        </w:tc>
        <w:tc>
          <w:tcPr>
            <w:tcW w:w="2472" w:type="dxa"/>
            <w:tcMar>
              <w:top w:w="57" w:type="dxa"/>
              <w:left w:w="57" w:type="dxa"/>
              <w:bottom w:w="57" w:type="dxa"/>
              <w:right w:w="567" w:type="dxa"/>
            </w:tcMar>
            <w:tmTcPr id="1766737683" protected="0"/>
          </w:tcPr>
          <w:p>
            <w:pPr>
              <w:spacing/>
              <w:jc w:val="right"/>
            </w:pPr>
            <w:r>
              <w:t>187 g</w:t>
            </w:r>
          </w:p>
        </w:tc>
      </w:tr>
      <w:tr>
        <w:trPr>
          <w:tblHeader w:val="0"/>
          <w:cantSplit w:val="0"/>
          <w:trHeight w:val="0" w:hRule="auto"/>
        </w:trPr>
        <w:tc>
          <w:tcPr>
            <w:tcW w:w="3626" w:type="dxa"/>
            <w:tcMar>
              <w:top w:w="57" w:type="dxa"/>
              <w:left w:w="57" w:type="dxa"/>
              <w:bottom w:w="57" w:type="dxa"/>
              <w:right w:w="57" w:type="dxa"/>
            </w:tcMar>
            <w:tmTcPr id="1766737683" protected="0"/>
          </w:tcPr>
          <w:p>
            <w:pPr/>
            <w:r>
              <w:t>Weiße Bohnen getrocknet</w:t>
            </w:r>
          </w:p>
        </w:tc>
        <w:tc>
          <w:tcPr>
            <w:tcW w:w="2268" w:type="dxa"/>
            <w:tcMar>
              <w:top w:w="57" w:type="dxa"/>
              <w:left w:w="57" w:type="dxa"/>
              <w:bottom w:w="57" w:type="dxa"/>
              <w:right w:w="567" w:type="dxa"/>
            </w:tcMar>
            <w:tmTcPr id="1766737683" protected="0"/>
          </w:tcPr>
          <w:p>
            <w:pPr>
              <w:spacing/>
              <w:jc w:val="right"/>
            </w:pPr>
            <w:r>
              <w:t>7 mg</w:t>
            </w:r>
          </w:p>
        </w:tc>
        <w:tc>
          <w:tcPr>
            <w:tcW w:w="2472" w:type="dxa"/>
            <w:tcMar>
              <w:top w:w="57" w:type="dxa"/>
              <w:left w:w="57" w:type="dxa"/>
              <w:bottom w:w="57" w:type="dxa"/>
              <w:right w:w="567" w:type="dxa"/>
            </w:tcMar>
            <w:tmTcPr id="1766737683" protected="0"/>
          </w:tcPr>
          <w:p>
            <w:pPr>
              <w:spacing/>
              <w:jc w:val="right"/>
            </w:pPr>
            <w:r>
              <w:t>215 g</w:t>
            </w:r>
          </w:p>
        </w:tc>
      </w:tr>
      <w:tr>
        <w:trPr>
          <w:tblHeader w:val="0"/>
          <w:cantSplit w:val="0"/>
          <w:trHeight w:val="0" w:hRule="auto"/>
        </w:trPr>
        <w:tc>
          <w:tcPr>
            <w:tcW w:w="3626" w:type="dxa"/>
            <w:tcMar>
              <w:top w:w="57" w:type="dxa"/>
              <w:left w:w="57" w:type="dxa"/>
              <w:bottom w:w="57" w:type="dxa"/>
              <w:right w:w="57" w:type="dxa"/>
            </w:tcMar>
            <w:tmTcPr id="1766737683" protected="0"/>
          </w:tcPr>
          <w:p>
            <w:pPr/>
            <w:r>
              <w:t>Kichererbsen getrocknet</w:t>
            </w:r>
          </w:p>
        </w:tc>
        <w:tc>
          <w:tcPr>
            <w:tcW w:w="2268" w:type="dxa"/>
            <w:tcMar>
              <w:top w:w="57" w:type="dxa"/>
              <w:left w:w="57" w:type="dxa"/>
              <w:bottom w:w="57" w:type="dxa"/>
              <w:right w:w="567" w:type="dxa"/>
            </w:tcMar>
            <w:tmTcPr id="1766737683" protected="0"/>
          </w:tcPr>
          <w:p>
            <w:pPr>
              <w:spacing/>
              <w:jc w:val="right"/>
            </w:pPr>
            <w:r>
              <w:t>6,1 mg</w:t>
            </w:r>
          </w:p>
        </w:tc>
        <w:tc>
          <w:tcPr>
            <w:tcW w:w="2472" w:type="dxa"/>
            <w:tcMar>
              <w:top w:w="57" w:type="dxa"/>
              <w:left w:w="57" w:type="dxa"/>
              <w:bottom w:w="57" w:type="dxa"/>
              <w:right w:w="567" w:type="dxa"/>
            </w:tcMar>
            <w:tmTcPr id="1766737683" protected="0"/>
          </w:tcPr>
          <w:p>
            <w:pPr>
              <w:spacing/>
              <w:jc w:val="right"/>
            </w:pPr>
            <w:r>
              <w:t>245 g</w:t>
            </w:r>
          </w:p>
        </w:tc>
      </w:tr>
      <w:tr>
        <w:trPr>
          <w:tblHeader w:val="0"/>
          <w:cantSplit w:val="0"/>
          <w:trHeight w:val="0" w:hRule="auto"/>
        </w:trPr>
        <w:tc>
          <w:tcPr>
            <w:tcW w:w="3626" w:type="dxa"/>
            <w:tcMar>
              <w:top w:w="57" w:type="dxa"/>
              <w:left w:w="57" w:type="dxa"/>
              <w:bottom w:w="57" w:type="dxa"/>
              <w:right w:w="57" w:type="dxa"/>
            </w:tcMar>
            <w:tmTcPr id="1766737683" protected="0"/>
          </w:tcPr>
          <w:p>
            <w:pPr/>
            <w:r>
              <w:t>Tofu</w:t>
            </w:r>
          </w:p>
        </w:tc>
        <w:tc>
          <w:tcPr>
            <w:tcW w:w="2268" w:type="dxa"/>
            <w:tcMar>
              <w:top w:w="57" w:type="dxa"/>
              <w:left w:w="57" w:type="dxa"/>
              <w:bottom w:w="57" w:type="dxa"/>
              <w:right w:w="567" w:type="dxa"/>
            </w:tcMar>
            <w:tmTcPr id="1766737683" protected="0"/>
          </w:tcPr>
          <w:p>
            <w:pPr>
              <w:spacing/>
              <w:jc w:val="right"/>
            </w:pPr>
            <w:r>
              <w:t>5,4 mg</w:t>
            </w:r>
          </w:p>
        </w:tc>
        <w:tc>
          <w:tcPr>
            <w:tcW w:w="2472" w:type="dxa"/>
            <w:tcMar>
              <w:top w:w="57" w:type="dxa"/>
              <w:left w:w="57" w:type="dxa"/>
              <w:bottom w:w="57" w:type="dxa"/>
              <w:right w:w="567" w:type="dxa"/>
            </w:tcMar>
            <w:tmTcPr id="1766737683" protected="0"/>
          </w:tcPr>
          <w:p>
            <w:pPr>
              <w:spacing/>
              <w:jc w:val="right"/>
            </w:pPr>
            <w:r>
              <w:t>270 g</w:t>
            </w:r>
          </w:p>
        </w:tc>
      </w:tr>
      <w:tr>
        <w:trPr>
          <w:tblHeader w:val="0"/>
          <w:cantSplit w:val="0"/>
          <w:trHeight w:val="0" w:hRule="auto"/>
        </w:trPr>
        <w:tc>
          <w:tcPr>
            <w:tcW w:w="3626" w:type="dxa"/>
            <w:tcMar>
              <w:top w:w="57" w:type="dxa"/>
              <w:left w:w="57" w:type="dxa"/>
              <w:bottom w:w="57" w:type="dxa"/>
              <w:right w:w="57" w:type="dxa"/>
            </w:tcMar>
            <w:tmTcPr id="1766737683" protected="0"/>
          </w:tcPr>
          <w:p>
            <w:pPr/>
            <w:r>
              <w:t>Schwarzwurzel</w:t>
            </w:r>
          </w:p>
        </w:tc>
        <w:tc>
          <w:tcPr>
            <w:tcW w:w="2268" w:type="dxa"/>
            <w:tcMar>
              <w:top w:w="57" w:type="dxa"/>
              <w:left w:w="57" w:type="dxa"/>
              <w:bottom w:w="57" w:type="dxa"/>
              <w:right w:w="567" w:type="dxa"/>
            </w:tcMar>
            <w:tmTcPr id="1766737683" protected="0"/>
          </w:tcPr>
          <w:p>
            <w:pPr>
              <w:spacing/>
              <w:jc w:val="right"/>
            </w:pPr>
            <w:r>
              <w:t>3,3 mg</w:t>
            </w:r>
          </w:p>
        </w:tc>
        <w:tc>
          <w:tcPr>
            <w:tcW w:w="2472" w:type="dxa"/>
            <w:tcMar>
              <w:top w:w="57" w:type="dxa"/>
              <w:left w:w="57" w:type="dxa"/>
              <w:bottom w:w="57" w:type="dxa"/>
              <w:right w:w="567" w:type="dxa"/>
            </w:tcMar>
            <w:tmTcPr id="1766737683" protected="0"/>
          </w:tcPr>
          <w:p>
            <w:pPr>
              <w:spacing/>
              <w:jc w:val="right"/>
            </w:pPr>
            <w:r>
              <w:t>450 g</w:t>
            </w:r>
          </w:p>
        </w:tc>
      </w:tr>
      <w:tr>
        <w:trPr>
          <w:tblHeader w:val="0"/>
          <w:cantSplit w:val="0"/>
          <w:trHeight w:val="0" w:hRule="auto"/>
        </w:trPr>
        <w:tc>
          <w:tcPr>
            <w:tcW w:w="3626" w:type="dxa"/>
            <w:tcMar>
              <w:top w:w="57" w:type="dxa"/>
              <w:left w:w="57" w:type="dxa"/>
              <w:bottom w:w="57" w:type="dxa"/>
              <w:right w:w="57" w:type="dxa"/>
            </w:tcMar>
            <w:tmTcPr id="1766737683" protected="0"/>
          </w:tcPr>
          <w:p>
            <w:pPr/>
            <w:r>
              <w:t>Spinat</w:t>
            </w:r>
          </w:p>
        </w:tc>
        <w:tc>
          <w:tcPr>
            <w:tcW w:w="2268" w:type="dxa"/>
            <w:tcMar>
              <w:top w:w="57" w:type="dxa"/>
              <w:left w:w="57" w:type="dxa"/>
              <w:bottom w:w="57" w:type="dxa"/>
              <w:right w:w="567" w:type="dxa"/>
            </w:tcMar>
            <w:tmTcPr id="1766737683" protected="0"/>
          </w:tcPr>
          <w:p>
            <w:pPr>
              <w:spacing/>
              <w:jc w:val="right"/>
            </w:pPr>
            <w:r>
              <w:t>2,7 mg</w:t>
            </w:r>
          </w:p>
        </w:tc>
        <w:tc>
          <w:tcPr>
            <w:tcW w:w="2472" w:type="dxa"/>
            <w:tcMar>
              <w:top w:w="57" w:type="dxa"/>
              <w:left w:w="57" w:type="dxa"/>
              <w:bottom w:w="57" w:type="dxa"/>
              <w:right w:w="567" w:type="dxa"/>
            </w:tcMar>
            <w:tmTcPr id="1766737683" protected="0"/>
          </w:tcPr>
          <w:p>
            <w:pPr>
              <w:spacing/>
              <w:jc w:val="right"/>
            </w:pPr>
            <w:r>
              <w:t>555 g</w:t>
            </w:r>
          </w:p>
        </w:tc>
      </w:tr>
      <w:tr>
        <w:trPr>
          <w:tblHeader w:val="0"/>
          <w:cantSplit w:val="0"/>
          <w:trHeight w:val="0" w:hRule="auto"/>
        </w:trPr>
        <w:tc>
          <w:tcPr>
            <w:tcW w:w="3626" w:type="dxa"/>
            <w:tcMar>
              <w:top w:w="57" w:type="dxa"/>
              <w:left w:w="57" w:type="dxa"/>
              <w:bottom w:w="57" w:type="dxa"/>
              <w:right w:w="57" w:type="dxa"/>
            </w:tcMar>
            <w:tmTcPr id="1766737683" protected="0"/>
          </w:tcPr>
          <w:p>
            <w:pPr/>
            <w:r>
              <w:t>Erbsen grün</w:t>
            </w:r>
          </w:p>
        </w:tc>
        <w:tc>
          <w:tcPr>
            <w:tcW w:w="2268" w:type="dxa"/>
            <w:tcMar>
              <w:top w:w="57" w:type="dxa"/>
              <w:left w:w="57" w:type="dxa"/>
              <w:bottom w:w="57" w:type="dxa"/>
              <w:right w:w="567" w:type="dxa"/>
            </w:tcMar>
            <w:tmTcPr id="1766737683" protected="0"/>
          </w:tcPr>
          <w:p>
            <w:pPr>
              <w:spacing/>
              <w:jc w:val="right"/>
            </w:pPr>
            <w:r>
              <w:t>1,9 mg</w:t>
            </w:r>
          </w:p>
        </w:tc>
        <w:tc>
          <w:tcPr>
            <w:tcW w:w="2472" w:type="dxa"/>
            <w:tcMar>
              <w:top w:w="57" w:type="dxa"/>
              <w:left w:w="57" w:type="dxa"/>
              <w:bottom w:w="57" w:type="dxa"/>
              <w:right w:w="567" w:type="dxa"/>
            </w:tcMar>
            <w:tmTcPr id="1766737683" protected="0"/>
          </w:tcPr>
          <w:p>
            <w:pPr>
              <w:spacing/>
              <w:jc w:val="right"/>
            </w:pPr>
            <w:r>
              <w:t>790 g</w:t>
            </w:r>
          </w:p>
        </w:tc>
      </w:tr>
      <w:tr>
        <w:trPr>
          <w:tblHeader w:val="0"/>
          <w:cantSplit w:val="0"/>
          <w:trHeight w:val="0" w:hRule="auto"/>
        </w:trPr>
        <w:tc>
          <w:tcPr>
            <w:tcW w:w="3626" w:type="dxa"/>
            <w:tcMar>
              <w:top w:w="57" w:type="dxa"/>
              <w:left w:w="57" w:type="dxa"/>
              <w:bottom w:w="57" w:type="dxa"/>
              <w:right w:w="57" w:type="dxa"/>
            </w:tcMar>
            <w:tmTcPr id="1766737683" protected="0"/>
          </w:tcPr>
          <w:p>
            <w:pPr/>
            <w:r>
              <w:t>Kopfsalat, grüne Bohnen</w:t>
            </w:r>
          </w:p>
        </w:tc>
        <w:tc>
          <w:tcPr>
            <w:tcW w:w="2268" w:type="dxa"/>
            <w:tcMar>
              <w:top w:w="57" w:type="dxa"/>
              <w:left w:w="57" w:type="dxa"/>
              <w:bottom w:w="57" w:type="dxa"/>
              <w:right w:w="567" w:type="dxa"/>
            </w:tcMar>
            <w:tmTcPr id="1766737683" protected="0"/>
          </w:tcPr>
          <w:p>
            <w:pPr>
              <w:spacing/>
              <w:jc w:val="right"/>
            </w:pPr>
            <w:r>
              <w:t>1 mg</w:t>
            </w:r>
          </w:p>
        </w:tc>
        <w:tc>
          <w:tcPr>
            <w:tcW w:w="2472" w:type="dxa"/>
            <w:tcMar>
              <w:top w:w="57" w:type="dxa"/>
              <w:left w:w="57" w:type="dxa"/>
              <w:bottom w:w="57" w:type="dxa"/>
              <w:right w:w="567" w:type="dxa"/>
            </w:tcMar>
            <w:tmTcPr id="1766737683" protected="0"/>
          </w:tcPr>
          <w:p>
            <w:pPr>
              <w:spacing/>
              <w:jc w:val="right"/>
            </w:pPr>
            <w:r>
              <w:t>1.500 g</w:t>
            </w:r>
          </w:p>
        </w:tc>
      </w:tr>
      <w:tr>
        <w:trPr>
          <w:tblHeader w:val="0"/>
          <w:cantSplit w:val="0"/>
          <w:trHeight w:val="0" w:hRule="auto"/>
        </w:trPr>
        <w:tc>
          <w:tcPr>
            <w:tcW w:w="3626" w:type="dxa"/>
            <w:tcMar>
              <w:top w:w="57" w:type="dxa"/>
              <w:left w:w="57" w:type="dxa"/>
              <w:bottom w:w="57" w:type="dxa"/>
              <w:right w:w="57" w:type="dxa"/>
            </w:tcMar>
            <w:tmTcPr id="1766737683" protected="0"/>
          </w:tcPr>
          <w:p>
            <w:pPr/>
            <w:r>
              <w:t>Champignons, Steinpilze</w:t>
            </w:r>
          </w:p>
        </w:tc>
        <w:tc>
          <w:tcPr>
            <w:tcW w:w="2268" w:type="dxa"/>
            <w:tcMar>
              <w:top w:w="57" w:type="dxa"/>
              <w:left w:w="57" w:type="dxa"/>
              <w:bottom w:w="57" w:type="dxa"/>
              <w:right w:w="567" w:type="dxa"/>
            </w:tcMar>
            <w:tmTcPr id="1766737683" protected="0"/>
          </w:tcPr>
          <w:p>
            <w:pPr>
              <w:spacing/>
              <w:jc w:val="right"/>
            </w:pPr>
            <w:r>
              <w:t>1 mg</w:t>
            </w:r>
          </w:p>
        </w:tc>
        <w:tc>
          <w:tcPr>
            <w:tcW w:w="2472" w:type="dxa"/>
            <w:tcMar>
              <w:top w:w="57" w:type="dxa"/>
              <w:left w:w="57" w:type="dxa"/>
              <w:bottom w:w="57" w:type="dxa"/>
              <w:right w:w="567" w:type="dxa"/>
            </w:tcMar>
            <w:tmTcPr id="1766737683" protected="0"/>
          </w:tcPr>
          <w:p>
            <w:pPr>
              <w:spacing/>
              <w:jc w:val="right"/>
            </w:pPr>
            <w:r>
              <w:t>1.500 g</w:t>
            </w:r>
          </w:p>
        </w:tc>
      </w:tr>
      <w:tr>
        <w:trPr>
          <w:tblHeader w:val="0"/>
          <w:cantSplit w:val="0"/>
          <w:trHeight w:val="0" w:hRule="auto"/>
        </w:trPr>
        <w:tc>
          <w:tcPr>
            <w:tcW w:w="3626" w:type="dxa"/>
            <w:tcMar>
              <w:top w:w="57" w:type="dxa"/>
              <w:left w:w="57" w:type="dxa"/>
              <w:bottom w:w="57" w:type="dxa"/>
              <w:right w:w="57" w:type="dxa"/>
            </w:tcMar>
            <w:tmTcPr id="1766737683" protected="0"/>
          </w:tcPr>
          <w:p>
            <w:pPr/>
            <w:r>
              <w:t>Lauch, Spargel</w:t>
            </w:r>
          </w:p>
        </w:tc>
        <w:tc>
          <w:tcPr>
            <w:tcW w:w="2268" w:type="dxa"/>
            <w:tcMar>
              <w:top w:w="57" w:type="dxa"/>
              <w:left w:w="57" w:type="dxa"/>
              <w:bottom w:w="57" w:type="dxa"/>
              <w:right w:w="567" w:type="dxa"/>
            </w:tcMar>
            <w:tmTcPr id="1766737683" protected="0"/>
          </w:tcPr>
          <w:p>
            <w:pPr>
              <w:spacing/>
              <w:jc w:val="right"/>
            </w:pPr>
            <w:r>
              <w:t>0,9 mg</w:t>
            </w:r>
          </w:p>
        </w:tc>
        <w:tc>
          <w:tcPr>
            <w:tcW w:w="2472" w:type="dxa"/>
            <w:tcMar>
              <w:top w:w="57" w:type="dxa"/>
              <w:left w:w="57" w:type="dxa"/>
              <w:bottom w:w="57" w:type="dxa"/>
              <w:right w:w="567" w:type="dxa"/>
            </w:tcMar>
            <w:tmTcPr id="1766737683" protected="0"/>
          </w:tcPr>
          <w:p>
            <w:pPr>
              <w:spacing/>
              <w:jc w:val="right"/>
            </w:pPr>
            <w:r>
              <w:t>1.666 g</w:t>
            </w:r>
          </w:p>
        </w:tc>
      </w:tr>
      <w:tr>
        <w:trPr>
          <w:tblHeader w:val="0"/>
          <w:cantSplit w:val="0"/>
          <w:trHeight w:val="0" w:hRule="auto"/>
        </w:trPr>
        <w:tc>
          <w:tcPr>
            <w:tcW w:w="3626" w:type="dxa"/>
            <w:tcMar>
              <w:top w:w="57" w:type="dxa"/>
              <w:left w:w="57" w:type="dxa"/>
              <w:bottom w:w="57" w:type="dxa"/>
              <w:right w:w="57" w:type="dxa"/>
            </w:tcMar>
            <w:tmTcPr id="1766737683" protected="0"/>
          </w:tcPr>
          <w:p>
            <w:pPr/>
            <w:r>
              <w:t>Karfiol, Kohlrabi</w:t>
            </w:r>
          </w:p>
        </w:tc>
        <w:tc>
          <w:tcPr>
            <w:tcW w:w="2268" w:type="dxa"/>
            <w:tcMar>
              <w:top w:w="57" w:type="dxa"/>
              <w:left w:w="57" w:type="dxa"/>
              <w:bottom w:w="57" w:type="dxa"/>
              <w:right w:w="567" w:type="dxa"/>
            </w:tcMar>
            <w:tmTcPr id="1766737683" protected="0"/>
          </w:tcPr>
          <w:p>
            <w:pPr>
              <w:spacing/>
              <w:jc w:val="right"/>
            </w:pPr>
            <w:r>
              <w:t>0,5 mg</w:t>
            </w:r>
          </w:p>
        </w:tc>
        <w:tc>
          <w:tcPr>
            <w:tcW w:w="2472" w:type="dxa"/>
            <w:tcMar>
              <w:top w:w="57" w:type="dxa"/>
              <w:left w:w="57" w:type="dxa"/>
              <w:bottom w:w="57" w:type="dxa"/>
              <w:right w:w="567" w:type="dxa"/>
            </w:tcMar>
            <w:tmTcPr id="1766737683" protected="0"/>
          </w:tcPr>
          <w:p>
            <w:pPr>
              <w:spacing/>
              <w:jc w:val="right"/>
            </w:pPr>
            <w:r>
              <w:t>3.000 g</w:t>
            </w:r>
          </w:p>
        </w:tc>
      </w:tr>
      <w:tr>
        <w:trPr>
          <w:tblHeader w:val="0"/>
          <w:cantSplit w:val="0"/>
          <w:trHeight w:val="0" w:hRule="auto"/>
        </w:trPr>
        <w:tc>
          <w:tcPr>
            <w:tcW w:w="3626" w:type="dxa"/>
            <w:tcMar>
              <w:top w:w="57" w:type="dxa"/>
              <w:left w:w="57" w:type="dxa"/>
              <w:bottom w:w="57" w:type="dxa"/>
              <w:right w:w="57" w:type="dxa"/>
            </w:tcMar>
            <w:tmTcPr id="1766737683" protected="0"/>
          </w:tcPr>
          <w:p>
            <w:pPr/>
            <w:r>
              <w:t>Rotkohl, Sauerkraut</w:t>
            </w:r>
          </w:p>
        </w:tc>
        <w:tc>
          <w:tcPr>
            <w:tcW w:w="2268" w:type="dxa"/>
            <w:tcMar>
              <w:top w:w="57" w:type="dxa"/>
              <w:left w:w="57" w:type="dxa"/>
              <w:bottom w:w="57" w:type="dxa"/>
              <w:right w:w="567" w:type="dxa"/>
            </w:tcMar>
            <w:tmTcPr id="1766737683" protected="0"/>
          </w:tcPr>
          <w:p>
            <w:pPr>
              <w:spacing/>
              <w:jc w:val="right"/>
            </w:pPr>
            <w:r>
              <w:t>0,5 mg</w:t>
            </w:r>
          </w:p>
        </w:tc>
        <w:tc>
          <w:tcPr>
            <w:tcW w:w="2472" w:type="dxa"/>
            <w:tcMar>
              <w:top w:w="57" w:type="dxa"/>
              <w:left w:w="57" w:type="dxa"/>
              <w:bottom w:w="57" w:type="dxa"/>
              <w:right w:w="567" w:type="dxa"/>
            </w:tcMar>
            <w:tmTcPr id="1766737683" protected="0"/>
          </w:tcPr>
          <w:p>
            <w:pPr>
              <w:spacing/>
              <w:jc w:val="right"/>
            </w:pPr>
            <w:r>
              <w:t>3.000 g</w:t>
            </w:r>
          </w:p>
        </w:tc>
      </w:tr>
      <w:tr>
        <w:trPr>
          <w:tblHeader w:val="0"/>
          <w:cantSplit w:val="0"/>
          <w:trHeight w:val="0" w:hRule="auto"/>
        </w:trPr>
        <w:tc>
          <w:tcPr>
            <w:tcW w:w="3626" w:type="dxa"/>
            <w:tcMar>
              <w:top w:w="57" w:type="dxa"/>
              <w:left w:w="57" w:type="dxa"/>
              <w:bottom w:w="57" w:type="dxa"/>
              <w:right w:w="57" w:type="dxa"/>
            </w:tcMar>
            <w:tmTcPr id="1766737683" protected="0"/>
          </w:tcPr>
          <w:p>
            <w:pPr/>
            <w:r>
              <w:t>Tomaten</w:t>
            </w:r>
          </w:p>
        </w:tc>
        <w:tc>
          <w:tcPr>
            <w:tcW w:w="2268" w:type="dxa"/>
            <w:tcMar>
              <w:top w:w="57" w:type="dxa"/>
              <w:left w:w="57" w:type="dxa"/>
              <w:bottom w:w="57" w:type="dxa"/>
              <w:right w:w="567" w:type="dxa"/>
            </w:tcMar>
            <w:tmTcPr id="1766737683" protected="0"/>
          </w:tcPr>
          <w:p>
            <w:pPr>
              <w:spacing/>
              <w:jc w:val="right"/>
            </w:pPr>
            <w:r>
              <w:t>0,5 mg</w:t>
            </w:r>
          </w:p>
        </w:tc>
        <w:tc>
          <w:tcPr>
            <w:tcW w:w="2472" w:type="dxa"/>
            <w:tcMar>
              <w:top w:w="57" w:type="dxa"/>
              <w:left w:w="57" w:type="dxa"/>
              <w:bottom w:w="57" w:type="dxa"/>
              <w:right w:w="567" w:type="dxa"/>
            </w:tcMar>
            <w:tmTcPr id="1766737683" protected="0"/>
          </w:tcPr>
          <w:p>
            <w:pPr>
              <w:spacing/>
              <w:jc w:val="right"/>
            </w:pPr>
            <w:r>
              <w:t>3.750 g</w:t>
            </w:r>
          </w:p>
        </w:tc>
      </w:tr>
      <w:tr>
        <w:trPr>
          <w:tblHeader w:val="0"/>
          <w:cantSplit w:val="0"/>
          <w:trHeight w:val="0" w:hRule="auto"/>
        </w:trPr>
        <w:tc>
          <w:tcPr>
            <w:tcW w:w="3626" w:type="dxa"/>
            <w:tcMar>
              <w:top w:w="57" w:type="dxa"/>
              <w:left w:w="57" w:type="dxa"/>
              <w:bottom w:w="57" w:type="dxa"/>
              <w:right w:w="57" w:type="dxa"/>
            </w:tcMar>
            <w:tmTcPr id="1766737683" protected="0"/>
          </w:tcPr>
          <w:p>
            <w:pPr/>
            <w:r>
              <w:t>Kartoffeln</w:t>
            </w:r>
          </w:p>
        </w:tc>
        <w:tc>
          <w:tcPr>
            <w:tcW w:w="2268" w:type="dxa"/>
            <w:tcMar>
              <w:top w:w="57" w:type="dxa"/>
              <w:left w:w="57" w:type="dxa"/>
              <w:bottom w:w="57" w:type="dxa"/>
              <w:right w:w="567" w:type="dxa"/>
            </w:tcMar>
            <w:tmTcPr id="1766737683" protected="0"/>
          </w:tcPr>
          <w:p>
            <w:pPr>
              <w:spacing/>
              <w:jc w:val="right"/>
            </w:pPr>
            <w:r>
              <w:t>0,3 mg</w:t>
            </w:r>
          </w:p>
        </w:tc>
        <w:tc>
          <w:tcPr>
            <w:tcW w:w="2472" w:type="dxa"/>
            <w:tcMar>
              <w:top w:w="57" w:type="dxa"/>
              <w:left w:w="57" w:type="dxa"/>
              <w:bottom w:w="57" w:type="dxa"/>
              <w:right w:w="567" w:type="dxa"/>
            </w:tcMar>
            <w:tmTcPr id="1766737683" protected="0"/>
          </w:tcPr>
          <w:p>
            <w:pPr>
              <w:spacing/>
              <w:jc w:val="right"/>
            </w:pPr>
            <w:r>
              <w:t>5.000 g</w:t>
            </w:r>
          </w:p>
        </w:tc>
      </w:tr>
      <w:tr>
        <w:trPr>
          <w:tblHeader w:val="0"/>
          <w:cantSplit w:val="0"/>
          <w:trHeight w:val="0" w:hRule="auto"/>
        </w:trPr>
        <w:tc>
          <w:tcPr>
            <w:tcW w:w="3626" w:type="dxa"/>
            <w:shd w:val="solid" w:color="F0F0E0" tmshd="1477181696, 32639, 16777215"/>
            <w:tcMar>
              <w:top w:w="57" w:type="dxa"/>
              <w:left w:w="57" w:type="dxa"/>
              <w:bottom w:w="57" w:type="dxa"/>
              <w:right w:w="57" w:type="dxa"/>
            </w:tcMar>
            <w:tmTcPr id="1766737683" protected="0"/>
          </w:tcPr>
          <w:p>
            <w:pPr>
              <w:spacing/>
              <w:jc w:val="left"/>
              <w:rPr>
                <w:color w:val="0000ff"/>
              </w:rPr>
            </w:pPr>
            <w:r>
              <w:rPr>
                <w:color w:val="0000ff"/>
              </w:rPr>
              <w:t>FISCH &amp; MEERES­FRÜCHTE</w:t>
            </w:r>
          </w:p>
        </w:tc>
        <w:tc>
          <w:tcPr>
            <w:tcW w:w="2268" w:type="dxa"/>
            <w:tcMar>
              <w:top w:w="57" w:type="dxa"/>
              <w:left w:w="57" w:type="dxa"/>
              <w:bottom w:w="57" w:type="dxa"/>
              <w:right w:w="57" w:type="dxa"/>
            </w:tcMar>
            <w:tmTcPr id="1766737683" protected="0"/>
          </w:tcPr>
          <w:p>
            <w:pPr/>
            <w:r/>
          </w:p>
        </w:tc>
        <w:tc>
          <w:tcPr>
            <w:tcW w:w="2472" w:type="dxa"/>
            <w:tcMar>
              <w:top w:w="57" w:type="dxa"/>
              <w:left w:w="57" w:type="dxa"/>
              <w:bottom w:w="57" w:type="dxa"/>
              <w:right w:w="57" w:type="dxa"/>
            </w:tcMar>
            <w:tmTcPr id="1766737683" protected="0"/>
          </w:tcPr>
          <w:p>
            <w:pPr/>
            <w:r/>
          </w:p>
        </w:tc>
      </w:tr>
      <w:tr>
        <w:trPr>
          <w:tblHeader w:val="0"/>
          <w:cantSplit w:val="0"/>
          <w:trHeight w:val="0" w:hRule="auto"/>
        </w:trPr>
        <w:tc>
          <w:tcPr>
            <w:tcW w:w="3626" w:type="dxa"/>
            <w:tcMar>
              <w:top w:w="57" w:type="dxa"/>
              <w:left w:w="57" w:type="dxa"/>
              <w:bottom w:w="57" w:type="dxa"/>
              <w:right w:w="57" w:type="dxa"/>
            </w:tcMar>
            <w:tmTcPr id="1766737683" protected="0"/>
          </w:tcPr>
          <w:p>
            <w:pPr/>
            <w:r>
              <w:t>Austern</w:t>
            </w:r>
          </w:p>
        </w:tc>
        <w:tc>
          <w:tcPr>
            <w:tcW w:w="2268" w:type="dxa"/>
            <w:tcMar>
              <w:top w:w="57" w:type="dxa"/>
              <w:left w:w="57" w:type="dxa"/>
              <w:bottom w:w="57" w:type="dxa"/>
              <w:right w:w="567" w:type="dxa"/>
            </w:tcMar>
            <w:tmTcPr id="1766737683" protected="0"/>
          </w:tcPr>
          <w:p>
            <w:pPr>
              <w:spacing/>
              <w:jc w:val="right"/>
            </w:pPr>
            <w:r>
              <w:t>5,8 mg</w:t>
            </w:r>
          </w:p>
        </w:tc>
        <w:tc>
          <w:tcPr>
            <w:tcW w:w="2472" w:type="dxa"/>
            <w:tcMar>
              <w:top w:w="57" w:type="dxa"/>
              <w:left w:w="57" w:type="dxa"/>
              <w:bottom w:w="57" w:type="dxa"/>
              <w:right w:w="567" w:type="dxa"/>
            </w:tcMar>
            <w:tmTcPr id="1766737683" protected="0"/>
          </w:tcPr>
          <w:p>
            <w:pPr>
              <w:spacing/>
              <w:jc w:val="right"/>
            </w:pPr>
            <w:r>
              <w:t>260 g</w:t>
            </w:r>
          </w:p>
        </w:tc>
      </w:tr>
      <w:tr>
        <w:trPr>
          <w:tblHeader w:val="0"/>
          <w:cantSplit w:val="0"/>
          <w:trHeight w:val="0" w:hRule="auto"/>
        </w:trPr>
        <w:tc>
          <w:tcPr>
            <w:tcW w:w="3626" w:type="dxa"/>
            <w:tcMar>
              <w:top w:w="57" w:type="dxa"/>
              <w:left w:w="57" w:type="dxa"/>
              <w:bottom w:w="57" w:type="dxa"/>
              <w:right w:w="57" w:type="dxa"/>
            </w:tcMar>
            <w:tmTcPr id="1766737683" protected="0"/>
          </w:tcPr>
          <w:p>
            <w:pPr/>
            <w:r>
              <w:t>Ölsardinen</w:t>
            </w:r>
          </w:p>
        </w:tc>
        <w:tc>
          <w:tcPr>
            <w:tcW w:w="2268" w:type="dxa"/>
            <w:tcMar>
              <w:top w:w="57" w:type="dxa"/>
              <w:left w:w="57" w:type="dxa"/>
              <w:bottom w:w="57" w:type="dxa"/>
              <w:right w:w="567" w:type="dxa"/>
            </w:tcMar>
            <w:tmTcPr id="1766737683" protected="0"/>
          </w:tcPr>
          <w:p>
            <w:pPr>
              <w:spacing/>
              <w:jc w:val="right"/>
            </w:pPr>
            <w:r>
              <w:t>2,5 mg</w:t>
            </w:r>
          </w:p>
        </w:tc>
        <w:tc>
          <w:tcPr>
            <w:tcW w:w="2472" w:type="dxa"/>
            <w:tcMar>
              <w:top w:w="57" w:type="dxa"/>
              <w:left w:w="57" w:type="dxa"/>
              <w:bottom w:w="57" w:type="dxa"/>
              <w:right w:w="567" w:type="dxa"/>
            </w:tcMar>
            <w:tmTcPr id="1766737683" protected="0"/>
          </w:tcPr>
          <w:p>
            <w:pPr>
              <w:spacing/>
              <w:jc w:val="right"/>
            </w:pPr>
            <w:r>
              <w:t>600 g</w:t>
            </w:r>
          </w:p>
        </w:tc>
      </w:tr>
      <w:tr>
        <w:trPr>
          <w:tblHeader w:val="0"/>
          <w:cantSplit w:val="0"/>
          <w:trHeight w:val="0" w:hRule="auto"/>
        </w:trPr>
        <w:tc>
          <w:tcPr>
            <w:tcW w:w="3626" w:type="dxa"/>
            <w:tcMar>
              <w:top w:w="57" w:type="dxa"/>
              <w:left w:w="57" w:type="dxa"/>
              <w:bottom w:w="57" w:type="dxa"/>
              <w:right w:w="57" w:type="dxa"/>
            </w:tcMar>
            <w:tmTcPr id="1766737683" protected="0"/>
          </w:tcPr>
          <w:p>
            <w:pPr/>
            <w:r>
              <w:t>Seelachs</w:t>
            </w:r>
          </w:p>
        </w:tc>
        <w:tc>
          <w:tcPr>
            <w:tcW w:w="2268" w:type="dxa"/>
            <w:tcMar>
              <w:top w:w="57" w:type="dxa"/>
              <w:left w:w="57" w:type="dxa"/>
              <w:bottom w:w="57" w:type="dxa"/>
              <w:right w:w="567" w:type="dxa"/>
            </w:tcMar>
            <w:tmTcPr id="1766737683" protected="0"/>
          </w:tcPr>
          <w:p>
            <w:pPr>
              <w:spacing/>
              <w:jc w:val="right"/>
            </w:pPr>
            <w:r>
              <w:t>0,2 mg</w:t>
            </w:r>
          </w:p>
        </w:tc>
        <w:tc>
          <w:tcPr>
            <w:tcW w:w="2472" w:type="dxa"/>
            <w:tcMar>
              <w:top w:w="57" w:type="dxa"/>
              <w:left w:w="57" w:type="dxa"/>
              <w:bottom w:w="57" w:type="dxa"/>
              <w:right w:w="567" w:type="dxa"/>
            </w:tcMar>
            <w:tmTcPr id="1766737683" protected="0"/>
          </w:tcPr>
          <w:p>
            <w:pPr>
              <w:spacing/>
              <w:jc w:val="right"/>
            </w:pPr>
            <w:r>
              <w:t>7.500 g</w:t>
            </w:r>
          </w:p>
        </w:tc>
      </w:tr>
      <w:tr>
        <w:trPr>
          <w:tblHeader w:val="0"/>
          <w:cantSplit w:val="0"/>
          <w:trHeight w:val="0" w:hRule="auto"/>
        </w:trPr>
        <w:tc>
          <w:tcPr>
            <w:tcW w:w="3626" w:type="dxa"/>
            <w:shd w:val="solid" w:color="F0F0E0" tmshd="1477181696, 32639, 16777215"/>
            <w:tcMar>
              <w:top w:w="57" w:type="dxa"/>
              <w:left w:w="57" w:type="dxa"/>
              <w:bottom w:w="57" w:type="dxa"/>
              <w:right w:w="57" w:type="dxa"/>
            </w:tcMar>
            <w:tmTcPr id="1766737683" protected="0"/>
          </w:tcPr>
          <w:p>
            <w:pPr>
              <w:spacing/>
              <w:jc w:val="left"/>
              <w:rPr>
                <w:color w:val="0000ff"/>
              </w:rPr>
            </w:pPr>
            <w:r>
              <w:rPr>
                <w:color w:val="0000ff"/>
              </w:rPr>
              <w:t xml:space="preserve">EIER &amp; </w:t>
              <w:fldChar w:fldCharType="begin"/>
              <w:instrText xml:space="preserve">XE "Milchprodukte" \G </w:instrText>
              <w:fldChar w:fldCharType="end"/>
              <w:t>MILCH­PRODUKTE</w:t>
            </w:r>
          </w:p>
        </w:tc>
        <w:tc>
          <w:tcPr>
            <w:tcW w:w="2268" w:type="dxa"/>
            <w:tcMar>
              <w:top w:w="57" w:type="dxa"/>
              <w:left w:w="57" w:type="dxa"/>
              <w:bottom w:w="57" w:type="dxa"/>
              <w:right w:w="57" w:type="dxa"/>
            </w:tcMar>
            <w:tmTcPr id="1766737683" protected="0"/>
          </w:tcPr>
          <w:p>
            <w:pPr/>
            <w:r/>
          </w:p>
        </w:tc>
        <w:tc>
          <w:tcPr>
            <w:tcW w:w="2472" w:type="dxa"/>
            <w:tcMar>
              <w:top w:w="57" w:type="dxa"/>
              <w:left w:w="57" w:type="dxa"/>
              <w:bottom w:w="57" w:type="dxa"/>
              <w:right w:w="57" w:type="dxa"/>
            </w:tcMar>
            <w:tmTcPr id="1766737683" protected="0"/>
          </w:tcPr>
          <w:p>
            <w:pPr/>
            <w:r/>
          </w:p>
        </w:tc>
      </w:tr>
      <w:tr>
        <w:trPr>
          <w:tblHeader w:val="0"/>
          <w:cantSplit w:val="0"/>
          <w:trHeight w:val="0" w:hRule="auto"/>
        </w:trPr>
        <w:tc>
          <w:tcPr>
            <w:tcW w:w="3626" w:type="dxa"/>
            <w:tcMar>
              <w:top w:w="57" w:type="dxa"/>
              <w:left w:w="57" w:type="dxa"/>
              <w:bottom w:w="57" w:type="dxa"/>
              <w:right w:w="57" w:type="dxa"/>
            </w:tcMar>
            <w:tmTcPr id="1766737683" protected="0"/>
          </w:tcPr>
          <w:p>
            <w:pPr/>
            <w:r>
              <w:t>Eigelb</w:t>
            </w:r>
          </w:p>
        </w:tc>
        <w:tc>
          <w:tcPr>
            <w:tcW w:w="2268" w:type="dxa"/>
            <w:tcMar>
              <w:top w:w="57" w:type="dxa"/>
              <w:left w:w="57" w:type="dxa"/>
              <w:bottom w:w="57" w:type="dxa"/>
              <w:right w:w="567" w:type="dxa"/>
            </w:tcMar>
            <w:tmTcPr id="1766737683" protected="0"/>
          </w:tcPr>
          <w:p>
            <w:pPr>
              <w:spacing/>
              <w:jc w:val="right"/>
            </w:pPr>
            <w:r>
              <w:t>5,5 mg</w:t>
            </w:r>
          </w:p>
        </w:tc>
        <w:tc>
          <w:tcPr>
            <w:tcW w:w="2472" w:type="dxa"/>
            <w:tcMar>
              <w:top w:w="57" w:type="dxa"/>
              <w:left w:w="57" w:type="dxa"/>
              <w:bottom w:w="57" w:type="dxa"/>
              <w:right w:w="567" w:type="dxa"/>
            </w:tcMar>
            <w:tmTcPr id="1766737683" protected="0"/>
          </w:tcPr>
          <w:p>
            <w:pPr>
              <w:spacing/>
              <w:jc w:val="right"/>
            </w:pPr>
            <w:r>
              <w:t>272 g</w:t>
            </w:r>
          </w:p>
        </w:tc>
      </w:tr>
      <w:tr>
        <w:trPr>
          <w:tblHeader w:val="0"/>
          <w:cantSplit w:val="0"/>
          <w:trHeight w:val="0" w:hRule="auto"/>
        </w:trPr>
        <w:tc>
          <w:tcPr>
            <w:tcW w:w="3626" w:type="dxa"/>
            <w:tcMar>
              <w:top w:w="57" w:type="dxa"/>
              <w:left w:w="57" w:type="dxa"/>
              <w:bottom w:w="57" w:type="dxa"/>
              <w:right w:w="57" w:type="dxa"/>
            </w:tcMar>
            <w:tmTcPr id="1766737683" protected="0"/>
          </w:tcPr>
          <w:p>
            <w:pPr/>
            <w:r>
              <w:t>Eier (100g = 2 St.)</w:t>
            </w:r>
          </w:p>
        </w:tc>
        <w:tc>
          <w:tcPr>
            <w:tcW w:w="2268" w:type="dxa"/>
            <w:tcMar>
              <w:top w:w="57" w:type="dxa"/>
              <w:left w:w="57" w:type="dxa"/>
              <w:bottom w:w="57" w:type="dxa"/>
              <w:right w:w="567" w:type="dxa"/>
            </w:tcMar>
            <w:tmTcPr id="1766737683" protected="0"/>
          </w:tcPr>
          <w:p>
            <w:pPr>
              <w:spacing/>
              <w:jc w:val="right"/>
            </w:pPr>
            <w:r>
              <w:t>1,8 mg</w:t>
            </w:r>
          </w:p>
        </w:tc>
        <w:tc>
          <w:tcPr>
            <w:tcW w:w="2472" w:type="dxa"/>
            <w:tcMar>
              <w:top w:w="57" w:type="dxa"/>
              <w:left w:w="57" w:type="dxa"/>
              <w:bottom w:w="57" w:type="dxa"/>
              <w:right w:w="567" w:type="dxa"/>
            </w:tcMar>
            <w:tmTcPr id="1766737683" protected="0"/>
          </w:tcPr>
          <w:p>
            <w:pPr>
              <w:spacing/>
              <w:jc w:val="right"/>
            </w:pPr>
            <w:r>
              <w:t>830 g</w:t>
            </w:r>
          </w:p>
        </w:tc>
      </w:tr>
      <w:tr>
        <w:trPr>
          <w:tblHeader w:val="0"/>
          <w:cantSplit w:val="0"/>
          <w:trHeight w:val="0" w:hRule="auto"/>
        </w:trPr>
        <w:tc>
          <w:tcPr>
            <w:tcW w:w="3626" w:type="dxa"/>
            <w:tcMar>
              <w:top w:w="57" w:type="dxa"/>
              <w:left w:w="57" w:type="dxa"/>
              <w:bottom w:w="57" w:type="dxa"/>
              <w:right w:w="57" w:type="dxa"/>
            </w:tcMar>
            <w:tmTcPr id="1766737683" protected="0"/>
          </w:tcPr>
          <w:p>
            <w:pPr/>
            <w:r>
              <w:t>Sojamilch</w:t>
            </w:r>
          </w:p>
        </w:tc>
        <w:tc>
          <w:tcPr>
            <w:tcW w:w="2268" w:type="dxa"/>
            <w:tcMar>
              <w:top w:w="57" w:type="dxa"/>
              <w:left w:w="57" w:type="dxa"/>
              <w:bottom w:w="57" w:type="dxa"/>
              <w:right w:w="567" w:type="dxa"/>
            </w:tcMar>
            <w:tmTcPr id="1766737683" protected="0"/>
          </w:tcPr>
          <w:p>
            <w:pPr>
              <w:spacing/>
              <w:jc w:val="right"/>
            </w:pPr>
            <w:r>
              <w:t>0,4 mg</w:t>
            </w:r>
          </w:p>
        </w:tc>
        <w:tc>
          <w:tcPr>
            <w:tcW w:w="2472" w:type="dxa"/>
            <w:tcMar>
              <w:top w:w="57" w:type="dxa"/>
              <w:left w:w="57" w:type="dxa"/>
              <w:bottom w:w="57" w:type="dxa"/>
              <w:right w:w="567" w:type="dxa"/>
            </w:tcMar>
            <w:tmTcPr id="1766737683" protected="0"/>
          </w:tcPr>
          <w:p>
            <w:pPr>
              <w:spacing/>
              <w:jc w:val="right"/>
            </w:pPr>
            <w:r>
              <w:t>3.750 g</w:t>
            </w:r>
          </w:p>
        </w:tc>
      </w:tr>
      <w:tr>
        <w:trPr>
          <w:tblHeader w:val="0"/>
          <w:cantSplit w:val="0"/>
          <w:trHeight w:val="0" w:hRule="auto"/>
        </w:trPr>
        <w:tc>
          <w:tcPr>
            <w:tcW w:w="3626" w:type="dxa"/>
            <w:tcMar>
              <w:top w:w="57" w:type="dxa"/>
              <w:left w:w="57" w:type="dxa"/>
              <w:bottom w:w="57" w:type="dxa"/>
              <w:right w:w="57" w:type="dxa"/>
            </w:tcMar>
            <w:tmTcPr id="1766737683" protected="0"/>
          </w:tcPr>
          <w:p>
            <w:pPr/>
            <w:r>
              <w:t>Schnittkäse</w:t>
            </w:r>
          </w:p>
        </w:tc>
        <w:tc>
          <w:tcPr>
            <w:tcW w:w="2268" w:type="dxa"/>
            <w:tcMar>
              <w:top w:w="57" w:type="dxa"/>
              <w:left w:w="57" w:type="dxa"/>
              <w:bottom w:w="57" w:type="dxa"/>
              <w:right w:w="567" w:type="dxa"/>
            </w:tcMar>
            <w:tmTcPr id="1766737683" protected="0"/>
          </w:tcPr>
          <w:p>
            <w:pPr>
              <w:spacing/>
              <w:jc w:val="right"/>
            </w:pPr>
            <w:r>
              <w:t>0,3 mg</w:t>
            </w:r>
          </w:p>
        </w:tc>
        <w:tc>
          <w:tcPr>
            <w:tcW w:w="2472" w:type="dxa"/>
            <w:tcMar>
              <w:top w:w="57" w:type="dxa"/>
              <w:left w:w="57" w:type="dxa"/>
              <w:bottom w:w="57" w:type="dxa"/>
              <w:right w:w="567" w:type="dxa"/>
            </w:tcMar>
            <w:tmTcPr id="1766737683" protected="0"/>
          </w:tcPr>
          <w:p>
            <w:pPr>
              <w:spacing/>
              <w:jc w:val="right"/>
            </w:pPr>
            <w:r>
              <w:t>5.000 g</w:t>
            </w:r>
          </w:p>
        </w:tc>
      </w:tr>
      <w:tr>
        <w:trPr>
          <w:tblHeader w:val="0"/>
          <w:cantSplit w:val="0"/>
          <w:trHeight w:val="0" w:hRule="auto"/>
        </w:trPr>
        <w:tc>
          <w:tcPr>
            <w:tcW w:w="3626" w:type="dxa"/>
            <w:tcMar>
              <w:top w:w="57" w:type="dxa"/>
              <w:left w:w="57" w:type="dxa"/>
              <w:bottom w:w="57" w:type="dxa"/>
              <w:right w:w="57" w:type="dxa"/>
            </w:tcMar>
            <w:tmTcPr id="1766737683" protected="0"/>
          </w:tcPr>
          <w:p>
            <w:pPr/>
            <w:r>
              <w:t>Weichkäse</w:t>
            </w:r>
          </w:p>
        </w:tc>
        <w:tc>
          <w:tcPr>
            <w:tcW w:w="2268" w:type="dxa"/>
            <w:tcMar>
              <w:top w:w="57" w:type="dxa"/>
              <w:left w:w="57" w:type="dxa"/>
              <w:bottom w:w="57" w:type="dxa"/>
              <w:right w:w="567" w:type="dxa"/>
            </w:tcMar>
            <w:tmTcPr id="1766737683" protected="0"/>
          </w:tcPr>
          <w:p>
            <w:pPr>
              <w:spacing/>
              <w:jc w:val="right"/>
            </w:pPr>
            <w:r>
              <w:t>0,2 mg</w:t>
            </w:r>
          </w:p>
        </w:tc>
        <w:tc>
          <w:tcPr>
            <w:tcW w:w="2472" w:type="dxa"/>
            <w:tcMar>
              <w:top w:w="57" w:type="dxa"/>
              <w:left w:w="57" w:type="dxa"/>
              <w:bottom w:w="57" w:type="dxa"/>
              <w:right w:w="567" w:type="dxa"/>
            </w:tcMar>
            <w:tmTcPr id="1766737683" protected="0"/>
          </w:tcPr>
          <w:p>
            <w:pPr>
              <w:spacing/>
              <w:jc w:val="right"/>
            </w:pPr>
            <w:r>
              <w:t>7.500 g</w:t>
            </w:r>
          </w:p>
        </w:tc>
      </w:tr>
      <w:tr>
        <w:trPr>
          <w:tblHeader w:val="0"/>
          <w:cantSplit w:val="0"/>
          <w:trHeight w:val="0" w:hRule="auto"/>
        </w:trPr>
        <w:tc>
          <w:tcPr>
            <w:tcW w:w="3626" w:type="dxa"/>
            <w:tcMar>
              <w:top w:w="57" w:type="dxa"/>
              <w:left w:w="57" w:type="dxa"/>
              <w:bottom w:w="57" w:type="dxa"/>
              <w:right w:w="57" w:type="dxa"/>
            </w:tcMar>
            <w:tmTcPr id="1766737683" protected="0"/>
          </w:tcPr>
          <w:p>
            <w:pPr/>
            <w:r>
              <w:t>Milch, Joghurt, Rahm</w:t>
            </w:r>
          </w:p>
        </w:tc>
        <w:tc>
          <w:tcPr>
            <w:tcW w:w="2268" w:type="dxa"/>
            <w:tcMar>
              <w:top w:w="57" w:type="dxa"/>
              <w:left w:w="57" w:type="dxa"/>
              <w:bottom w:w="57" w:type="dxa"/>
              <w:right w:w="567" w:type="dxa"/>
            </w:tcMar>
            <w:tmTcPr id="1766737683" protected="0"/>
          </w:tcPr>
          <w:p>
            <w:pPr>
              <w:spacing/>
              <w:jc w:val="right"/>
            </w:pPr>
            <w:r>
              <w:t>0,1 mg</w:t>
            </w:r>
          </w:p>
        </w:tc>
        <w:tc>
          <w:tcPr>
            <w:tcW w:w="2472" w:type="dxa"/>
            <w:tcMar>
              <w:top w:w="57" w:type="dxa"/>
              <w:left w:w="57" w:type="dxa"/>
              <w:bottom w:w="57" w:type="dxa"/>
              <w:right w:w="567" w:type="dxa"/>
            </w:tcMar>
            <w:tmTcPr id="1766737683" protected="0"/>
          </w:tcPr>
          <w:p>
            <w:pPr>
              <w:spacing/>
              <w:jc w:val="right"/>
            </w:pPr>
            <w:r>
              <w:t>15.000 g</w:t>
            </w:r>
          </w:p>
        </w:tc>
      </w:tr>
      <w:tr>
        <w:trPr>
          <w:tblHeader w:val="0"/>
          <w:cantSplit w:val="0"/>
          <w:trHeight w:val="0" w:hRule="auto"/>
        </w:trPr>
        <w:tc>
          <w:tcPr>
            <w:tcW w:w="3626" w:type="dxa"/>
            <w:tcMar>
              <w:top w:w="57" w:type="dxa"/>
              <w:left w:w="57" w:type="dxa"/>
              <w:bottom w:w="57" w:type="dxa"/>
              <w:right w:w="57" w:type="dxa"/>
            </w:tcMar>
            <w:tmTcPr id="1766737683" protected="0"/>
          </w:tcPr>
          <w:p>
            <w:pPr/>
            <w:r>
              <w:fldChar w:fldCharType="begin"/>
              <w:instrText xml:space="preserve">XE "Eiweiß" \G </w:instrText>
              <w:fldChar w:fldCharType="end"/>
              <w:t>Eiweiß</w:t>
            </w:r>
          </w:p>
        </w:tc>
        <w:tc>
          <w:tcPr>
            <w:tcW w:w="2268" w:type="dxa"/>
            <w:tcMar>
              <w:top w:w="57" w:type="dxa"/>
              <w:left w:w="57" w:type="dxa"/>
              <w:bottom w:w="57" w:type="dxa"/>
              <w:right w:w="567" w:type="dxa"/>
            </w:tcMar>
            <w:tmTcPr id="1766737683" protected="0"/>
          </w:tcPr>
          <w:p>
            <w:pPr>
              <w:spacing/>
              <w:jc w:val="right"/>
            </w:pPr>
            <w:r>
              <w:t>0,1 mg</w:t>
            </w:r>
          </w:p>
        </w:tc>
        <w:tc>
          <w:tcPr>
            <w:tcW w:w="2472" w:type="dxa"/>
            <w:tcMar>
              <w:top w:w="57" w:type="dxa"/>
              <w:left w:w="57" w:type="dxa"/>
              <w:bottom w:w="57" w:type="dxa"/>
              <w:right w:w="567" w:type="dxa"/>
            </w:tcMar>
            <w:tmTcPr id="1766737683" protected="0"/>
          </w:tcPr>
          <w:p>
            <w:pPr>
              <w:spacing/>
              <w:jc w:val="right"/>
            </w:pPr>
            <w:r>
              <w:t>15.000 g</w:t>
            </w:r>
          </w:p>
        </w:tc>
      </w:tr>
    </w:tbl>
    <w:p>
      <w:r/>
    </w:p>
    <w:p>
      <w:bookmarkStart w:id="185" w:name="_TOC000201"/>
      <w:r/>
    </w:p>
    <w:p>
      <w:pPr>
        <w:pStyle w:val="para3"/>
        <w:numPr>
          <w:ilvl w:val="2"/>
          <w:numId w:val="1"/>
        </w:numPr>
        <w:ind w:left="720" w:hanging="720"/>
      </w:pPr>
      <w:r>
        <w:br w:type="page"/>
      </w:r>
      <w:bookmarkStart w:id="186" w:name="_TOC000092"/>
      <w:r>
        <w:t>Problemstoff Oxalsäure</w:t>
      </w:r>
      <w:bookmarkEnd w:id="184"/>
      <w:r/>
      <w:bookmarkEnd w:id="185"/>
      <w:r/>
      <w:bookmarkEnd w:id="186"/>
      <w:r/>
    </w:p>
    <w:p>
      <w:bookmarkStart w:id="187" w:name="_TOC000218"/>
      <w:r>
        <w:t>Rhabarber, Mangold, Spinat enthalten hohe Mengen an Oxalsäure. Auch in Karotten, Süßkartoffeln und Kakao ist Oxalsäure enthalten.</w:t>
      </w:r>
    </w:p>
    <w:p>
      <w:r/>
    </w:p>
    <w:p>
      <w:r>
        <w:t>Der Oxalsäuregehalt von Lebensmitteln je 100 g</w:t>
      </w:r>
    </w:p>
    <w:tbl>
      <w:tblPr>
        <w:tblStyle w:val="TableGrid"/>
        <w:name w:val="Tabelle25"/>
        <w:tabOrder w:val="0"/>
        <w:jc w:val="left"/>
        <w:tblInd w:w="1701" w:type="dxa"/>
        <w:tblW w:w="5859" w:type="dxa"/>
        <w:pPr>
          <w:ind w:left="1701"/>
          <w:spacing/>
          <w:jc w:val="left"/>
        </w:pPr>
        <w:tblLook w:val="04A0" w:firstRow="1" w:lastRow="0" w:firstColumn="1" w:lastColumn="0" w:noHBand="0" w:noVBand="1"/>
      </w:tblPr>
      <w:tblGrid>
        <w:gridCol w:w="3683"/>
        <w:gridCol w:w="2176"/>
      </w:tblGrid>
      <w:tr>
        <w:trPr>
          <w:tblHeader w:val="0"/>
          <w:cantSplit w:val="0"/>
          <w:trHeight w:val="0" w:hRule="auto"/>
        </w:trPr>
        <w:tc>
          <w:tcPr>
            <w:tcW w:w="3683" w:type="dxa"/>
            <w:tcMar>
              <w:top w:w="57" w:type="dxa"/>
              <w:left w:w="57" w:type="dxa"/>
              <w:bottom w:w="57" w:type="dxa"/>
              <w:right w:w="57" w:type="dxa"/>
            </w:tcMar>
            <w:tmTcPr id="1766737683" protected="0"/>
          </w:tcPr>
          <w:p>
            <w:pPr>
              <w:spacing w:after="0" w:line="240" w:lineRule="auto"/>
              <w:rPr>
                <w:sz w:val="20"/>
                <w:szCs w:val="20"/>
              </w:rPr>
            </w:pPr>
            <w:r>
              <w:rPr>
                <w:sz w:val="20"/>
                <w:szCs w:val="20"/>
              </w:rPr>
              <w:t>Mangold</w:t>
            </w:r>
          </w:p>
        </w:tc>
        <w:tc>
          <w:tcPr>
            <w:tcW w:w="2176" w:type="dxa"/>
            <w:tcMar>
              <w:top w:w="57" w:type="dxa"/>
              <w:left w:w="57" w:type="dxa"/>
              <w:bottom w:w="57" w:type="dxa"/>
              <w:right w:w="57" w:type="dxa"/>
            </w:tcMar>
            <w:tmTcPr id="1766737683" protected="0"/>
          </w:tcPr>
          <w:p>
            <w:pPr>
              <w:spacing w:after="0" w:line="240" w:lineRule="auto"/>
              <w:rPr>
                <w:sz w:val="20"/>
                <w:szCs w:val="20"/>
              </w:rPr>
            </w:pPr>
            <w:r>
              <w:rPr>
                <w:sz w:val="20"/>
                <w:szCs w:val="20"/>
              </w:rPr>
              <w:t>650 mg</w:t>
            </w:r>
          </w:p>
        </w:tc>
      </w:tr>
      <w:tr>
        <w:trPr>
          <w:tblHeader w:val="0"/>
          <w:cantSplit w:val="0"/>
          <w:trHeight w:val="0" w:hRule="auto"/>
        </w:trPr>
        <w:tc>
          <w:tcPr>
            <w:tcW w:w="3683" w:type="dxa"/>
            <w:tcMar>
              <w:top w:w="57" w:type="dxa"/>
              <w:left w:w="57" w:type="dxa"/>
              <w:bottom w:w="57" w:type="dxa"/>
              <w:right w:w="57" w:type="dxa"/>
            </w:tcMar>
            <w:tmTcPr id="1766737683" protected="0"/>
          </w:tcPr>
          <w:p>
            <w:pPr>
              <w:spacing w:after="0" w:line="240" w:lineRule="auto"/>
              <w:rPr>
                <w:sz w:val="20"/>
                <w:szCs w:val="20"/>
              </w:rPr>
            </w:pPr>
            <w:r>
              <w:rPr>
                <w:sz w:val="20"/>
                <w:szCs w:val="20"/>
              </w:rPr>
              <w:t>Rhabarber</w:t>
            </w:r>
          </w:p>
        </w:tc>
        <w:tc>
          <w:tcPr>
            <w:tcW w:w="2176" w:type="dxa"/>
            <w:tcMar>
              <w:top w:w="57" w:type="dxa"/>
              <w:left w:w="57" w:type="dxa"/>
              <w:bottom w:w="57" w:type="dxa"/>
              <w:right w:w="57" w:type="dxa"/>
            </w:tcMar>
            <w:tmTcPr id="1766737683" protected="0"/>
          </w:tcPr>
          <w:p>
            <w:pPr>
              <w:spacing w:after="0" w:line="240" w:lineRule="auto"/>
              <w:rPr>
                <w:sz w:val="20"/>
                <w:szCs w:val="20"/>
              </w:rPr>
            </w:pPr>
            <w:r>
              <w:rPr>
                <w:sz w:val="20"/>
                <w:szCs w:val="20"/>
              </w:rPr>
              <w:t>460 mg</w:t>
            </w:r>
          </w:p>
        </w:tc>
      </w:tr>
      <w:tr>
        <w:trPr>
          <w:tblHeader w:val="0"/>
          <w:cantSplit w:val="0"/>
          <w:trHeight w:val="0" w:hRule="auto"/>
        </w:trPr>
        <w:tc>
          <w:tcPr>
            <w:tcW w:w="3683" w:type="dxa"/>
            <w:tcMar>
              <w:top w:w="57" w:type="dxa"/>
              <w:left w:w="57" w:type="dxa"/>
              <w:bottom w:w="57" w:type="dxa"/>
              <w:right w:w="57" w:type="dxa"/>
            </w:tcMar>
            <w:tmTcPr id="1766737683" protected="0"/>
          </w:tcPr>
          <w:p>
            <w:pPr>
              <w:spacing w:after="0" w:line="240" w:lineRule="auto"/>
              <w:rPr>
                <w:sz w:val="20"/>
                <w:szCs w:val="20"/>
              </w:rPr>
            </w:pPr>
            <w:r>
              <w:rPr>
                <w:sz w:val="20"/>
                <w:szCs w:val="20"/>
              </w:rPr>
              <w:t>Spinat</w:t>
            </w:r>
          </w:p>
        </w:tc>
        <w:tc>
          <w:tcPr>
            <w:tcW w:w="2176" w:type="dxa"/>
            <w:tcMar>
              <w:top w:w="57" w:type="dxa"/>
              <w:left w:w="57" w:type="dxa"/>
              <w:bottom w:w="57" w:type="dxa"/>
              <w:right w:w="57" w:type="dxa"/>
            </w:tcMar>
            <w:tmTcPr id="1766737683" protected="0"/>
          </w:tcPr>
          <w:p>
            <w:pPr>
              <w:spacing w:after="0" w:line="240" w:lineRule="auto"/>
              <w:rPr>
                <w:sz w:val="20"/>
                <w:szCs w:val="20"/>
              </w:rPr>
            </w:pPr>
            <w:r>
              <w:rPr>
                <w:sz w:val="20"/>
                <w:szCs w:val="20"/>
              </w:rPr>
              <w:t>442 mg</w:t>
            </w:r>
          </w:p>
        </w:tc>
      </w:tr>
      <w:tr>
        <w:trPr>
          <w:tblHeader w:val="0"/>
          <w:cantSplit w:val="0"/>
          <w:trHeight w:val="0" w:hRule="auto"/>
        </w:trPr>
        <w:tc>
          <w:tcPr>
            <w:tcW w:w="3683" w:type="dxa"/>
            <w:tcMar>
              <w:top w:w="57" w:type="dxa"/>
              <w:left w:w="57" w:type="dxa"/>
              <w:bottom w:w="57" w:type="dxa"/>
              <w:right w:w="57" w:type="dxa"/>
            </w:tcMar>
            <w:tmTcPr id="1766737683" protected="0"/>
          </w:tcPr>
          <w:p>
            <w:pPr>
              <w:spacing w:after="0" w:line="240" w:lineRule="auto"/>
              <w:rPr>
                <w:sz w:val="20"/>
                <w:szCs w:val="20"/>
              </w:rPr>
            </w:pPr>
            <w:r>
              <w:rPr>
                <w:sz w:val="20"/>
                <w:szCs w:val="20"/>
              </w:rPr>
              <w:t>Mandeln</w:t>
            </w:r>
          </w:p>
        </w:tc>
        <w:tc>
          <w:tcPr>
            <w:tcW w:w="2176" w:type="dxa"/>
            <w:tcMar>
              <w:top w:w="57" w:type="dxa"/>
              <w:left w:w="57" w:type="dxa"/>
              <w:bottom w:w="57" w:type="dxa"/>
              <w:right w:w="57" w:type="dxa"/>
            </w:tcMar>
            <w:tmTcPr id="1766737683" protected="0"/>
          </w:tcPr>
          <w:p>
            <w:pPr>
              <w:spacing w:after="0" w:line="240" w:lineRule="auto"/>
              <w:rPr>
                <w:sz w:val="20"/>
                <w:szCs w:val="20"/>
              </w:rPr>
            </w:pPr>
            <w:r>
              <w:rPr>
                <w:sz w:val="20"/>
                <w:szCs w:val="20"/>
              </w:rPr>
              <w:t>431 bis 490 mg</w:t>
            </w:r>
          </w:p>
        </w:tc>
      </w:tr>
      <w:tr>
        <w:trPr>
          <w:tblHeader w:val="0"/>
          <w:cantSplit w:val="0"/>
          <w:trHeight w:val="0" w:hRule="auto"/>
        </w:trPr>
        <w:tc>
          <w:tcPr>
            <w:tcW w:w="3683" w:type="dxa"/>
            <w:tcMar>
              <w:top w:w="57" w:type="dxa"/>
              <w:left w:w="57" w:type="dxa"/>
              <w:bottom w:w="57" w:type="dxa"/>
              <w:right w:w="57" w:type="dxa"/>
            </w:tcMar>
            <w:tmTcPr id="1766737683" protected="0"/>
          </w:tcPr>
          <w:p>
            <w:pPr>
              <w:spacing w:after="0" w:line="240" w:lineRule="auto"/>
              <w:rPr>
                <w:sz w:val="20"/>
                <w:szCs w:val="20"/>
              </w:rPr>
            </w:pPr>
            <w:r>
              <w:rPr>
                <w:sz w:val="20"/>
                <w:szCs w:val="20"/>
              </w:rPr>
              <w:t>Weizenkleie</w:t>
            </w:r>
          </w:p>
        </w:tc>
        <w:tc>
          <w:tcPr>
            <w:tcW w:w="2176" w:type="dxa"/>
            <w:tcMar>
              <w:top w:w="57" w:type="dxa"/>
              <w:left w:w="57" w:type="dxa"/>
              <w:bottom w:w="57" w:type="dxa"/>
              <w:right w:w="57" w:type="dxa"/>
            </w:tcMar>
            <w:tmTcPr id="1766737683" protected="0"/>
          </w:tcPr>
          <w:p>
            <w:pPr>
              <w:spacing w:after="0" w:line="240" w:lineRule="auto"/>
              <w:rPr>
                <w:sz w:val="20"/>
                <w:szCs w:val="20"/>
              </w:rPr>
            </w:pPr>
            <w:r>
              <w:rPr>
                <w:sz w:val="20"/>
                <w:szCs w:val="20"/>
              </w:rPr>
              <w:t>457 mg</w:t>
            </w:r>
          </w:p>
        </w:tc>
      </w:tr>
      <w:tr>
        <w:trPr>
          <w:tblHeader w:val="0"/>
          <w:cantSplit w:val="0"/>
          <w:trHeight w:val="0" w:hRule="auto"/>
        </w:trPr>
        <w:tc>
          <w:tcPr>
            <w:tcW w:w="3683" w:type="dxa"/>
            <w:tcMar>
              <w:top w:w="57" w:type="dxa"/>
              <w:left w:w="57" w:type="dxa"/>
              <w:bottom w:w="57" w:type="dxa"/>
              <w:right w:w="57" w:type="dxa"/>
            </w:tcMar>
            <w:tmTcPr id="1766737683" protected="0"/>
          </w:tcPr>
          <w:p>
            <w:pPr>
              <w:spacing w:after="0" w:line="240" w:lineRule="auto"/>
              <w:rPr>
                <w:sz w:val="20"/>
                <w:szCs w:val="20"/>
              </w:rPr>
            </w:pPr>
            <w:r>
              <w:rPr>
                <w:sz w:val="20"/>
                <w:szCs w:val="20"/>
              </w:rPr>
              <w:t>Kakaopulver</w:t>
            </w:r>
          </w:p>
        </w:tc>
        <w:tc>
          <w:tcPr>
            <w:tcW w:w="2176" w:type="dxa"/>
            <w:tcMar>
              <w:top w:w="57" w:type="dxa"/>
              <w:left w:w="57" w:type="dxa"/>
              <w:bottom w:w="57" w:type="dxa"/>
              <w:right w:w="57" w:type="dxa"/>
            </w:tcMar>
            <w:tmTcPr id="1766737683" protected="0"/>
          </w:tcPr>
          <w:p>
            <w:pPr>
              <w:spacing w:after="0" w:line="240" w:lineRule="auto"/>
              <w:rPr>
                <w:sz w:val="20"/>
                <w:szCs w:val="20"/>
              </w:rPr>
            </w:pPr>
            <w:r>
              <w:rPr>
                <w:sz w:val="20"/>
                <w:szCs w:val="20"/>
              </w:rPr>
              <w:t>389 mg</w:t>
            </w:r>
          </w:p>
        </w:tc>
      </w:tr>
      <w:tr>
        <w:trPr>
          <w:tblHeader w:val="0"/>
          <w:cantSplit w:val="0"/>
          <w:trHeight w:val="0" w:hRule="auto"/>
        </w:trPr>
        <w:tc>
          <w:tcPr>
            <w:tcW w:w="3683" w:type="dxa"/>
            <w:tcMar>
              <w:top w:w="57" w:type="dxa"/>
              <w:left w:w="57" w:type="dxa"/>
              <w:bottom w:w="57" w:type="dxa"/>
              <w:right w:w="57" w:type="dxa"/>
            </w:tcMar>
            <w:tmTcPr id="1766737683" protected="0"/>
          </w:tcPr>
          <w:p>
            <w:pPr>
              <w:spacing w:after="0" w:line="240" w:lineRule="auto"/>
              <w:rPr>
                <w:sz w:val="20"/>
                <w:szCs w:val="20"/>
              </w:rPr>
            </w:pPr>
            <w:r>
              <w:rPr>
                <w:sz w:val="20"/>
                <w:szCs w:val="20"/>
              </w:rPr>
              <w:t>Süßkartoffel</w:t>
            </w:r>
          </w:p>
        </w:tc>
        <w:tc>
          <w:tcPr>
            <w:tcW w:w="2176" w:type="dxa"/>
            <w:tcMar>
              <w:top w:w="57" w:type="dxa"/>
              <w:left w:w="57" w:type="dxa"/>
              <w:bottom w:w="57" w:type="dxa"/>
              <w:right w:w="57" w:type="dxa"/>
            </w:tcMar>
            <w:tmTcPr id="1766737683" protected="0"/>
          </w:tcPr>
          <w:p>
            <w:pPr>
              <w:spacing w:after="0" w:line="240" w:lineRule="auto"/>
              <w:rPr>
                <w:sz w:val="20"/>
                <w:szCs w:val="20"/>
              </w:rPr>
            </w:pPr>
            <w:r>
              <w:rPr>
                <w:sz w:val="20"/>
                <w:szCs w:val="20"/>
              </w:rPr>
              <w:t>280 bis 570 mg</w:t>
            </w:r>
          </w:p>
        </w:tc>
      </w:tr>
      <w:tr>
        <w:trPr>
          <w:tblHeader w:val="0"/>
          <w:cantSplit w:val="0"/>
          <w:trHeight w:val="0" w:hRule="auto"/>
        </w:trPr>
        <w:tc>
          <w:tcPr>
            <w:tcW w:w="3683" w:type="dxa"/>
            <w:tcMar>
              <w:top w:w="57" w:type="dxa"/>
              <w:left w:w="57" w:type="dxa"/>
              <w:bottom w:w="57" w:type="dxa"/>
              <w:right w:w="57" w:type="dxa"/>
            </w:tcMar>
            <w:tmTcPr id="1766737683" protected="0"/>
          </w:tcPr>
          <w:p>
            <w:pPr>
              <w:spacing w:after="0" w:line="240" w:lineRule="auto"/>
              <w:rPr>
                <w:sz w:val="20"/>
                <w:szCs w:val="20"/>
              </w:rPr>
            </w:pPr>
            <w:r>
              <w:rPr>
                <w:sz w:val="20"/>
                <w:szCs w:val="20"/>
              </w:rPr>
              <w:t>Cashew-Kerne</w:t>
            </w:r>
          </w:p>
        </w:tc>
        <w:tc>
          <w:tcPr>
            <w:tcW w:w="2176" w:type="dxa"/>
            <w:tcMar>
              <w:top w:w="57" w:type="dxa"/>
              <w:left w:w="57" w:type="dxa"/>
              <w:bottom w:w="57" w:type="dxa"/>
              <w:right w:w="57" w:type="dxa"/>
            </w:tcMar>
            <w:tmTcPr id="1766737683" protected="0"/>
          </w:tcPr>
          <w:p>
            <w:pPr>
              <w:spacing w:after="0" w:line="240" w:lineRule="auto"/>
              <w:rPr>
                <w:sz w:val="20"/>
                <w:szCs w:val="20"/>
              </w:rPr>
            </w:pPr>
            <w:r>
              <w:rPr>
                <w:sz w:val="20"/>
                <w:szCs w:val="20"/>
              </w:rPr>
              <w:t>231 bis 262 mg</w:t>
            </w:r>
          </w:p>
        </w:tc>
      </w:tr>
      <w:tr>
        <w:trPr>
          <w:tblHeader w:val="0"/>
          <w:cantSplit w:val="0"/>
          <w:trHeight w:val="0" w:hRule="auto"/>
        </w:trPr>
        <w:tc>
          <w:tcPr>
            <w:tcW w:w="3683" w:type="dxa"/>
            <w:tcMar>
              <w:top w:w="57" w:type="dxa"/>
              <w:left w:w="57" w:type="dxa"/>
              <w:bottom w:w="57" w:type="dxa"/>
              <w:right w:w="57" w:type="dxa"/>
            </w:tcMar>
            <w:tmTcPr id="1766737683" protected="0"/>
          </w:tcPr>
          <w:p>
            <w:pPr>
              <w:spacing w:after="0" w:line="240" w:lineRule="auto"/>
              <w:rPr>
                <w:sz w:val="20"/>
                <w:szCs w:val="20"/>
              </w:rPr>
            </w:pPr>
            <w:r>
              <w:rPr>
                <w:sz w:val="20"/>
                <w:szCs w:val="20"/>
              </w:rPr>
              <w:t>Rote Bete</w:t>
            </w:r>
          </w:p>
        </w:tc>
        <w:tc>
          <w:tcPr>
            <w:tcW w:w="2176" w:type="dxa"/>
            <w:tcMar>
              <w:top w:w="57" w:type="dxa"/>
              <w:left w:w="57" w:type="dxa"/>
              <w:bottom w:w="57" w:type="dxa"/>
              <w:right w:w="57" w:type="dxa"/>
            </w:tcMar>
            <w:tmTcPr id="1766737683" protected="0"/>
          </w:tcPr>
          <w:p>
            <w:pPr>
              <w:spacing w:after="0" w:line="240" w:lineRule="auto"/>
              <w:rPr>
                <w:sz w:val="20"/>
                <w:szCs w:val="20"/>
              </w:rPr>
            </w:pPr>
            <w:r>
              <w:rPr>
                <w:sz w:val="20"/>
                <w:szCs w:val="20"/>
              </w:rPr>
              <w:t>181 mg</w:t>
            </w:r>
          </w:p>
        </w:tc>
      </w:tr>
      <w:tr>
        <w:trPr>
          <w:tblHeader w:val="0"/>
          <w:cantSplit w:val="0"/>
          <w:trHeight w:val="0" w:hRule="auto"/>
        </w:trPr>
        <w:tc>
          <w:tcPr>
            <w:tcW w:w="3683" w:type="dxa"/>
            <w:tcMar>
              <w:top w:w="57" w:type="dxa"/>
              <w:left w:w="57" w:type="dxa"/>
              <w:bottom w:w="57" w:type="dxa"/>
              <w:right w:w="57" w:type="dxa"/>
            </w:tcMar>
            <w:tmTcPr id="1766737683" protected="0"/>
          </w:tcPr>
          <w:p>
            <w:pPr>
              <w:spacing w:after="0" w:line="240" w:lineRule="auto"/>
              <w:rPr>
                <w:sz w:val="20"/>
                <w:szCs w:val="20"/>
              </w:rPr>
            </w:pPr>
            <w:r>
              <w:rPr>
                <w:sz w:val="20"/>
                <w:szCs w:val="20"/>
              </w:rPr>
              <w:t>Erdnüsse</w:t>
            </w:r>
          </w:p>
        </w:tc>
        <w:tc>
          <w:tcPr>
            <w:tcW w:w="2176" w:type="dxa"/>
            <w:tcMar>
              <w:top w:w="57" w:type="dxa"/>
              <w:left w:w="57" w:type="dxa"/>
              <w:bottom w:w="57" w:type="dxa"/>
              <w:right w:w="57" w:type="dxa"/>
            </w:tcMar>
            <w:tmTcPr id="1766737683" protected="0"/>
          </w:tcPr>
          <w:p>
            <w:pPr>
              <w:spacing w:after="0" w:line="240" w:lineRule="auto"/>
              <w:rPr>
                <w:sz w:val="20"/>
                <w:szCs w:val="20"/>
              </w:rPr>
            </w:pPr>
            <w:r>
              <w:rPr>
                <w:sz w:val="20"/>
                <w:szCs w:val="20"/>
              </w:rPr>
              <w:t>96 bis 705 mg</w:t>
            </w:r>
          </w:p>
        </w:tc>
      </w:tr>
      <w:tr>
        <w:trPr>
          <w:tblHeader w:val="0"/>
          <w:cantSplit w:val="0"/>
          <w:trHeight w:val="0" w:hRule="auto"/>
        </w:trPr>
        <w:tc>
          <w:tcPr>
            <w:tcW w:w="3683" w:type="dxa"/>
            <w:tcMar>
              <w:top w:w="57" w:type="dxa"/>
              <w:left w:w="57" w:type="dxa"/>
              <w:bottom w:w="57" w:type="dxa"/>
              <w:right w:w="57" w:type="dxa"/>
            </w:tcMar>
            <w:tmTcPr id="1766737683" protected="0"/>
          </w:tcPr>
          <w:p>
            <w:pPr>
              <w:spacing w:after="0" w:line="240" w:lineRule="auto"/>
              <w:rPr>
                <w:sz w:val="20"/>
                <w:szCs w:val="20"/>
              </w:rPr>
            </w:pPr>
            <w:r>
              <w:rPr>
                <w:sz w:val="20"/>
                <w:szCs w:val="20"/>
              </w:rPr>
              <w:t>Schwarzer Tee (Aufguss 100 ml)</w:t>
            </w:r>
          </w:p>
        </w:tc>
        <w:tc>
          <w:tcPr>
            <w:tcW w:w="2176" w:type="dxa"/>
            <w:tcMar>
              <w:top w:w="57" w:type="dxa"/>
              <w:left w:w="57" w:type="dxa"/>
              <w:bottom w:w="57" w:type="dxa"/>
              <w:right w:w="57" w:type="dxa"/>
            </w:tcMar>
            <w:tmTcPr id="1766737683" protected="0"/>
          </w:tcPr>
          <w:p>
            <w:pPr>
              <w:spacing w:after="0" w:line="240" w:lineRule="auto"/>
              <w:rPr>
                <w:sz w:val="20"/>
                <w:szCs w:val="20"/>
              </w:rPr>
            </w:pPr>
            <w:r>
              <w:rPr>
                <w:sz w:val="20"/>
                <w:szCs w:val="20"/>
              </w:rPr>
              <w:t>11,5 bis 16,1 mg</w:t>
            </w:r>
          </w:p>
        </w:tc>
      </w:tr>
    </w:tbl>
    <w:p>
      <w:r/>
    </w:p>
    <w:p>
      <w:r>
        <w:t>Oxalsäure entsteht in unserem Körper auch als Abbauprodukt des Stoffwechsels. In der Nahrung zählt Oxalsäure zu den antinutritiven Stoffen, die die Aufnahme von Mineralstoffen aus der Nahrung erschwert. In sehr großen Mengen kann sie zudem gesundheitsschädlich sein.</w:t>
      </w:r>
    </w:p>
    <w:p>
      <w:pPr>
        <w:pStyle w:val="para4"/>
        <w:numPr>
          <w:ilvl w:val="3"/>
          <w:numId w:val="1"/>
        </w:numPr>
        <w:ind w:left="1077" w:hanging="1077"/>
      </w:pPr>
      <w:bookmarkStart w:id="188" w:name="_TOC000224"/>
      <w:r>
        <w:t>Oxalsäure hemmt die Eisenaufnahme</w:t>
      </w:r>
      <w:bookmarkEnd w:id="187"/>
      <w:r/>
      <w:bookmarkEnd w:id="188"/>
      <w:r/>
    </w:p>
    <w:p>
      <w:r>
        <w:t xml:space="preserve">Oxalsäure verschlechtert die Bioverfügbarkeit von Kalzium, </w:t>
        <w:fldChar w:fldCharType="begin"/>
        <w:instrText xml:space="preserve">XE "Magnesium" \G </w:instrText>
        <w:fldChar w:fldCharType="end"/>
        <w:t xml:space="preserve">Magnesium und </w:t>
        <w:fldChar w:fldCharType="begin"/>
        <w:instrText xml:space="preserve">XE "Eisen" \G </w:instrText>
        <w:fldChar w:fldCharType="end"/>
        <w:t xml:space="preserve">Eisen. Dabei binden 100 Gramm Spinat die Kalziummenge von etwa 200 Milliliter Milch (ca. 240 mg </w:t>
        <w:fldChar w:fldCharType="begin"/>
        <w:instrText xml:space="preserve">XE "Calcium" \G </w:instrText>
        <w:fldChar w:fldCharType="end"/>
        <w:t xml:space="preserve">Calcium). Es ergibt also durchaus Sinn, dass man Spinat mit Sahne zubereitet, Mangold mit Feta kombiniert oder Rhabarberkompott mit Vanillesoße genießt, um den Kalziumverlust auszugleichen. </w:t>
      </w:r>
    </w:p>
    <w:p>
      <w:pPr>
        <w:rPr>
          <w:b/>
          <w:bCs/>
        </w:rPr>
      </w:pPr>
      <w:r>
        <w:rPr>
          <w:b/>
          <w:bCs/>
        </w:rPr>
        <w:t>Beispiel Spinat:</w:t>
      </w:r>
    </w:p>
    <w:p>
      <w:pPr>
        <w:rPr>
          <w:sz w:val="20"/>
          <w:szCs w:val="20"/>
        </w:rPr>
      </w:pPr>
      <w:r>
        <w:t xml:space="preserve">Die wichtigsten Inhaltsstoffe von Spinat im Überblick </w:t>
      </w:r>
      <w:r>
        <w:rPr>
          <w:sz w:val="20"/>
          <w:szCs w:val="20"/>
        </w:rPr>
        <w:t xml:space="preserve">(Quelle: </w:t>
      </w:r>
      <w:hyperlink r:id="rId72" w:history="1">
        <w:r>
          <w:rPr>
            <w:rStyle w:val="char20"/>
            <w:sz w:val="18"/>
            <w:szCs w:val="18"/>
          </w:rPr>
          <w:t>https://www.aok.de/pk/magazin/ernaehrung/lebensmittel/oxalsaeure-welche-lebensmittel-oxalat-enthalten-und-was-es-bewirkt/</w:t>
        </w:r>
      </w:hyperlink>
      <w:r>
        <w:rPr>
          <w:sz w:val="20"/>
          <w:szCs w:val="20"/>
        </w:rPr>
        <w:t xml:space="preserve"> 12.08.2025</w:t>
      </w:r>
      <w:r>
        <w:rPr>
          <w:sz w:val="20"/>
          <w:szCs w:val="20"/>
        </w:rPr>
      </w:r>
    </w:p>
    <w:tbl>
      <w:tblPr>
        <w:tblStyle w:val="TableGrid"/>
        <w:name w:val="Tabelle22"/>
        <w:tabOrder w:val="0"/>
        <w:jc w:val="left"/>
        <w:tblInd w:w="2268" w:type="dxa"/>
        <w:tblW w:w="3807" w:type="dxa"/>
        <w:pPr>
          <w:ind w:left="2268"/>
          <w:spacing/>
          <w:jc w:val="left"/>
        </w:pPr>
        <w:tblLook w:val="04A0" w:firstRow="1" w:lastRow="0" w:firstColumn="1" w:lastColumn="0" w:noHBand="0" w:noVBand="1"/>
      </w:tblPr>
      <w:tblGrid>
        <w:gridCol w:w="2380"/>
        <w:gridCol w:w="1427"/>
      </w:tblGrid>
      <w:tr>
        <w:trPr>
          <w:tblHeader w:val="0"/>
          <w:cantSplit w:val="0"/>
          <w:trHeight w:val="0" w:hRule="auto"/>
        </w:trPr>
        <w:tc>
          <w:tcPr>
            <w:tcW w:w="2380" w:type="dxa"/>
            <w:tcMar>
              <w:top w:w="40" w:type="dxa"/>
              <w:left w:w="40" w:type="dxa"/>
              <w:bottom w:w="40" w:type="dxa"/>
              <w:right w:w="40" w:type="dxa"/>
            </w:tcMar>
            <w:tmTcPr id="1766737683" protected="0"/>
          </w:tcPr>
          <w:p>
            <w:pPr>
              <w:spacing w:after="0" w:line="240" w:lineRule="auto"/>
              <w:tabs defTabSz="708">
                <w:tab w:val="right" w:pos="2211" w:leader="none"/>
              </w:tabs>
              <w:rPr>
                <w:sz w:val="20"/>
                <w:szCs w:val="20"/>
              </w:rPr>
            </w:pPr>
            <w:r>
              <w:rPr>
                <w:sz w:val="20"/>
                <w:szCs w:val="20"/>
              </w:rPr>
              <w:t>Inhaltsstoffe</w:t>
            </w:r>
          </w:p>
        </w:tc>
        <w:tc>
          <w:tcPr>
            <w:tcW w:w="1427" w:type="dxa"/>
            <w:tcMar>
              <w:top w:w="40" w:type="dxa"/>
              <w:left w:w="40" w:type="dxa"/>
              <w:bottom w:w="40" w:type="dxa"/>
              <w:right w:w="40" w:type="dxa"/>
            </w:tcMar>
            <w:tmTcPr id="1766737683" protected="0"/>
          </w:tcPr>
          <w:p>
            <w:pPr>
              <w:spacing w:after="0" w:line="240" w:lineRule="auto"/>
              <w:jc w:val="center"/>
              <w:rPr>
                <w:sz w:val="20"/>
                <w:szCs w:val="20"/>
              </w:rPr>
            </w:pPr>
            <w:r>
              <w:rPr>
                <w:sz w:val="20"/>
                <w:szCs w:val="20"/>
              </w:rPr>
              <w:t>pro 100 g</w:t>
            </w:r>
          </w:p>
        </w:tc>
      </w:tr>
      <w:tr>
        <w:trPr>
          <w:tblHeader w:val="0"/>
          <w:cantSplit w:val="0"/>
          <w:trHeight w:val="0" w:hRule="auto"/>
        </w:trPr>
        <w:tc>
          <w:tcPr>
            <w:tcW w:w="2380" w:type="dxa"/>
            <w:tcMar>
              <w:top w:w="40" w:type="dxa"/>
              <w:left w:w="40" w:type="dxa"/>
              <w:bottom w:w="40" w:type="dxa"/>
              <w:right w:w="40" w:type="dxa"/>
            </w:tcMar>
            <w:tmTcPr id="1766737683" protected="0"/>
          </w:tcPr>
          <w:p>
            <w:pPr>
              <w:spacing w:after="0" w:line="240" w:lineRule="auto"/>
              <w:tabs defTabSz="708">
                <w:tab w:val="right" w:pos="2211" w:leader="none"/>
              </w:tabs>
              <w:rPr>
                <w:sz w:val="20"/>
                <w:szCs w:val="20"/>
              </w:rPr>
            </w:pPr>
            <w:r>
              <w:rPr>
                <w:sz w:val="20"/>
                <w:szCs w:val="20"/>
              </w:rPr>
              <w:t>Energie</w:t>
              <w:tab/>
              <w:t>(kcal)</w:t>
            </w:r>
          </w:p>
        </w:tc>
        <w:tc>
          <w:tcPr>
            <w:tcW w:w="1427" w:type="dxa"/>
            <w:tcMar>
              <w:top w:w="40" w:type="dxa"/>
              <w:left w:w="40" w:type="dxa"/>
              <w:bottom w:w="40" w:type="dxa"/>
              <w:right w:w="40" w:type="dxa"/>
            </w:tcMar>
            <w:tmTcPr id="1766737683" protected="0"/>
          </w:tcPr>
          <w:p>
            <w:pPr>
              <w:spacing w:after="0" w:line="240" w:lineRule="auto"/>
              <w:jc w:val="center"/>
              <w:rPr>
                <w:sz w:val="20"/>
                <w:szCs w:val="20"/>
              </w:rPr>
            </w:pPr>
            <w:r>
              <w:rPr>
                <w:sz w:val="20"/>
                <w:szCs w:val="20"/>
              </w:rPr>
              <w:t>16</w:t>
            </w:r>
          </w:p>
        </w:tc>
      </w:tr>
      <w:tr>
        <w:trPr>
          <w:tblHeader w:val="0"/>
          <w:cantSplit w:val="0"/>
          <w:trHeight w:val="0" w:hRule="auto"/>
        </w:trPr>
        <w:tc>
          <w:tcPr>
            <w:tcW w:w="2380" w:type="dxa"/>
            <w:tcMar>
              <w:top w:w="40" w:type="dxa"/>
              <w:left w:w="40" w:type="dxa"/>
              <w:bottom w:w="40" w:type="dxa"/>
              <w:right w:w="40" w:type="dxa"/>
            </w:tcMar>
            <w:tmTcPr id="1766737683" protected="0"/>
          </w:tcPr>
          <w:p>
            <w:pPr>
              <w:spacing w:after="0" w:line="240" w:lineRule="auto"/>
              <w:tabs defTabSz="708">
                <w:tab w:val="right" w:pos="2211" w:leader="none"/>
              </w:tabs>
              <w:rPr>
                <w:sz w:val="20"/>
                <w:szCs w:val="20"/>
              </w:rPr>
            </w:pPr>
            <w:r>
              <w:rPr>
                <w:sz w:val="20"/>
                <w:szCs w:val="20"/>
              </w:rPr>
              <w:fldChar w:fldCharType="begin"/>
              <w:instrText xml:space="preserve">XE "Fett" \G </w:instrText>
              <w:fldChar w:fldCharType="end"/>
              <w:t>Fett</w:t>
              <w:tab/>
              <w:t>(mg)</w:t>
            </w:r>
          </w:p>
        </w:tc>
        <w:tc>
          <w:tcPr>
            <w:tcW w:w="1427" w:type="dxa"/>
            <w:tcMar>
              <w:top w:w="40" w:type="dxa"/>
              <w:left w:w="40" w:type="dxa"/>
              <w:bottom w:w="40" w:type="dxa"/>
              <w:right w:w="40" w:type="dxa"/>
            </w:tcMar>
            <w:tmTcPr id="1766737683" protected="0"/>
          </w:tcPr>
          <w:p>
            <w:pPr>
              <w:spacing w:after="0" w:line="240" w:lineRule="auto"/>
              <w:jc w:val="center"/>
              <w:rPr>
                <w:sz w:val="20"/>
                <w:szCs w:val="20"/>
              </w:rPr>
            </w:pPr>
            <w:r>
              <w:rPr>
                <w:sz w:val="20"/>
                <w:szCs w:val="20"/>
              </w:rPr>
              <w:t>300</w:t>
            </w:r>
          </w:p>
        </w:tc>
      </w:tr>
      <w:tr>
        <w:trPr>
          <w:tblHeader w:val="0"/>
          <w:cantSplit w:val="0"/>
          <w:trHeight w:val="0" w:hRule="auto"/>
        </w:trPr>
        <w:tc>
          <w:tcPr>
            <w:tcW w:w="2380" w:type="dxa"/>
            <w:tcMar>
              <w:top w:w="40" w:type="dxa"/>
              <w:left w:w="40" w:type="dxa"/>
              <w:bottom w:w="40" w:type="dxa"/>
              <w:right w:w="40" w:type="dxa"/>
            </w:tcMar>
            <w:tmTcPr id="1766737683" protected="0"/>
          </w:tcPr>
          <w:p>
            <w:pPr>
              <w:spacing w:after="0" w:line="240" w:lineRule="auto"/>
              <w:tabs defTabSz="708">
                <w:tab w:val="right" w:pos="2211" w:leader="none"/>
              </w:tabs>
              <w:rPr>
                <w:sz w:val="20"/>
                <w:szCs w:val="20"/>
              </w:rPr>
            </w:pPr>
            <w:r>
              <w:rPr>
                <w:sz w:val="20"/>
                <w:szCs w:val="20"/>
              </w:rPr>
              <w:t>Vitamin A</w:t>
              <w:tab/>
              <w:t>(mg)</w:t>
            </w:r>
          </w:p>
        </w:tc>
        <w:tc>
          <w:tcPr>
            <w:tcW w:w="1427" w:type="dxa"/>
            <w:tcMar>
              <w:top w:w="40" w:type="dxa"/>
              <w:left w:w="40" w:type="dxa"/>
              <w:bottom w:w="40" w:type="dxa"/>
              <w:right w:w="40" w:type="dxa"/>
            </w:tcMar>
            <w:tmTcPr id="1766737683" protected="0"/>
          </w:tcPr>
          <w:p>
            <w:pPr>
              <w:spacing w:after="0" w:line="240" w:lineRule="auto"/>
              <w:jc w:val="center"/>
              <w:rPr>
                <w:sz w:val="20"/>
                <w:szCs w:val="20"/>
              </w:rPr>
            </w:pPr>
            <w:r>
              <w:rPr>
                <w:sz w:val="20"/>
                <w:szCs w:val="20"/>
              </w:rPr>
              <w:t>0,8</w:t>
            </w:r>
          </w:p>
        </w:tc>
      </w:tr>
      <w:tr>
        <w:trPr>
          <w:tblHeader w:val="0"/>
          <w:cantSplit w:val="0"/>
          <w:trHeight w:val="0" w:hRule="auto"/>
        </w:trPr>
        <w:tc>
          <w:tcPr>
            <w:tcW w:w="2380" w:type="dxa"/>
            <w:tcMar>
              <w:top w:w="40" w:type="dxa"/>
              <w:left w:w="40" w:type="dxa"/>
              <w:bottom w:w="40" w:type="dxa"/>
              <w:right w:w="40" w:type="dxa"/>
            </w:tcMar>
            <w:tmTcPr id="1766737683" protected="0"/>
          </w:tcPr>
          <w:p>
            <w:pPr>
              <w:spacing w:after="0" w:line="240" w:lineRule="auto"/>
              <w:tabs defTabSz="708">
                <w:tab w:val="right" w:pos="2211" w:leader="none"/>
              </w:tabs>
              <w:rPr>
                <w:sz w:val="20"/>
                <w:szCs w:val="20"/>
              </w:rPr>
            </w:pPr>
            <w:r>
              <w:rPr>
                <w:sz w:val="20"/>
                <w:szCs w:val="20"/>
              </w:rPr>
              <w:t>Vitamin C</w:t>
              <w:tab/>
              <w:t>(mg)</w:t>
            </w:r>
          </w:p>
        </w:tc>
        <w:tc>
          <w:tcPr>
            <w:tcW w:w="1427" w:type="dxa"/>
            <w:tcMar>
              <w:top w:w="40" w:type="dxa"/>
              <w:left w:w="40" w:type="dxa"/>
              <w:bottom w:w="40" w:type="dxa"/>
              <w:right w:w="40" w:type="dxa"/>
            </w:tcMar>
            <w:tmTcPr id="1766737683" protected="0"/>
          </w:tcPr>
          <w:p>
            <w:pPr>
              <w:spacing w:after="0" w:line="240" w:lineRule="auto"/>
              <w:jc w:val="center"/>
              <w:rPr>
                <w:sz w:val="20"/>
                <w:szCs w:val="20"/>
              </w:rPr>
            </w:pPr>
            <w:r>
              <w:rPr>
                <w:sz w:val="20"/>
                <w:szCs w:val="20"/>
              </w:rPr>
              <w:t>51</w:t>
            </w:r>
          </w:p>
        </w:tc>
      </w:tr>
      <w:tr>
        <w:trPr>
          <w:tblHeader w:val="0"/>
          <w:cantSplit w:val="0"/>
          <w:trHeight w:val="0" w:hRule="auto"/>
        </w:trPr>
        <w:tc>
          <w:tcPr>
            <w:tcW w:w="2380" w:type="dxa"/>
            <w:tcMar>
              <w:top w:w="40" w:type="dxa"/>
              <w:left w:w="40" w:type="dxa"/>
              <w:bottom w:w="40" w:type="dxa"/>
              <w:right w:w="40" w:type="dxa"/>
            </w:tcMar>
            <w:tmTcPr id="1766737683" protected="0"/>
          </w:tcPr>
          <w:p>
            <w:pPr>
              <w:spacing w:after="0" w:line="240" w:lineRule="auto"/>
              <w:tabs defTabSz="708">
                <w:tab w:val="right" w:pos="2211" w:leader="none"/>
              </w:tabs>
              <w:rPr>
                <w:sz w:val="20"/>
                <w:szCs w:val="20"/>
              </w:rPr>
            </w:pPr>
            <w:r>
              <w:rPr>
                <w:sz w:val="20"/>
                <w:szCs w:val="20"/>
              </w:rPr>
              <w:t>Vitamin E</w:t>
              <w:tab/>
              <w:t>(mg)</w:t>
            </w:r>
          </w:p>
        </w:tc>
        <w:tc>
          <w:tcPr>
            <w:tcW w:w="1427" w:type="dxa"/>
            <w:tcMar>
              <w:top w:w="40" w:type="dxa"/>
              <w:left w:w="40" w:type="dxa"/>
              <w:bottom w:w="40" w:type="dxa"/>
              <w:right w:w="40" w:type="dxa"/>
            </w:tcMar>
            <w:tmTcPr id="1766737683" protected="0"/>
          </w:tcPr>
          <w:p>
            <w:pPr>
              <w:spacing w:after="0" w:line="240" w:lineRule="auto"/>
              <w:jc w:val="center"/>
              <w:rPr>
                <w:sz w:val="20"/>
                <w:szCs w:val="20"/>
              </w:rPr>
            </w:pPr>
            <w:r>
              <w:rPr>
                <w:sz w:val="20"/>
                <w:szCs w:val="20"/>
              </w:rPr>
              <w:t>1,4</w:t>
            </w:r>
          </w:p>
        </w:tc>
      </w:tr>
      <w:tr>
        <w:trPr>
          <w:tblHeader w:val="0"/>
          <w:cantSplit w:val="0"/>
          <w:trHeight w:val="0" w:hRule="auto"/>
        </w:trPr>
        <w:tc>
          <w:tcPr>
            <w:tcW w:w="2380" w:type="dxa"/>
            <w:tcMar>
              <w:top w:w="40" w:type="dxa"/>
              <w:left w:w="40" w:type="dxa"/>
              <w:bottom w:w="40" w:type="dxa"/>
              <w:right w:w="40" w:type="dxa"/>
            </w:tcMar>
            <w:tmTcPr id="1766737683" protected="0"/>
          </w:tcPr>
          <w:p>
            <w:pPr>
              <w:spacing w:after="0" w:line="240" w:lineRule="auto"/>
              <w:tabs defTabSz="708">
                <w:tab w:val="right" w:pos="2211" w:leader="none"/>
              </w:tabs>
              <w:rPr>
                <w:sz w:val="20"/>
                <w:szCs w:val="20"/>
              </w:rPr>
            </w:pPr>
            <w:r>
              <w:rPr>
                <w:sz w:val="20"/>
                <w:szCs w:val="20"/>
              </w:rPr>
              <w:t>Vitamin K</w:t>
              <w:tab/>
              <w:t>(mg)</w:t>
            </w:r>
          </w:p>
        </w:tc>
        <w:tc>
          <w:tcPr>
            <w:tcW w:w="1427" w:type="dxa"/>
            <w:tcMar>
              <w:top w:w="40" w:type="dxa"/>
              <w:left w:w="40" w:type="dxa"/>
              <w:bottom w:w="40" w:type="dxa"/>
              <w:right w:w="40" w:type="dxa"/>
            </w:tcMar>
            <w:tmTcPr id="1766737683" protected="0"/>
          </w:tcPr>
          <w:p>
            <w:pPr>
              <w:spacing w:after="0" w:line="240" w:lineRule="auto"/>
              <w:jc w:val="center"/>
              <w:rPr>
                <w:sz w:val="20"/>
                <w:szCs w:val="20"/>
              </w:rPr>
            </w:pPr>
            <w:r>
              <w:rPr>
                <w:sz w:val="20"/>
                <w:szCs w:val="20"/>
              </w:rPr>
              <w:t>0,35</w:t>
            </w:r>
          </w:p>
        </w:tc>
      </w:tr>
      <w:tr>
        <w:trPr>
          <w:tblHeader w:val="0"/>
          <w:cantSplit w:val="0"/>
          <w:trHeight w:val="0" w:hRule="auto"/>
        </w:trPr>
        <w:tc>
          <w:tcPr>
            <w:tcW w:w="2380" w:type="dxa"/>
            <w:tcMar>
              <w:top w:w="40" w:type="dxa"/>
              <w:left w:w="40" w:type="dxa"/>
              <w:bottom w:w="40" w:type="dxa"/>
              <w:right w:w="40" w:type="dxa"/>
            </w:tcMar>
            <w:tmTcPr id="1766737683" protected="0"/>
          </w:tcPr>
          <w:p>
            <w:pPr>
              <w:spacing w:after="0" w:line="240" w:lineRule="auto"/>
              <w:tabs defTabSz="708">
                <w:tab w:val="right" w:pos="2211" w:leader="none"/>
              </w:tabs>
              <w:rPr>
                <w:sz w:val="20"/>
                <w:szCs w:val="20"/>
              </w:rPr>
            </w:pPr>
            <w:r>
              <w:rPr>
                <w:sz w:val="20"/>
                <w:szCs w:val="20"/>
              </w:rPr>
              <w:t>Folsäure</w:t>
              <w:tab/>
              <w:t>(mg)</w:t>
            </w:r>
          </w:p>
        </w:tc>
        <w:tc>
          <w:tcPr>
            <w:tcW w:w="1427" w:type="dxa"/>
            <w:tcMar>
              <w:top w:w="40" w:type="dxa"/>
              <w:left w:w="40" w:type="dxa"/>
              <w:bottom w:w="40" w:type="dxa"/>
              <w:right w:w="40" w:type="dxa"/>
            </w:tcMar>
            <w:tmTcPr id="1766737683" protected="0"/>
          </w:tcPr>
          <w:p>
            <w:pPr>
              <w:spacing w:after="0" w:line="240" w:lineRule="auto"/>
              <w:jc w:val="center"/>
              <w:rPr>
                <w:sz w:val="20"/>
                <w:szCs w:val="20"/>
              </w:rPr>
            </w:pPr>
            <w:r>
              <w:rPr>
                <w:sz w:val="20"/>
                <w:szCs w:val="20"/>
              </w:rPr>
              <w:t>0,145</w:t>
            </w:r>
          </w:p>
        </w:tc>
      </w:tr>
      <w:tr>
        <w:trPr>
          <w:tblHeader w:val="0"/>
          <w:cantSplit w:val="0"/>
          <w:trHeight w:val="0" w:hRule="auto"/>
        </w:trPr>
        <w:tc>
          <w:tcPr>
            <w:tcW w:w="2380" w:type="dxa"/>
            <w:tcMar>
              <w:top w:w="40" w:type="dxa"/>
              <w:left w:w="40" w:type="dxa"/>
              <w:bottom w:w="40" w:type="dxa"/>
              <w:right w:w="40" w:type="dxa"/>
            </w:tcMar>
            <w:tmTcPr id="1766737683" protected="0"/>
          </w:tcPr>
          <w:p>
            <w:pPr>
              <w:spacing w:after="0" w:line="240" w:lineRule="auto"/>
              <w:tabs defTabSz="708">
                <w:tab w:val="right" w:pos="2211" w:leader="none"/>
              </w:tabs>
              <w:rPr>
                <w:sz w:val="20"/>
                <w:szCs w:val="20"/>
              </w:rPr>
            </w:pPr>
            <w:r>
              <w:rPr>
                <w:sz w:val="20"/>
                <w:szCs w:val="20"/>
              </w:rPr>
              <w:fldChar w:fldCharType="begin"/>
              <w:instrText xml:space="preserve">XE "Kalium" \G </w:instrText>
              <w:fldChar w:fldCharType="end"/>
              <w:t>Kalium</w:t>
              <w:tab/>
              <w:t>(mg)</w:t>
            </w:r>
          </w:p>
        </w:tc>
        <w:tc>
          <w:tcPr>
            <w:tcW w:w="1427" w:type="dxa"/>
            <w:tcMar>
              <w:top w:w="40" w:type="dxa"/>
              <w:left w:w="40" w:type="dxa"/>
              <w:bottom w:w="40" w:type="dxa"/>
              <w:right w:w="40" w:type="dxa"/>
            </w:tcMar>
            <w:tmTcPr id="1766737683" protected="0"/>
          </w:tcPr>
          <w:p>
            <w:pPr>
              <w:spacing w:after="0" w:line="240" w:lineRule="auto"/>
              <w:jc w:val="center"/>
              <w:rPr>
                <w:sz w:val="20"/>
                <w:szCs w:val="20"/>
              </w:rPr>
            </w:pPr>
            <w:r>
              <w:rPr>
                <w:sz w:val="20"/>
                <w:szCs w:val="20"/>
              </w:rPr>
              <w:t>554</w:t>
            </w:r>
          </w:p>
        </w:tc>
      </w:tr>
      <w:tr>
        <w:trPr>
          <w:tblHeader w:val="0"/>
          <w:cantSplit w:val="0"/>
          <w:trHeight w:val="0" w:hRule="auto"/>
        </w:trPr>
        <w:tc>
          <w:tcPr>
            <w:tcW w:w="2380" w:type="dxa"/>
            <w:tcMar>
              <w:top w:w="40" w:type="dxa"/>
              <w:left w:w="40" w:type="dxa"/>
              <w:bottom w:w="40" w:type="dxa"/>
              <w:right w:w="40" w:type="dxa"/>
            </w:tcMar>
            <w:tmTcPr id="1766737683" protected="0"/>
          </w:tcPr>
          <w:p>
            <w:pPr>
              <w:spacing w:after="0" w:line="240" w:lineRule="auto"/>
              <w:tabs defTabSz="708">
                <w:tab w:val="right" w:pos="2211" w:leader="none"/>
              </w:tabs>
              <w:rPr>
                <w:sz w:val="20"/>
                <w:szCs w:val="20"/>
              </w:rPr>
            </w:pPr>
            <w:r>
              <w:rPr>
                <w:sz w:val="20"/>
                <w:szCs w:val="20"/>
              </w:rPr>
              <w:fldChar w:fldCharType="begin"/>
              <w:instrText xml:space="preserve">XE "Magnesium" \G </w:instrText>
              <w:fldChar w:fldCharType="end"/>
              <w:t>Magnesium</w:t>
              <w:tab/>
              <w:t>(mg)</w:t>
            </w:r>
          </w:p>
        </w:tc>
        <w:tc>
          <w:tcPr>
            <w:tcW w:w="1427" w:type="dxa"/>
            <w:tcMar>
              <w:top w:w="40" w:type="dxa"/>
              <w:left w:w="40" w:type="dxa"/>
              <w:bottom w:w="40" w:type="dxa"/>
              <w:right w:w="40" w:type="dxa"/>
            </w:tcMar>
            <w:tmTcPr id="1766737683" protected="0"/>
          </w:tcPr>
          <w:p>
            <w:pPr>
              <w:spacing w:after="0" w:line="240" w:lineRule="auto"/>
              <w:jc w:val="center"/>
              <w:rPr>
                <w:sz w:val="20"/>
                <w:szCs w:val="20"/>
              </w:rPr>
            </w:pPr>
            <w:r>
              <w:rPr>
                <w:sz w:val="20"/>
                <w:szCs w:val="20"/>
              </w:rPr>
              <w:t>58</w:t>
            </w:r>
          </w:p>
        </w:tc>
      </w:tr>
      <w:tr>
        <w:trPr>
          <w:tblHeader w:val="0"/>
          <w:cantSplit w:val="0"/>
          <w:trHeight w:val="0" w:hRule="auto"/>
        </w:trPr>
        <w:tc>
          <w:tcPr>
            <w:tcW w:w="2380" w:type="dxa"/>
            <w:tcMar>
              <w:top w:w="40" w:type="dxa"/>
              <w:left w:w="40" w:type="dxa"/>
              <w:bottom w:w="40" w:type="dxa"/>
              <w:right w:w="40" w:type="dxa"/>
            </w:tcMar>
            <w:tmTcPr id="1766737683" protected="0"/>
          </w:tcPr>
          <w:p>
            <w:pPr>
              <w:spacing w:after="0" w:line="240" w:lineRule="auto"/>
              <w:tabs defTabSz="708">
                <w:tab w:val="right" w:pos="2211" w:leader="none"/>
              </w:tabs>
              <w:rPr>
                <w:sz w:val="20"/>
                <w:szCs w:val="20"/>
              </w:rPr>
            </w:pPr>
            <w:r>
              <w:rPr>
                <w:sz w:val="20"/>
                <w:szCs w:val="20"/>
              </w:rPr>
              <w:fldChar w:fldCharType="begin"/>
              <w:instrText xml:space="preserve">XE "Eisen" \G </w:instrText>
              <w:fldChar w:fldCharType="end"/>
              <w:t>Eisen</w:t>
              <w:tab/>
              <w:t>(mg)</w:t>
            </w:r>
          </w:p>
        </w:tc>
        <w:tc>
          <w:tcPr>
            <w:tcW w:w="1427" w:type="dxa"/>
            <w:tcMar>
              <w:top w:w="40" w:type="dxa"/>
              <w:left w:w="40" w:type="dxa"/>
              <w:bottom w:w="40" w:type="dxa"/>
              <w:right w:w="40" w:type="dxa"/>
            </w:tcMar>
            <w:tmTcPr id="1766737683" protected="0"/>
          </w:tcPr>
          <w:p>
            <w:pPr>
              <w:spacing w:after="0" w:line="240" w:lineRule="auto"/>
              <w:jc w:val="center"/>
              <w:rPr>
                <w:sz w:val="20"/>
                <w:szCs w:val="20"/>
              </w:rPr>
            </w:pPr>
            <w:r>
              <w:rPr>
                <w:sz w:val="20"/>
                <w:szCs w:val="20"/>
              </w:rPr>
              <w:t>2,7</w:t>
            </w:r>
          </w:p>
        </w:tc>
      </w:tr>
    </w:tbl>
    <w:p>
      <w:pPr>
        <w:spacing w:before="200"/>
      </w:pPr>
      <w:r>
        <w:t xml:space="preserve">Spinat enthält </w:t>
        <w:fldChar w:fldCharType="begin"/>
        <w:instrText xml:space="preserve">XE "Mineralstoffe" \G </w:instrText>
        <w:fldChar w:fldCharType="end"/>
        <w:t>Mineralstoffe und Spurenelemente:</w:t>
      </w:r>
    </w:p>
    <w:p>
      <w:pPr>
        <w:pStyle w:val="para28"/>
        <w:numPr>
          <w:ilvl w:val="1"/>
          <w:numId w:val="2"/>
        </w:numPr>
        <w:ind w:left="397" w:hanging="197"/>
      </w:pPr>
      <w:r>
        <w:rPr>
          <w:b/>
          <w:bCs/>
        </w:rPr>
        <w:fldChar w:fldCharType="begin"/>
        <w:instrText xml:space="preserve">XE "Eisen" \G </w:instrText>
        <w:fldChar w:fldCharType="end"/>
        <w:t>Eisen:</w:t>
      </w:r>
      <w:r>
        <w:t xml:space="preserve"> Wichtig für die Blutbildung und den Sauerstofftransport. </w:t>
      </w:r>
    </w:p>
    <w:p>
      <w:pPr>
        <w:pStyle w:val="para28"/>
        <w:numPr>
          <w:ilvl w:val="1"/>
          <w:numId w:val="2"/>
        </w:numPr>
        <w:ind w:left="397" w:hanging="197"/>
      </w:pPr>
      <w:r>
        <w:rPr>
          <w:b/>
          <w:bCs/>
        </w:rPr>
        <w:fldChar w:fldCharType="begin"/>
        <w:instrText xml:space="preserve">XE "Kalium" \G </w:instrText>
        <w:fldChar w:fldCharType="end"/>
        <w:t>Kalium:</w:t>
      </w:r>
      <w:r>
        <w:t xml:space="preserve"> Trägt zur Funktion von Nerven und Muskeln bei und hilft bei der Regulierung des Blutdrucks. </w:t>
      </w:r>
    </w:p>
    <w:p>
      <w:pPr>
        <w:pStyle w:val="para28"/>
        <w:numPr>
          <w:ilvl w:val="1"/>
          <w:numId w:val="2"/>
        </w:numPr>
        <w:ind w:left="397" w:hanging="197"/>
      </w:pPr>
      <w:r>
        <w:rPr>
          <w:b/>
          <w:bCs/>
        </w:rPr>
        <w:t>Kalzium:</w:t>
      </w:r>
      <w:r>
        <w:t xml:space="preserve"> Wichtig für Knochen und Zähne, sowie für die Blutgerinnung. </w:t>
      </w:r>
    </w:p>
    <w:p>
      <w:pPr>
        <w:pStyle w:val="para28"/>
        <w:numPr>
          <w:ilvl w:val="1"/>
          <w:numId w:val="2"/>
        </w:numPr>
        <w:ind w:left="397" w:hanging="197"/>
      </w:pPr>
      <w:r>
        <w:rPr>
          <w:b/>
          <w:bCs/>
        </w:rPr>
        <w:fldChar w:fldCharType="begin"/>
        <w:instrText xml:space="preserve">XE "Magnesium" \G </w:instrText>
        <w:fldChar w:fldCharType="end"/>
        <w:t>Magnesium:</w:t>
      </w:r>
      <w:r>
        <w:t xml:space="preserve"> Spielt eine Rolle bei der Energieproduktion, Knochenaufbau und Nerven- und Muskelfunktion. </w:t>
      </w:r>
    </w:p>
    <w:p>
      <w:pPr>
        <w:pStyle w:val="para28"/>
        <w:numPr>
          <w:ilvl w:val="1"/>
          <w:numId w:val="2"/>
        </w:numPr>
        <w:ind w:left="397" w:hanging="197"/>
      </w:pPr>
      <w:r>
        <w:rPr>
          <w:b/>
          <w:bCs/>
        </w:rPr>
        <w:t>Mangan:</w:t>
      </w:r>
      <w:r>
        <w:t xml:space="preserve"> Schützt das Immunsystem vor oxidativem Stress und ist an der Bildung von Bindegewebe beteiligt. </w:t>
      </w:r>
    </w:p>
    <w:p>
      <w:pPr>
        <w:pStyle w:val="para28"/>
        <w:numPr>
          <w:ilvl w:val="1"/>
          <w:numId w:val="2"/>
        </w:numPr>
        <w:ind w:left="397" w:hanging="197"/>
      </w:pPr>
      <w:r>
        <w:rPr>
          <w:b/>
          <w:bCs/>
        </w:rPr>
        <w:t>Kupfer:</w:t>
      </w:r>
      <w:r>
        <w:t xml:space="preserve"> Spielt eine Rolle bei verschiedenen Stoffwechselprozessen. </w:t>
      </w:r>
    </w:p>
    <w:p>
      <w:r>
        <w:t>Diese sind aber im Spinat zum größten Teil an die Oxalsäure gebunden und stehen damit dem Körper nicht zur Verfügung.</w:t>
      </w:r>
    </w:p>
    <w:p>
      <w:pPr>
        <w:pStyle w:val="para4"/>
        <w:numPr>
          <w:ilvl w:val="3"/>
          <w:numId w:val="1"/>
        </w:numPr>
        <w:ind w:left="1077" w:hanging="1077"/>
      </w:pPr>
      <w:bookmarkStart w:id="189" w:name="_TOC000219"/>
      <w:r>
        <w:t>Blanchieren und Schälen reduzieren den Oxalsäuregehalt</w:t>
      </w:r>
      <w:bookmarkEnd w:id="189"/>
      <w:r/>
    </w:p>
    <w:p>
      <w:r>
        <w:t>Bei der Zubereitung oxalsäurereicher Lebensmittel sollte man einige Regeln beherzigen: Rhabarber darf nur so lange verwendet werden, bis er schießt, denn dann steigt der Oxalsäuregehalt stark an. Ebenso dürfen die Rhabarberblätter nicht mitgegessen werden, da sie deutlich mehr Oxalsäure enthalten als die Stangen. Auch in den Randschichten steckt mehr Oxalsäure, die man durch das Schälen des Rhabarbers entfernen kann. Beim Kochen löst sich ein Teil der Oxalsäure im Wasser. Wer auf Nummer sicher gehen möchte, blanchiert Sauerampfer oder Spinat kurz oder kocht Rote Beete und Süßkartoffeln und schüttet das Wasser dann weg. Oxalsäure greift auch den Zahnschmelz an und raut ihn auf. Das merkt man am typischen pelzigen Gefühl auf den Zähnen nach dem Verzehr von Rhabarber oder Spinat. Mit dem Zähneputzen wartet man deshalb besser mindestens eine halbe Stunde, um den Zahnschmelz nicht zusätzlich zu schädigen.</w:t>
      </w:r>
    </w:p>
    <w:p>
      <w:pPr>
        <w:pStyle w:val="para4"/>
        <w:numPr>
          <w:ilvl w:val="3"/>
          <w:numId w:val="1"/>
        </w:numPr>
        <w:ind w:left="1077" w:hanging="1077"/>
      </w:pPr>
      <w:bookmarkStart w:id="190" w:name="_TOC000220"/>
      <w:r>
        <w:t>Schwarzen Tee am besten englisch genießen</w:t>
      </w:r>
      <w:bookmarkEnd w:id="190"/>
      <w:r/>
    </w:p>
    <w:p>
      <w:r>
        <w:t>Auch Kakao, schwarzer Tee und Nüsse enthalten höhere Mengen Oxalsäure. Reinen Kakao und Nüsse isst man normalerweise nicht in Mengen, bei denen der Gehalt ein Problem sein könnte. Beim schwarzen Tee macht es durchaus Sinn, ihn wie die Engländer mit etwas Milch zu trinken. Denn dadurch wird die Verfügbarkeit von Oxalsäure deutlich reduziert und der Kalziumverlust ausgeglichen.</w:t>
      </w:r>
    </w:p>
    <w:p>
      <w:pPr>
        <w:pStyle w:val="para4"/>
        <w:numPr>
          <w:ilvl w:val="3"/>
          <w:numId w:val="1"/>
        </w:numPr>
        <w:ind w:left="1077" w:hanging="1077"/>
      </w:pPr>
      <w:bookmarkStart w:id="191" w:name="_TOC000235"/>
      <w:r>
        <w:t>Matcha-Tee</w:t>
      </w:r>
      <w:bookmarkEnd w:id="191"/>
      <w:r/>
    </w:p>
    <w:p>
      <w:r>
        <w:t>Bei Matcha handelt es sich um einen unfermentierten grünen Tee, dessen Blätter von den Blattadern befreit und zu Pulver vermahlen werden.</w:t>
      </w:r>
    </w:p>
    <w:p>
      <w:r>
        <w:t>Japanische grüne Tees variieren sehr stark im Oxalsäuregehalt. Karigane besitzt nur 0,9mg Oxalat/g Tee, Sencha 5,5mg, während Matcha etwa 17mg pro Gramm Tee besitzt.</w:t>
      </w:r>
    </w:p>
    <w:p>
      <w:r>
        <w:t>Beim Konsumenten wird das Matcha-Pulver dann ohne weiteres Filtern mit einem Schneebesen in heißem Wasser gelöst. Je nach gewünschter Konsistenz werden dabei in 100 Millilitern Wasser bis zu fünf Gramm Matcha-Pulver benötigt.</w:t>
      </w:r>
    </w:p>
    <w:p>
      <w:r>
        <w:t>Das macht pro Tasse mit 100 ml Wasser 85 mg Oxalsäure.</w:t>
      </w:r>
    </w:p>
    <w:p>
      <w:r>
        <w:t>Besonders problematisch ist der Aluminiumgehalt von Matcha. Denn Matcha wird nicht als Teeaufguss verzehrt, sondern die in Wasser gelösten, getrockneten, zu Pulver vermahlenen Teeblätter. Eine Tasse Matcha (100 ml, zubereitet mit 2 g Matcha) kann somit bis zu 16 mg Aluminium enthalten. Bereits mit vier kleinen Tassen Matcha pro Woche kann der Grenzwert für Aluminium überschritten werden!</w:t>
      </w:r>
    </w:p>
    <w:p>
      <w:r>
        <w:t>Langfristig hohe Aluminiumaufnahmen können zu Fortpflanzungs- und Knochenentwicklungsstörungen sowie zu Erkrankungen des Nervensystems führen. Deshalb wird auch die Entstehung der Alzheimer-Erkrankung in Zusammenhang mit einer hohen Aluminiumaufnahme diskutiert.</w:t>
      </w:r>
    </w:p>
    <w:p>
      <w:pPr>
        <w:pStyle w:val="para3"/>
        <w:numPr>
          <w:ilvl w:val="2"/>
          <w:numId w:val="1"/>
        </w:numPr>
        <w:ind w:left="720" w:hanging="720"/>
      </w:pPr>
      <w:bookmarkStart w:id="192" w:name="_TOC000200"/>
      <w:r>
        <w:t>Sechs Strategien für gute Eisenversorgung</w:t>
      </w:r>
      <w:bookmarkEnd w:id="192"/>
      <w:r/>
    </w:p>
    <w:p>
      <w:r>
        <w:t>Um einen Eisenmangel zu überwinden, solltest du auf folgende sechs Erfolgsstrategien setzen:</w:t>
      </w:r>
    </w:p>
    <w:p>
      <w:pPr>
        <w:rPr>
          <w:b/>
          <w:bCs/>
        </w:rPr>
      </w:pPr>
      <w:r>
        <w:rPr>
          <w:b/>
          <w:bCs/>
        </w:rPr>
        <w:t>1. Eisenreiche Lebensmittel wählen</w:t>
      </w:r>
    </w:p>
    <w:p>
      <w:pPr>
        <w:ind w:left="283"/>
      </w:pPr>
      <w:r>
        <w:t xml:space="preserve">Sportler sollten sich generell eisenreich ernähren und mindestens ein Drittel mehr </w:t>
        <w:fldChar w:fldCharType="begin"/>
        <w:instrText xml:space="preserve">XE "Eisen" \G </w:instrText>
        <w:fldChar w:fldCharType="end"/>
        <w:t xml:space="preserve">Eisen aufnehmen (ca. 20 mg </w:t>
        <w:fldChar w:fldCharType="begin"/>
        <w:instrText xml:space="preserve">XE "Eisen" \G </w:instrText>
        <w:fldChar w:fldCharType="end"/>
        <w:t xml:space="preserve">Eisen täglich) als Nichtsportler (ca. 14mg </w:t>
        <w:fldChar w:fldCharType="begin"/>
        <w:instrText xml:space="preserve">XE "Eisen" \G </w:instrText>
        <w:fldChar w:fldCharType="end"/>
        <w:t>Eisen).</w:t>
      </w:r>
    </w:p>
    <w:p>
      <w:pPr>
        <w:ind w:left="283"/>
      </w:pPr>
      <w:r>
        <w:rPr>
          <w:b/>
          <w:bCs/>
        </w:rPr>
        <w:t>Übrigens</w:t>
      </w:r>
      <w:r>
        <w:t xml:space="preserve">: </w:t>
        <w:fldChar w:fldCharType="begin"/>
        <w:instrText xml:space="preserve">XE "Eisen" \G </w:instrText>
        <w:fldChar w:fldCharType="end"/>
        <w:t xml:space="preserve">Eisen aus Fleisch und Fisch wird deutlich besser aufgenommen als </w:t>
        <w:fldChar w:fldCharType="begin"/>
        <w:instrText xml:space="preserve">XE "Eisen" \G </w:instrText>
        <w:fldChar w:fldCharType="end"/>
        <w:t>Eisen aus pflanzlichen Lebensmitteln. Die Empfehlung für Spitzensportler lautet, zweimal pro Woche Fleisch und dreimal pro Woche Fisch zu essen.</w:t>
      </w:r>
    </w:p>
    <w:p>
      <w:pPr>
        <w:rPr>
          <w:b/>
          <w:bCs/>
        </w:rPr>
      </w:pPr>
      <w:r>
        <w:rPr>
          <w:b/>
          <w:bCs/>
        </w:rPr>
        <w:t>2. Mit Vitamin C die Eisenverwertbarkeit im Darm erhöhen</w:t>
      </w:r>
    </w:p>
    <w:p>
      <w:pPr>
        <w:ind w:left="283"/>
      </w:pPr>
      <w:r>
        <w:t xml:space="preserve">In pflanzlichen Lebensmitteln kommt </w:t>
        <w:fldChar w:fldCharType="begin"/>
        <w:instrText xml:space="preserve">XE "Eisen" \G </w:instrText>
        <w:fldChar w:fldCharType="end"/>
        <w:t xml:space="preserve">Eisen in der dreiwertigen Form vor. Um im Darm aufgenommen zu werden, muss </w:t>
        <w:fldChar w:fldCharType="begin"/>
        <w:instrText xml:space="preserve">XE "Eisen" \G </w:instrText>
        <w:fldChar w:fldCharType="end"/>
        <w:t>Eisen zunächst in die zweiwertige Form überführt werden. Dafür sind Vitamin C oder Fruchtsäuren nötig. Wenn du also zu jeder Mahlzeit ein Glas Wasser mit Zitronensaft oder Vitamin C trinkst oder eine Orange isst, kommen die Eisenwerte meist wieder ins Lot.</w:t>
      </w:r>
    </w:p>
    <w:p>
      <w:pPr>
        <w:rPr>
          <w:b/>
          <w:bCs/>
        </w:rPr>
      </w:pPr>
      <w:r>
        <w:rPr>
          <w:b/>
          <w:bCs/>
        </w:rPr>
        <w:t>3. Weniger Getreide essen</w:t>
      </w:r>
    </w:p>
    <w:p>
      <w:pPr>
        <w:ind w:left="283"/>
      </w:pPr>
      <w:r>
        <w:t xml:space="preserve">Getreide enthält den Hemmstoff für die Eisenaufnahme, die </w:t>
        <w:fldChar w:fldCharType="begin"/>
        <w:instrText xml:space="preserve">XE "Phytinsäure" \G </w:instrText>
        <w:fldChar w:fldCharType="end"/>
        <w:t xml:space="preserve">Phytinsäure: </w:t>
        <w:fldChar w:fldCharType="begin"/>
        <w:instrText xml:space="preserve">XE "Phytinsäure" \G </w:instrText>
        <w:fldChar w:fldCharType="end"/>
        <w:t xml:space="preserve">Phytinsäure kommt in den Randschichten des Getreides vor. Sauerteigbakterien bauen </w:t>
        <w:fldChar w:fldCharType="begin"/>
        <w:instrText xml:space="preserve">XE "Phytinsäure" \G </w:instrText>
        <w:fldChar w:fldCharType="end"/>
        <w:t xml:space="preserve">Phytinsäure ab. Deshalb kann der Darm wesentlich mehr </w:t>
        <w:fldChar w:fldCharType="begin"/>
        <w:instrText xml:space="preserve">XE "Eisen" \G </w:instrText>
        <w:fldChar w:fldCharType="end"/>
        <w:t xml:space="preserve">Eisen aus einem Vollkornbrot mit Sauerteig aufnehmen als aus einem Vollkornbrot ohne Sauerteig. Als Sportler solltest du daher Brot nur auf Sauerteigbasis essen. Und wenn du dein Frischkornmüsli über Nacht einweichst, vermindert sich ebenfalls die </w:t>
        <w:fldChar w:fldCharType="begin"/>
        <w:instrText xml:space="preserve">XE "Phytinsäure" \G </w:instrText>
        <w:fldChar w:fldCharType="end"/>
        <w:t>Phytinsäure des Getreides. Meist hilft auch schon eine generelle Reduktion von Nudeln und Brot, um die Eisenwerte zu verbessern.</w:t>
      </w:r>
    </w:p>
    <w:p>
      <w:pPr>
        <w:rPr>
          <w:b/>
          <w:bCs/>
        </w:rPr>
      </w:pPr>
      <w:r>
        <w:rPr>
          <w:b/>
          <w:bCs/>
        </w:rPr>
        <w:t>4. Kaffee, schwarzen und grünen Tee zu und nach den Mahlzeiten weglassen</w:t>
      </w:r>
    </w:p>
    <w:p>
      <w:pPr>
        <w:ind w:left="283"/>
      </w:pPr>
      <w:r>
        <w:t xml:space="preserve">Die in Kaffee sowie in Schwarz- und Grüntee enthaltene Gerbsäure ist, wie auch die </w:t>
        <w:fldChar w:fldCharType="begin"/>
        <w:instrText xml:space="preserve">XE "Phytinsäure" \G </w:instrText>
        <w:fldChar w:fldCharType="end"/>
        <w:t>Phytinsäure, gut für das Immunsystem. Allerdings ist sie auch ein Hemmfaktor für die Eisenaufnahme. Trink deshalb keine gerbstoffhaltigen Getränke direkt vor, während oder nach dem Essen, wenn du niedrige Ferritin-Werte hast. Genieße ungesüßten Kaffee, Schwarz- oder Grüntee immer zwischen den Mahlzeiten. Wenn du unbedingt grünen oder schwarzen Tee zum Essen trinken willst, dann lass ihn nur eine Minute ziehen, denn so ist der Gerbsäuregehalt geringer.</w:t>
      </w:r>
    </w:p>
    <w:p>
      <w:pPr>
        <w:rPr>
          <w:b/>
          <w:bCs/>
        </w:rPr>
      </w:pPr>
      <w:r>
        <w:rPr>
          <w:b/>
          <w:bCs/>
        </w:rPr>
        <w:t>5. Hemmfaktor Phosphate ausschalten - keine Cola zum Essen</w:t>
      </w:r>
    </w:p>
    <w:p>
      <w:pPr>
        <w:ind w:left="283"/>
      </w:pPr>
      <w:r>
        <w:t>Cola enthält Phosphate, die eine hohe Eisenbindungskapazität haben. Daher sollte man Cola nicht zum Essen trinken. Besser noch, man trinkt es gar nicht.</w:t>
      </w:r>
    </w:p>
    <w:p>
      <w:r/>
    </w:p>
    <w:p>
      <w:pPr>
        <w:rPr>
          <w:b/>
          <w:bCs/>
        </w:rPr>
      </w:pPr>
      <w:r>
        <w:br w:type="page"/>
      </w:r>
      <w:r>
        <w:rPr>
          <w:b/>
          <w:bCs/>
        </w:rPr>
        <w:t xml:space="preserve">6. </w:t>
        <w:fldChar w:fldCharType="begin"/>
        <w:instrText xml:space="preserve">XE "Milchprodukte" \G </w:instrText>
        <w:fldChar w:fldCharType="end"/>
        <w:t>Milchprodukte und Fleisch trennen</w:t>
      </w:r>
    </w:p>
    <w:p>
      <w:pPr>
        <w:ind w:left="283"/>
      </w:pPr>
      <w:r>
        <w:t xml:space="preserve">Kalzium und </w:t>
        <w:fldChar w:fldCharType="begin"/>
        <w:instrText xml:space="preserve">XE "Eisen" \G </w:instrText>
        <w:fldChar w:fldCharType="end"/>
        <w:t>Eisen nutzen den gleichen Transportstoff für den Übergang vom Darm ins Blut. Deshalb sollten bei Eisenmangel kalziumreiche Lebensmittel wie Milch und Käse nicht mit Fleisch kombiniert werden. Ebenso sollten Nahrungsergänzungen mit Kalzium nicht zu einer Mahlzeit genommen werden, sondern ausschließlich zwischen den Mahlzeiten, ergänzt mit etwas Beeren oder Gemüse, um die Aufnahme im Darm zu verbessern.</w:t>
      </w:r>
    </w:p>
    <w:p>
      <w:r>
        <w:t xml:space="preserve">Alle sechs Erfolgsstrategien sollten parallel angewendet werden. Dennoch kann es, wie schon gesagt, besonders bei Sportlerinnen zu Eisenmangel kommen. In diesem Fall gilt es, </w:t>
        <w:fldChar w:fldCharType="begin"/>
        <w:instrText xml:space="preserve">XE "Eisen" \G </w:instrText>
        <w:fldChar w:fldCharType="end"/>
        <w:t>Eisen zu ergänzen. Eisenpräparate sollten aber wirklich nur genommen werden, wenn der Mangel diagnostiziert wurde, das heißt, wenn der Eisenspeicherwert (Ferritin-Wert) zu niedrig ist. Werden sie über den Bedarf genommen, dann ist die Bildung freier Radikale erhöht. Dies kann zu Entzündungen und vielfältigen Schädigungen von Muskulatur, Blutgefäßen und Knorpelstrukturen führen. Viele Menschen vertragen die verschriebenen hoch dosierten Präparate jedoch nicht. Besser verträglich sind eisenhaltige Pflanzensäfte aus Apotheken, Reformhäusern oder Bioläden.</w:t>
      </w:r>
    </w:p>
    <w:p>
      <w:r>
        <w:rPr>
          <w:b/>
          <w:bCs/>
        </w:rPr>
        <w:t>Tipp</w:t>
      </w:r>
      <w:r>
        <w:t xml:space="preserve">: Eisenpräparate sollten immer vor dem Zubettgehen genommen werden, 3-4 Stunden nach der letzten Mahlzeit. So kann </w:t>
        <w:fldChar w:fldCharType="begin"/>
        <w:instrText xml:space="preserve">XE "Eisen" \G </w:instrText>
        <w:fldChar w:fldCharType="end"/>
        <w:t xml:space="preserve">Eisen die Aufnahme anderer Spurenelemente wie </w:t>
        <w:fldChar w:fldCharType="begin"/>
        <w:instrText xml:space="preserve">XE "Zink" \G </w:instrText>
        <w:fldChar w:fldCharType="end"/>
        <w:t>Zink nicht stören.</w:t>
      </w:r>
    </w:p>
    <w:p>
      <w:pPr>
        <w:pStyle w:val="para2"/>
        <w:numPr>
          <w:ilvl w:val="1"/>
          <w:numId w:val="1"/>
        </w:numPr>
        <w:ind w:left="576" w:hanging="576"/>
      </w:pPr>
      <w:bookmarkStart w:id="193" w:name="_TOC000326"/>
      <w:r>
        <w:t>Wer viel Hochverarbeitetes isst, martert seine Gesundheit</w:t>
      </w:r>
      <w:bookmarkEnd w:id="193"/>
      <w:r/>
    </w:p>
    <w:p>
      <w:pPr>
        <w:rPr>
          <w:sz w:val="16"/>
          <w:szCs w:val="16"/>
        </w:rPr>
      </w:pPr>
      <w:r>
        <w:rPr>
          <w:sz w:val="16"/>
          <w:szCs w:val="16"/>
        </w:rPr>
        <w:t xml:space="preserve">Quelle: </w:t>
      </w:r>
      <w:hyperlink r:id="rId73" w:history="1">
        <w:r>
          <w:rPr>
            <w:rStyle w:val="char20"/>
            <w:sz w:val="16"/>
            <w:szCs w:val="16"/>
          </w:rPr>
          <w:t>https://www.n-tv.de/wissen/Wer-viel-Hochverarbeitetes-isst-martert-seine-Gesundheit-id30039167.html</w:t>
        </w:r>
      </w:hyperlink>
      <w:r>
        <w:rPr>
          <w:sz w:val="16"/>
          <w:szCs w:val="16"/>
        </w:rPr>
        <w:t>, 19.11.2025</w:t>
      </w:r>
      <w:r>
        <w:rPr>
          <w:sz w:val="16"/>
          <w:szCs w:val="16"/>
        </w:rPr>
      </w:r>
    </w:p>
    <w:p>
      <w:bookmarkStart w:id="194" w:name="_TOC000138"/>
      <w:r/>
      <w:bookmarkEnd w:id="194"/>
      <w:r/>
      <w:bookmarkStart w:id="195" w:name="_TOC000165"/>
      <w:r>
        <w:t>Damals - bei den Großeltern - da waren die Essgewohnheiten noch andere. Heutzutage sind hochverarbeitete Lebensmittel omnipräsent, auch in Deutschland. Eine Studie erklärt die vielfältigen Gesundheitsrisiken durch den Verzehr.</w:t>
      </w:r>
    </w:p>
    <w:p>
      <w:r>
        <w:t>Tiefkühlpizza, Burger-Pattys, Knuspermüsli - solche Lebensmittel sind lecker, praktisch und allgegenwärtig. Doch was auf den ersten Blick nach bequemer, schneller Mahlzeit aussieht, kann der Gesundheit langfristig schaden. Die zunehmend von hochverarbeiteten Lebensmitteln dominierte Ernährung trage zum weltweiten Anstieg von Fettleibigkeit, Diabetes und psychischen Erkrankungen bei, warnte Phillip Baker von der Universität Sydney (Australien), Mitautor einer umfassenden Analyse zum Thema. Nötig sei eine starke globale Reaktion, ähnlich wie bei den koordinierten Bemühungen gegen die Tabakindustrie, bilanziert das Team.</w:t>
      </w:r>
    </w:p>
    <w:p>
      <w:r>
        <w:t>Die Verdrängung etablierter Ernährungsgewohnheiten durch hochverarbeitete Lebensmittel sei ein wesentlicher Treiber für die weltweit steigende Belastung durch ernährungsbedingte chronische Krankheiten, betonen die 43 Expertinnen und Experten. Sie haben für eine dreiteilige Analyse im Fachjournal "The Lancet" betrachtet, wie die Industrie den Verkauf hochverarbeiteter Lebensmittel (englisch "ultra-processed food", kurz UPF) ankurbelt und welche Auswirkungen solche Produkte auf unser Leben haben.</w:t>
      </w:r>
    </w:p>
    <w:p>
      <w:pPr>
        <w:pStyle w:val="para3"/>
        <w:numPr>
          <w:ilvl w:val="2"/>
          <w:numId w:val="1"/>
        </w:numPr>
        <w:ind w:left="720" w:hanging="720"/>
      </w:pPr>
      <w:bookmarkStart w:id="196" w:name="_TOC000327"/>
      <w:r>
        <w:t>Was steckt denn nun im Essen?</w:t>
      </w:r>
      <w:bookmarkEnd w:id="196"/>
      <w:r/>
    </w:p>
    <w:p>
      <w:r>
        <w:t xml:space="preserve">Bei hochverarbeiteten Lebensmitteln handelt es sich laut der sogenannten Nova-Klassifizierung um industriell hergestellte Produkte aus billigen Zutaten wie gehärteten Ölen und </w:t>
        <w:fldChar w:fldCharType="begin"/>
        <w:instrText xml:space="preserve">XE "Glukose" \G </w:instrText>
        <w:fldChar w:fldCharType="end"/>
        <w:t xml:space="preserve">Glukose-/Fruktosesirup sowie Zusatzstoffen wie Aromen und Farbstoffen, die meist zahlreiche Verarbeitungsschritte durchlaufen. Oft sind sie verzehrfertig oder nur noch aufzuwärmen, typisch sind zudem attraktive Verpackungen. Zucker, </w:t>
        <w:fldChar w:fldCharType="begin"/>
        <w:instrText xml:space="preserve">XE "Fett" \G </w:instrText>
        <w:fldChar w:fldCharType="end"/>
        <w:t>Fett oder Salz (oder Kombinationen davon) sind gängige UPF-Bestandteile, typischerweise in höheren Konzentrationen als in verarbeiteten Lebensmitteln, wie die Forschenden erläutern.</w:t>
      </w:r>
    </w:p>
    <w:p>
      <w:r>
        <w:t>Manche Kritiker hielten es nicht für zielführend, Lebensmittel mit potenziell hohem Nährwert wie angereicherte Frühstückszerealien und aromatisierte Joghurts zusammen mit Produkten wie stark verarbeitetem Fleisch oder zuckerhaltigen Getränken in diese Kategorie einzuordnen. "UPF werden jedoch selten isoliert konsumiert", geben die Forschenden dazu zu bedenken. Es gehe um das generelle Ernährungsmuster, bei dem vollwertige und minimal verarbeitete Lebensmittel durch verarbeitete Alternativen ersetzt werden.</w:t>
      </w:r>
    </w:p>
    <w:p>
      <w:pPr>
        <w:pStyle w:val="para3"/>
        <w:numPr>
          <w:ilvl w:val="2"/>
          <w:numId w:val="1"/>
        </w:numPr>
        <w:ind w:left="720" w:hanging="720"/>
      </w:pPr>
      <w:bookmarkStart w:id="197" w:name="_TOC000328"/>
      <w:r>
        <w:t>Eine profitable Industrie</w:t>
      </w:r>
      <w:bookmarkEnd w:id="197"/>
      <w:r/>
    </w:p>
    <w:p>
      <w:r>
        <w:t>Der zunehmende Anteil ultraverarbeiteter Lebensmittel an der menschlichen Ernährung werde durch die wachsende wirtschaftliche und politische Macht der UPF-Industrie nahezu überall vorangetrieben, erklärte das Expertenteam. Mit einem jährlichen Umsatz von rund 1,9 Billionen US-Dollar im Jahr 2023 sei der Sektor bereits der profitabelste Teil der globalen Lebensmittelindustrie, Tendenz steigend.</w:t>
      </w:r>
    </w:p>
    <w:p>
      <w:r>
        <w:t>Besonders in einkommensschwachen Ländern sei der Verkauf zuletzt stark gestiegen. In einkommensstarken Ländern wie den USA oder Großbritannien liege der Anteil hochverarbeiteter Lebensmittel an der täglichen Nahrungsaufnahme bereits bei bis zu 50 Prozent. "Der steigende Konsum hochverarbeiteter Lebensmittel verändert weltweit die Ernährungsgewohnheiten und verdrängt frische und minimal verarbeitete Lebensmittel und Mahlzeiten", sagte Carlos Monteiro von der Universität São Paulo (Brasilien).</w:t>
      </w:r>
    </w:p>
    <w:p>
      <w:pPr>
        <w:pStyle w:val="para3"/>
        <w:numPr>
          <w:ilvl w:val="2"/>
          <w:numId w:val="1"/>
        </w:numPr>
        <w:ind w:left="720" w:hanging="720"/>
      </w:pPr>
      <w:bookmarkStart w:id="198" w:name="_TOC000329"/>
      <w:r>
        <w:t>Anteil in deutschen Supermärkten hoch</w:t>
      </w:r>
      <w:bookmarkEnd w:id="198"/>
      <w:r/>
    </w:p>
    <w:p>
      <w:r>
        <w:t>"In einer Marktanalyse mit über 24.000 Lebensmitteln konnte meine Arbeitsgruppe zeigen, dass etwa die Hälfte der in deutschen Supermärkten angebotenen Produkte hochverarbeitet ist", sagte der Ernährungswissenschaftler Mathias Fasshauer von der Justus-Liebig-Universität Gießen, der selbst nicht an der "Lancet"-Serie beteiligt war.</w:t>
      </w:r>
    </w:p>
    <w:p>
      <w:r>
        <w:t>Deutschland sei eines der Länder mit dem höchsten Pro-Kopf-Absatz an hochverarbeiteten Lebensmitteln, erklärte der Gesundheitsökonom Peter von Philipsborn von der Universität Bayreuth. "Studien zeigen übereinstimmend, dass in Deutschland weniger frische, gering verarbeitete Lebensmittel verzehrt werden als empfohlen, während Produkte wie Softdrinks, Süßwaren, salzige Snacks und verarbeitetes Fleisch häufiger als empfohlen verzehrt werden."</w:t>
      </w:r>
    </w:p>
    <w:p>
      <w:pPr>
        <w:pStyle w:val="para3"/>
        <w:numPr>
          <w:ilvl w:val="2"/>
          <w:numId w:val="1"/>
        </w:numPr>
        <w:ind w:left="720" w:hanging="720"/>
      </w:pPr>
      <w:bookmarkStart w:id="199" w:name="_TOC000330"/>
      <w:r>
        <w:t>Kosten einer gesunden Ernährung</w:t>
      </w:r>
      <w:bookmarkEnd w:id="199"/>
      <w:r/>
    </w:p>
    <w:p>
      <w:r>
        <w:t>Die Veränderung der Ernährungsgewohnheiten werde von mächtigen globalen Konzernen vorangetrieben, die durch hochverarbeitete Produkte enorme Gewinne erzielten, sagte Monteiro. Durch umfangreiches Marketing und politische Lobbyarbeit verhinderten sie wirksame Maßnahmen zur Förderung einer gesunden Ernährung.</w:t>
      </w:r>
    </w:p>
    <w:p>
      <w:r>
        <w:t>Für den Nutzer sind die Produkte bequem: Eine Tiefkühlpizza ist in wenigen Minuten fertig - für die Selbstgemachte aus dem Ofen muss dagegen Teig angesetzt, Gemüse geschnippelt und Käse gerieben werden. Zudem sind Fertigprodukte wegen der billigen Zutaten und automatisierten Herstellungsprozesse oft sehr günstig, wie die Forschenden erklären.</w:t>
      </w:r>
    </w:p>
    <w:p>
      <w:r>
        <w:t>Viele Menschen könnten sich eine gesunde Ernährung gar nicht mehr leisten, geben Experten der Weltgesundheitsorganisation (WHO) in einem Kommentar zu den "Lancet"-Beiträgen zu bedenken. "Lebensmittel, die Bestandteil einer gesunden Ernährung sind, wie Obst, Gemüse und Hülsenfrüchte, werden für viele immer unerschwinglicher, während Lebensmittelprodukte, die heute als hochverarbeitete Lebensmittel (UPFs) bekannt sind, preiswert und weltweit weit verbreitet sind."</w:t>
      </w:r>
    </w:p>
    <w:p>
      <w:r>
        <w:t>Dutzende Studien zeigen den "Lancet"-Autoren zufolge, dass eine Ernährung mit hohem UPF-Anteil mit übermäßigem Essen, schlechter Nährstoffqualität (zu viel Zucker und ungesunde Fette, zu wenig Ballaststoffe und Proteine) und einer höheren Belastung durch schädliche Chemikalien und Zusatzstoffe einhergeht. Dadurch werde das Risiko für zahlreiche chronische Erkrankungen erhöht, darunter Fettleibigkeit, Typ-2-Diabetes, Herz-Kreislauf-Erkrankungen und Depressionen.</w:t>
      </w:r>
    </w:p>
    <w:p>
      <w:r>
        <w:t xml:space="preserve">Diese Folgen spielten auch in Deutschland eine große Rolle, erklärte von Philipsborn, der selbst nicht an der "Lancet"-Serie beteiligt war. Etwa ein Viertel aller Erwachsenen sei von Adipositas betroffen. "Starkes Übergewicht hat häufig Krankheiten wie Diabetes mellitus, Herz-Kreislauf-Krankheiten und </w:t>
        <w:fldChar w:fldCharType="begin"/>
        <w:instrText xml:space="preserve">XE "Arthrose" \G </w:instrText>
        <w:fldChar w:fldCharType="end"/>
        <w:t>Arthrose zur Folge. Dies trägt zu den in Deutschland im internationalen Vergleich sehr hohen Gesundheitskosten und Krankenstand bei."</w:t>
      </w:r>
    </w:p>
    <w:p>
      <w:pPr>
        <w:pStyle w:val="para3"/>
        <w:numPr>
          <w:ilvl w:val="2"/>
          <w:numId w:val="1"/>
        </w:numPr>
        <w:ind w:left="720" w:hanging="720"/>
      </w:pPr>
      <w:bookmarkStart w:id="200" w:name="_TOC000331"/>
      <w:r>
        <w:t>Kinder besonders anfällig</w:t>
      </w:r>
      <w:bookmarkEnd w:id="200"/>
      <w:r/>
    </w:p>
    <w:p>
      <w:r>
        <w:t>Die UPF-Industrie räume dem Unternehmensgewinn Vorrang vor der öffentlichen Gesundheit ein, heißt es bei "Lancet". Die weltweite Verbreitung hochverarbeiteter Lebensmittel sei zu einer der dringendsten, aber unzureichend behandelten Bedrohungen für die menschliche Gesundheit im 21. Jahrhundert geworden, warnt das Kinderhilfswerk Unicef in einem Kommentar zu den Fachbeiträgen.</w:t>
      </w:r>
    </w:p>
    <w:p>
      <w:r>
        <w:t>Kinder seien besonders anfällig für hochverarbeitete Lebensmittel und deren schädliche Wirkung, heißt es darin auch. Zugleich seien Kindertagesstätten, Schulen und nahegelegene Einzelhandelsgeschäfte, Sport- und Freizeiteinrichtungen häufig mit UPF überschwemmt - auch durch Sponsoring-Vereinbarungen, die den Konsum von UPF normalisieren.</w:t>
      </w:r>
    </w:p>
    <w:p>
      <w:r>
        <w:t>Unicef bilanziert: "Angesichts der zunehmenden Beweise, die einen Zusammenhang zwischen UPFs und ultraverarbeiteten Ernährungsmustern und Unterernährung sowie gesundheitlichen Problemen bei Kindern herstellen, stellt sich nicht die Frage, ob Handlungsbedarf besteht, sondern warum so viele Länder noch keine sinnvollen Maßnahmen ergriffen haben."</w:t>
      </w:r>
    </w:p>
    <w:p>
      <w:r>
        <w:t>"Genauso wie wir vor Jahrzehnten gegen die Tabakindustrie vorgegangen sind, brauchen wir jetzt eine mutige, koordinierte globale Reaktion, um die überproportionale Macht der UPF-Konzerne einzudämmen und Lebensmittelsysteme aufzubauen, die die Gesundheit und das Wohlbefinden der Menschen in den Vordergrund stellen", sagte Karen Hofman von der University of the Witwatersrand (Südafrika).</w:t>
      </w:r>
    </w:p>
    <w:p>
      <w:r>
        <w:t xml:space="preserve">Maßnahmen zur Reduzierung der Produktion, Vermarktung und des Konsums wie die Besteuerung ungesunder Waren, Werbeverbote sowie Qualitätsstandards für Schul- und Krankenhausküchen sind den Autoren zufolge nötig, die Bekämpfung hoher </w:t>
        <w:fldChar w:fldCharType="begin"/>
        <w:instrText xml:space="preserve">XE "Fett" \G </w:instrText>
        <w:fldChar w:fldCharType="end"/>
        <w:t>Fett-, Zucker- und Salzgehalte und eine Verbesserung des Zugangs zu gesunden Lebensmitteln. Letzteres könnte durch die Besteuerung ausgewählter UPFs erreicht werden, um Subventionen für frische Lebensmittel für einkommensschwache Haushalte zu finanzieren.</w:t>
      </w:r>
    </w:p>
    <w:p>
      <w:r>
        <w:t>Gerechtigkeit müsse im Mittelpunkt stehen, hieß es. "Der Konsum ist tendenziell höher bei Menschen in wirtschaftlich schwierigen Lagen. Bemühungen um einen Übergang weg von UPF-reichen Ernährungsweisen dürfen die geschlechtsspezifischen Ungleichheiten beim Kochen oder die Ernährungsunsicherheit von Bevölkerungsgruppen, die auf günstige UPF-Produkte angewiesen sind, nicht verschärfen."</w:t>
      </w:r>
    </w:p>
    <w:p>
      <w:r>
        <w:t>Das größte Hindernis für die Umsetzung politischer Maßnahmen sieht das Expertenteam darin, dass die Industrie über ein globales Netzwerk von Tarnorganisationen, Multi-Stakeholder-Initiativen und Forschungspartnern dagegen ankämpfe und Regulierungen blockiere. Um direkte Lobbyarbeit gehe es dabei ebenso wie um die Infiltration von Regierungsbehörden und die Beeinflussung der öffentlichen Debatte, etwa über gezieltes Schüren von Zweifeln an wissenschaftlichen Erkenntnissen.</w:t>
      </w:r>
    </w:p>
    <w:p>
      <w:r>
        <w:t>"Die Lebensmittelsysteme haben sich so entwickelt, dass Produktion, Vermarktung und Konsum ultraverarbeiteter Lebensmittel Priorität haben", heißt es bei "Lancet". Diesen Trend umzukehren, werde ein langfristiger Prozess sein. Noch stecke die globale Reaktion in den Anfängen, ähnlich wie die Tabakkontrollbewegung vor Jahrzehnten.</w:t>
      </w:r>
    </w:p>
    <w:p>
      <w:r>
        <w:t>Quelle: ntv.de, mpe/dpa</w:t>
      </w:r>
    </w:p>
    <w:p>
      <w:pPr>
        <w:pStyle w:val="para1"/>
        <w:numPr>
          <w:ilvl w:val="0"/>
          <w:numId w:val="1"/>
        </w:numPr>
        <w:ind w:left="432" w:hanging="432"/>
      </w:pPr>
      <w:bookmarkStart w:id="201" w:name="_TOC000332"/>
      <w:r>
        <w:t xml:space="preserve">Ernährung bei Entzündungen, </w:t>
        <w:fldChar w:fldCharType="begin"/>
        <w:instrText xml:space="preserve">XE "Arthrose" \G </w:instrText>
        <w:fldChar w:fldCharType="end"/>
        <w:t>Arthrose</w:t>
      </w:r>
      <w:bookmarkEnd w:id="195"/>
      <w:r>
        <w:t xml:space="preserve"> und Rheuma</w:t>
      </w:r>
      <w:bookmarkEnd w:id="201"/>
      <w:r/>
    </w:p>
    <w:p>
      <w:r>
        <w:t xml:space="preserve">Ein entscheidender Schlüssel gegen Gelenkschmerzen liegt in der Umstellung der Ernährung. Mit den richtigen Lebensmitteln lässt sich die chronische Entzündung, die bei Gelenkrheuma und </w:t>
        <w:fldChar w:fldCharType="begin"/>
        <w:instrText xml:space="preserve">XE "Arthrose" \G </w:instrText>
        <w:fldChar w:fldCharType="end"/>
        <w:t>Arthrose für Schmerzen sorgt, wirksam eindämmen.</w:t>
      </w:r>
    </w:p>
    <w:p>
      <w:r>
        <w:t xml:space="preserve">Eine Fischpfanne mit buntem Gemüse, ein leckeres Hähnchencurry oder auch eine pikante Pizza mit Auberginen: So genussvoll können Sie die Entzündung bekämpfen, die den Gelenken bei </w:t>
        <w:fldChar w:fldCharType="begin"/>
        <w:instrText xml:space="preserve">XE "Arthrose" \G </w:instrText>
        <w:fldChar w:fldCharType="end"/>
        <w:t xml:space="preserve">Arthrose und rheumatoider Arthritis gleichermaßen zu schaffen macht. Denn obwohl sich diese Erkrankungen in vielerlei Hinsicht unterscheiden, sind in beiden Fällen inflammatorische Prozesse entscheidend beteiligt. </w:t>
      </w:r>
    </w:p>
    <w:p>
      <w:r>
        <w:t>Bei Arthritis steht die Entzündung der Gelenke im Mittelpunkt der Erkrankung.</w:t>
      </w:r>
    </w:p>
    <w:p>
      <w:r>
        <w:t xml:space="preserve">Bei </w:t>
        <w:fldChar w:fldCharType="begin"/>
        <w:instrText xml:space="preserve">XE "Arthrose" \G </w:instrText>
        <w:fldChar w:fldCharType="end"/>
        <w:t>Arthrose bildet eine niedriggradige Entzündung den entscheidenden Faktor hinter dem Knorpelschwund.</w:t>
      </w:r>
    </w:p>
    <w:p>
      <w:pPr>
        <w:pStyle w:val="para2"/>
        <w:numPr>
          <w:ilvl w:val="1"/>
          <w:numId w:val="1"/>
        </w:numPr>
        <w:ind w:left="576" w:hanging="576"/>
      </w:pPr>
      <w:bookmarkStart w:id="202" w:name="_TOC000139"/>
      <w:r>
        <w:t>Die Anti-Entzündungs-</w:t>
      </w:r>
      <w:bookmarkEnd w:id="202"/>
      <w:r>
        <w:t>Ernährung</w:t>
      </w:r>
    </w:p>
    <w:p>
      <w:r>
        <w:t xml:space="preserve">Basis der </w:t>
        <w:fldChar w:fldCharType="begin"/>
        <w:instrText xml:space="preserve">XE "Anti-Entzündungs-Diät" \G </w:instrText>
        <w:fldChar w:fldCharType="end"/>
        <w:t xml:space="preserve">Anti-Entzündungs-Diät ist eine vollwertige Ernährung à la traditioneller Mittelmeerküche. Die Kurzformel lautet: reichlich Gemüse, Salate, zuckerarme Früchte und frische Kräuter, insgesamt wenig </w:t>
        <w:fldChar w:fldCharType="begin"/>
        <w:instrText xml:space="preserve">XE "Fett" \G </w:instrText>
        <w:fldChar w:fldCharType="end"/>
        <w:t>Fett und Fertigprodukte, regelmäßig Fisch als Eiweißquelle - und das Ganze mit hochwertigen Pflanzenölen zubereitet.</w:t>
      </w:r>
    </w:p>
    <w:p>
      <w:r>
        <w:t xml:space="preserve">Ein Erfolgsrezept dieser Diät liegt darin, dass sie den Anteil der </w:t>
        <w:fldChar w:fldCharType="begin"/>
        <w:instrText xml:space="preserve">XE "Arachidonsäure" \G </w:instrText>
        <w:fldChar w:fldCharType="end"/>
        <w:t>Arachidonsäure aus Lebensmitteln wie Fleisch oder Wurst auf ein Minimum reduziert. Aus dieser Fettsäure bastelt sich der Körper sogenannte Eicosanoide, die die Entzündung in den Gelenken fördern. Positiv wirkt sich auch der Verzicht auf Weißmehlprodukte mit ihren entzündungsfördernden Lektinen aus.</w:t>
      </w:r>
    </w:p>
    <w:p>
      <w:r>
        <w:t>Entzündungshemmend hingegen agieren Omega-3-</w:t>
        <w:fldChar w:fldCharType="begin"/>
        <w:instrText xml:space="preserve">XE "Fettsäuren" \G </w:instrText>
        <w:fldChar w:fldCharType="end"/>
        <w:t xml:space="preserve">Fettsäuren, die vor allem in Fisch und Meeresfrüchten stecken. Ebenfalls enorm wertvoll: </w:t>
        <w:fldChar w:fldCharType="begin"/>
        <w:instrText xml:space="preserve">XE "Antioxidantien" \G </w:instrText>
        <w:fldChar w:fldCharType="end"/>
        <w:t>Antioxidantien, also spezielle Substanzen in Obst, Gemüse oder Gewürzen. Sie schützen das Gewebe in den Gelenken vor den aggressiven Sauerstoffverbindungen, die bei Entzündungen entstehen.</w:t>
      </w:r>
    </w:p>
    <w:p>
      <w:pPr>
        <w:pStyle w:val="para4"/>
        <w:numPr>
          <w:ilvl w:val="3"/>
          <w:numId w:val="1"/>
        </w:numPr>
        <w:ind w:left="1077" w:hanging="1077"/>
      </w:pPr>
      <w:bookmarkStart w:id="203" w:name="_TOC000140"/>
      <w:r>
        <w:t>Das bringt die Diät bei rheumatoider Arthritis</w:t>
      </w:r>
      <w:bookmarkEnd w:id="203"/>
      <w:r/>
    </w:p>
    <w:p>
      <w:r>
        <w:t>In klinischen Studien reduzierte sich bei Patienten, die sich auf diese Weise ernährten, die Zahl der geschwollenen Gelenke und die Intensität der Schmerzen spürbar. Diese Besserung tritt nach etwa drei Monaten ein. Ist die schädliche Entzündung eingedämmt, unter Umständen mithilfe von extra Supplementen, können Schmerzmittel in Abstimmung mit dem Rheumatologen reduziert werden.</w:t>
      </w:r>
    </w:p>
    <w:p>
      <w:pPr>
        <w:pStyle w:val="para4"/>
        <w:numPr>
          <w:ilvl w:val="3"/>
          <w:numId w:val="1"/>
        </w:numPr>
        <w:ind w:left="1077" w:hanging="1077"/>
      </w:pPr>
      <w:bookmarkStart w:id="204" w:name="_TOC000141"/>
      <w:r>
        <w:t xml:space="preserve">Das bringt die Diät bei </w:t>
        <w:fldChar w:fldCharType="begin"/>
        <w:instrText xml:space="preserve">XE "Arthrose" \G </w:instrText>
        <w:fldChar w:fldCharType="end"/>
        <w:t>Arthrose</w:t>
      </w:r>
      <w:bookmarkEnd w:id="204"/>
      <w:r/>
    </w:p>
    <w:p>
      <w:r>
        <w:t xml:space="preserve">Die antiinflammatorische Ernährung dämmt den Entzündungsreiz ein, lindert die Schmerzen und verschafft den Gelenken neue Beweglichkeit. Im günstigsten Fall bahnt sie der Heilung den Weg. Dafür braucht es dann nur mehr einen weiteren Schritt: nämlich die </w:t>
        <w:fldChar w:fldCharType="begin"/>
        <w:instrText xml:space="preserve">XE "Knorpelregeneration" \G </w:instrText>
        <w:fldChar w:fldCharType="end"/>
        <w:t>Knorpelregeneration mithilfe von extra Nährstoffen.</w:t>
      </w:r>
    </w:p>
    <w:p>
      <w:pPr>
        <w:pStyle w:val="para3"/>
        <w:numPr>
          <w:ilvl w:val="2"/>
          <w:numId w:val="1"/>
        </w:numPr>
        <w:ind w:left="720" w:hanging="720"/>
      </w:pPr>
      <w:bookmarkStart w:id="205" w:name="_TOC000142"/>
      <w:r>
        <w:t>Die wichtigsten Nährstoffe der Anti-Entzündungsdiät</w:t>
      </w:r>
      <w:bookmarkEnd w:id="205"/>
      <w:r/>
    </w:p>
    <w:p>
      <w:r>
        <w:t xml:space="preserve">Wer Arthritis oder </w:t>
        <w:fldChar w:fldCharType="begin"/>
        <w:instrText xml:space="preserve">XE "Arthrose" \G </w:instrText>
        <w:fldChar w:fldCharType="end"/>
        <w:t>Arthrose mit dem Kochlöffel bekämpft, der braucht etwas Nährstoff-Know-how. Im Folgenden finden Sie die zentralen Begriffe und die wichtigsten Gesundheitshelfer kurz erklärt.</w:t>
      </w:r>
    </w:p>
    <w:p>
      <w:pPr>
        <w:pStyle w:val="para4"/>
        <w:numPr>
          <w:ilvl w:val="3"/>
          <w:numId w:val="1"/>
        </w:numPr>
        <w:ind w:left="1077" w:hanging="1077"/>
      </w:pPr>
      <w:bookmarkStart w:id="206" w:name="_TOC000143"/>
      <w:r>
        <w:fldChar w:fldCharType="begin"/>
        <w:instrText xml:space="preserve">XE "Antioxidantien" \G </w:instrText>
        <w:fldChar w:fldCharType="end"/>
        <w:t>Antioxidantien</w:t>
      </w:r>
      <w:bookmarkEnd w:id="206"/>
      <w:r/>
    </w:p>
    <w:p>
      <w:r>
        <w:t xml:space="preserve">Dieser Begriff steht für Wirkstoffe vor allem in Obst, Gemüse oder Nüssen, die vor Zerstörungsprozessen in den Gelenken schützen. Zu den wichtigsten Vertretern gehören die </w:t>
        <w:fldChar w:fldCharType="begin"/>
        <w:instrText xml:space="preserve">XE "Vitamine" \G </w:instrText>
        <w:fldChar w:fldCharType="end"/>
        <w:t xml:space="preserve">Vitamine A, C und E sowie </w:t>
        <w:fldChar w:fldCharType="begin"/>
        <w:instrText xml:space="preserve">XE "Mineralstoffe" \G </w:instrText>
        <w:fldChar w:fldCharType="end"/>
        <w:t xml:space="preserve">Mineralstoffe wie </w:t>
        <w:fldChar w:fldCharType="begin"/>
        <w:instrText xml:space="preserve">XE "Selen" \G </w:instrText>
        <w:fldChar w:fldCharType="end"/>
        <w:t xml:space="preserve">Selen und </w:t>
        <w:fldChar w:fldCharType="begin"/>
        <w:instrText xml:space="preserve">XE "Zink" \G </w:instrText>
        <w:fldChar w:fldCharType="end"/>
        <w:t xml:space="preserve">Zink. Auch Carotinoide, Flavonoide und weitere sekundäre Pflanzenstoffe zählen zu den </w:t>
        <w:fldChar w:fldCharType="begin"/>
        <w:instrText xml:space="preserve">XE "Antioxidantien" \G </w:instrText>
        <w:fldChar w:fldCharType="end"/>
        <w:t xml:space="preserve">Antioxidantien. All diese Biosubstanzen neutralisieren </w:t>
        <w:fldChar w:fldCharType="begin"/>
        <w:instrText xml:space="preserve">XE "Freie Radikale" \G </w:instrText>
        <w:fldChar w:fldCharType="end"/>
        <w:t>freie Radikale, also hochreaktive Sauerstoffverbindungen, die bei Entzündungen vermehrt in den Zellen anfallen und die Gelenkschäden verschlimmern.</w:t>
      </w:r>
    </w:p>
    <w:p>
      <w:pPr>
        <w:pStyle w:val="para4"/>
        <w:numPr>
          <w:ilvl w:val="3"/>
          <w:numId w:val="1"/>
        </w:numPr>
        <w:ind w:left="1077" w:hanging="1077"/>
      </w:pPr>
      <w:bookmarkStart w:id="207" w:name="_TOC000254"/>
      <w:r/>
      <w:bookmarkStart w:id="208" w:name="_TOC000144"/>
      <w:r/>
      <w:bookmarkEnd w:id="208"/>
      <w:r/>
      <w:bookmarkStart w:id="209" w:name="_TOC000242"/>
      <w:r>
        <w:t>Fette</w:t>
      </w:r>
      <w:bookmarkEnd w:id="209"/>
      <w:r/>
      <w:bookmarkEnd w:id="207"/>
      <w:r/>
    </w:p>
    <w:p>
      <w:r>
        <w:t>Der richtige Fettmix:</w:t>
      </w:r>
    </w:p>
    <w:tbl>
      <w:tblPr>
        <w:tblStyle w:val="TableGrid"/>
        <w:name w:val="Tabelle3"/>
        <w:tabOrder w:val="0"/>
        <w:jc w:val="left"/>
        <w:tblInd w:w="0" w:type="dxa"/>
        <w:tblW w:w="9066" w:type="dxa"/>
        <w:pPr>
          <w:pStyle w:val="para5"/>
          <w:numPr>
            <w:ilvl w:val="0"/>
            <w:numId w:val="0"/>
          </w:numPr>
          <w:ind w:left="0" w:firstLine="0"/>
          <w:spacing/>
          <w:jc w:val="left"/>
          <w:rPr>
            <w:rFonts w:eastAsia="Cambria" w:cs="Basic Roman"/>
            <w:color w:val="auto"/>
            <w:sz w:val="22"/>
            <w:szCs w:val="22"/>
            <w:lang w:eastAsia="zh-cn" w:bidi="ar-sa"/>
          </w:rPr>
        </w:pPr>
        <w:tblLook w:val="04A0" w:firstRow="1" w:lastRow="0" w:firstColumn="1" w:lastColumn="0" w:noHBand="0" w:noVBand="1"/>
      </w:tblPr>
      <w:tblGrid>
        <w:gridCol w:w="3022"/>
        <w:gridCol w:w="3022"/>
        <w:gridCol w:w="3022"/>
      </w:tblGrid>
      <w:tr>
        <w:trPr>
          <w:tblHeader w:val="0"/>
          <w:cantSplit w:val="0"/>
          <w:trHeight w:val="0" w:hRule="auto"/>
        </w:trPr>
        <w:tc>
          <w:tcPr>
            <w:tcW w:w="3022" w:type="dxa"/>
            <w:tcMar>
              <w:top w:w="113" w:type="dxa"/>
              <w:left w:w="113" w:type="dxa"/>
              <w:bottom w:w="113" w:type="dxa"/>
              <w:right w:w="113" w:type="dxa"/>
            </w:tcMar>
            <w:tmTcPr id="1766737683" protected="0"/>
          </w:tcPr>
          <w:p>
            <w:pPr>
              <w:spacing/>
              <w:jc w:val="left"/>
            </w:pPr>
            <w:r/>
          </w:p>
        </w:tc>
        <w:tc>
          <w:tcPr>
            <w:tcW w:w="3022" w:type="dxa"/>
            <w:tcMar>
              <w:top w:w="113" w:type="dxa"/>
              <w:left w:w="113" w:type="dxa"/>
              <w:bottom w:w="113" w:type="dxa"/>
              <w:right w:w="113" w:type="dxa"/>
            </w:tcMar>
            <w:tmTcPr id="1766737683" protected="0"/>
          </w:tcPr>
          <w:p>
            <w:pPr>
              <w:pStyle w:val="para0"/>
              <w:ind w:firstLine="0"/>
              <w:spacing/>
              <w:jc w:val="left"/>
            </w:pPr>
            <w:r>
              <w:t>So viel brauchen Sie täglich</w:t>
            </w:r>
          </w:p>
        </w:tc>
        <w:tc>
          <w:tcPr>
            <w:tcW w:w="3022" w:type="dxa"/>
            <w:tcMar>
              <w:top w:w="113" w:type="dxa"/>
              <w:left w:w="113" w:type="dxa"/>
              <w:bottom w:w="113" w:type="dxa"/>
              <w:right w:w="113" w:type="dxa"/>
            </w:tcMar>
            <w:tmTcPr id="1766737683" protected="0"/>
          </w:tcPr>
          <w:p>
            <w:pPr>
              <w:pStyle w:val="para0"/>
              <w:ind w:firstLine="0"/>
              <w:spacing/>
              <w:jc w:val="left"/>
            </w:pPr>
            <w:r>
              <w:t>Vorkommen</w:t>
            </w:r>
          </w:p>
        </w:tc>
      </w:tr>
      <w:tr>
        <w:trPr>
          <w:tblHeader w:val="0"/>
          <w:cantSplit w:val="0"/>
          <w:trHeight w:val="0" w:hRule="auto"/>
        </w:trPr>
        <w:tc>
          <w:tcPr>
            <w:tcW w:w="3022" w:type="dxa"/>
            <w:tcMar>
              <w:top w:w="113" w:type="dxa"/>
              <w:left w:w="113" w:type="dxa"/>
              <w:bottom w:w="113" w:type="dxa"/>
              <w:right w:w="113" w:type="dxa"/>
            </w:tcMar>
            <w:tmTcPr id="1766737683" protected="0"/>
          </w:tcPr>
          <w:p>
            <w:pPr>
              <w:pStyle w:val="para0"/>
              <w:spacing/>
              <w:jc w:val="left"/>
            </w:pPr>
            <w:r>
              <w:fldChar w:fldCharType="begin"/>
              <w:instrText xml:space="preserve">XE "Arachidonsäure" \G </w:instrText>
              <w:fldChar w:fldCharType="end"/>
              <w:t>Arachidonsäure (AA)</w:t>
            </w:r>
          </w:p>
        </w:tc>
        <w:tc>
          <w:tcPr>
            <w:tcW w:w="3022" w:type="dxa"/>
            <w:tcMar>
              <w:top w:w="113" w:type="dxa"/>
              <w:left w:w="113" w:type="dxa"/>
              <w:bottom w:w="113" w:type="dxa"/>
              <w:right w:w="113" w:type="dxa"/>
            </w:tcMar>
            <w:tmTcPr id="1766737683" protected="0"/>
          </w:tcPr>
          <w:p>
            <w:pPr>
              <w:pStyle w:val="para0"/>
              <w:spacing/>
              <w:jc w:val="left"/>
            </w:pPr>
            <w:r>
              <w:t>nicht mehr als 50 mg</w:t>
            </w:r>
          </w:p>
        </w:tc>
        <w:tc>
          <w:tcPr>
            <w:tcW w:w="3022" w:type="dxa"/>
            <w:tcMar>
              <w:top w:w="113" w:type="dxa"/>
              <w:left w:w="113" w:type="dxa"/>
              <w:bottom w:w="113" w:type="dxa"/>
              <w:right w:w="113" w:type="dxa"/>
            </w:tcMar>
            <w:tmTcPr id="1766737683" protected="0"/>
          </w:tcPr>
          <w:p>
            <w:pPr>
              <w:pStyle w:val="para0"/>
              <w:spacing/>
              <w:jc w:val="left"/>
            </w:pPr>
            <w:r>
              <w:t>in tierischen Fetten, Muskelfleisch und Innereien, Eiern</w:t>
            </w:r>
          </w:p>
        </w:tc>
      </w:tr>
      <w:tr>
        <w:trPr>
          <w:tblHeader w:val="0"/>
          <w:cantSplit w:val="0"/>
          <w:trHeight w:val="0" w:hRule="auto"/>
        </w:trPr>
        <w:tc>
          <w:tcPr>
            <w:tcW w:w="3022" w:type="dxa"/>
            <w:tcMar>
              <w:top w:w="113" w:type="dxa"/>
              <w:left w:w="113" w:type="dxa"/>
              <w:bottom w:w="113" w:type="dxa"/>
              <w:right w:w="113" w:type="dxa"/>
            </w:tcMar>
            <w:tmTcPr id="1766737683" protected="0"/>
          </w:tcPr>
          <w:p>
            <w:pPr>
              <w:pStyle w:val="para0"/>
              <w:spacing/>
              <w:jc w:val="left"/>
            </w:pPr>
            <w:r>
              <w:t>Eicosapentaensäure (EPA)</w:t>
            </w:r>
          </w:p>
        </w:tc>
        <w:tc>
          <w:tcPr>
            <w:tcW w:w="3022" w:type="dxa"/>
            <w:tcMar>
              <w:top w:w="113" w:type="dxa"/>
              <w:left w:w="113" w:type="dxa"/>
              <w:bottom w:w="113" w:type="dxa"/>
              <w:right w:w="113" w:type="dxa"/>
            </w:tcMar>
            <w:tmTcPr id="1766737683" protected="0"/>
          </w:tcPr>
          <w:p>
            <w:pPr>
              <w:pStyle w:val="para0"/>
              <w:spacing/>
              <w:jc w:val="left"/>
            </w:pPr>
            <w:r>
              <w:t>mindestens 1 Gramm</w:t>
            </w:r>
          </w:p>
        </w:tc>
        <w:tc>
          <w:tcPr>
            <w:tcW w:w="3022" w:type="dxa"/>
            <w:tcMar>
              <w:top w:w="113" w:type="dxa"/>
              <w:left w:w="113" w:type="dxa"/>
              <w:bottom w:w="113" w:type="dxa"/>
              <w:right w:w="113" w:type="dxa"/>
            </w:tcMar>
            <w:tmTcPr id="1766737683" protected="0"/>
          </w:tcPr>
          <w:p>
            <w:pPr>
              <w:pStyle w:val="para0"/>
              <w:spacing/>
              <w:jc w:val="left"/>
            </w:pPr>
            <w:r>
              <w:t>Lachs, Hering, Makrele, Sardelle</w:t>
            </w:r>
          </w:p>
        </w:tc>
      </w:tr>
      <w:tr>
        <w:trPr>
          <w:tblHeader w:val="0"/>
          <w:cantSplit w:val="0"/>
          <w:trHeight w:val="0" w:hRule="auto"/>
        </w:trPr>
        <w:tc>
          <w:tcPr>
            <w:tcW w:w="3022" w:type="dxa"/>
            <w:tcMar>
              <w:top w:w="113" w:type="dxa"/>
              <w:left w:w="113" w:type="dxa"/>
              <w:bottom w:w="113" w:type="dxa"/>
              <w:right w:w="113" w:type="dxa"/>
            </w:tcMar>
            <w:tmTcPr id="1766737683" protected="0"/>
          </w:tcPr>
          <w:p>
            <w:pPr>
              <w:pStyle w:val="para0"/>
              <w:spacing/>
              <w:jc w:val="left"/>
            </w:pPr>
            <w:r>
              <w:t>Alpha-Linolensäure</w:t>
            </w:r>
          </w:p>
        </w:tc>
        <w:tc>
          <w:tcPr>
            <w:tcW w:w="3022" w:type="dxa"/>
            <w:tcMar>
              <w:top w:w="113" w:type="dxa"/>
              <w:left w:w="113" w:type="dxa"/>
              <w:bottom w:w="113" w:type="dxa"/>
              <w:right w:w="113" w:type="dxa"/>
            </w:tcMar>
            <w:tmTcPr id="1766737683" protected="0"/>
          </w:tcPr>
          <w:p>
            <w:pPr>
              <w:pStyle w:val="para0"/>
              <w:spacing/>
              <w:jc w:val="left"/>
            </w:pPr>
            <w:r>
              <w:t>10 Gramm</w:t>
            </w:r>
          </w:p>
        </w:tc>
        <w:tc>
          <w:tcPr>
            <w:tcW w:w="3022" w:type="dxa"/>
            <w:tcMar>
              <w:top w:w="113" w:type="dxa"/>
              <w:left w:w="113" w:type="dxa"/>
              <w:bottom w:w="113" w:type="dxa"/>
              <w:right w:w="113" w:type="dxa"/>
            </w:tcMar>
            <w:tmTcPr id="1766737683" protected="0"/>
          </w:tcPr>
          <w:p>
            <w:pPr>
              <w:pStyle w:val="para0"/>
              <w:spacing/>
              <w:jc w:val="left"/>
            </w:pPr>
            <w:r>
              <w:t>Leinsamen, Leinöl, Walnüssen, Walnussöl, Hanf, Hanföl, Rapsöl</w:t>
            </w:r>
          </w:p>
        </w:tc>
      </w:tr>
    </w:tbl>
    <w:p>
      <w:pPr>
        <w:pStyle w:val="para5"/>
        <w:numPr>
          <w:ilvl w:val="4"/>
          <w:numId w:val="1"/>
        </w:numPr>
        <w:ind w:left="1134" w:hanging="1134"/>
      </w:pPr>
      <w:bookmarkStart w:id="210" w:name="_TOC000147"/>
      <w:r>
        <w:fldChar w:fldCharType="begin"/>
        <w:instrText xml:space="preserve">XE "Arachidonsäure" \G </w:instrText>
        <w:fldChar w:fldCharType="end"/>
        <w:t>Arachidonsäure</w:t>
      </w:r>
      <w:bookmarkEnd w:id="210"/>
      <w:r/>
    </w:p>
    <w:p>
      <w:r>
        <w:t xml:space="preserve">Diese Fettsäure aus Fleisch und tierischen Fetten nutzt der Körper, um entzündungsfördernde Botenstoffe zu bilden, die die Schmerzen verstärken - sogenannte Eicosanoide wie etwa Prostaglandine und Leukotriene. Der Mensch braucht etwa 50 mg </w:t>
        <w:fldChar w:fldCharType="begin"/>
        <w:instrText xml:space="preserve">XE "Arachidonsäure" \G </w:instrText>
        <w:fldChar w:fldCharType="end"/>
        <w:t xml:space="preserve">Arachidonsäure (AA) täglich, im Durchschnitt nimmt jeder Bundesbürger 200 bis 400 mg auf. Aus diesem Überschuss entstehen die Entzündungsmediatoren, die eine Entzündungsreaktion des Körpers einleiten oder aufrechterhalten. Die </w:t>
        <w:fldChar w:fldCharType="begin"/>
        <w:instrText xml:space="preserve">XE "Arachidonsäure" \G </w:instrText>
        <w:fldChar w:fldCharType="end"/>
        <w:t>Arachidonsäure gehört zu den Omega-6-</w:t>
        <w:fldChar w:fldCharType="begin"/>
        <w:instrText xml:space="preserve">XE "Fettsäuren" \G </w:instrText>
        <w:fldChar w:fldCharType="end"/>
        <w:t>Fettsäuren.</w:t>
      </w:r>
    </w:p>
    <w:p>
      <w:pPr>
        <w:pStyle w:val="para5"/>
        <w:numPr>
          <w:ilvl w:val="4"/>
          <w:numId w:val="1"/>
        </w:numPr>
        <w:ind w:left="1134" w:hanging="1134"/>
      </w:pPr>
      <w:bookmarkStart w:id="211" w:name="_TOC000145"/>
      <w:r>
        <w:t>Omega-3-</w:t>
        <w:fldChar w:fldCharType="begin"/>
        <w:instrText xml:space="preserve">XE "Fettsäuren" \G </w:instrText>
        <w:fldChar w:fldCharType="end"/>
        <w:t>Fettsäuren</w:t>
      </w:r>
      <w:bookmarkEnd w:id="211"/>
      <w:r/>
    </w:p>
    <w:p>
      <w:r>
        <w:t>Die aktivsten Omega-3-Fette sind Eicosapentaensäure (EPA) und Docosahexaensäure (DHA). Sie wirken entzündungshemmend und verhindern die Bildung von Eicosanoiden. Auf diese Weise hemmen sie den Arachidonsäurestoffwechsel. Reichlich EPA und DHA steckt in den Fischölen von fetten Seefischen wie Lachs, Hering, Makrele.</w:t>
      </w:r>
    </w:p>
    <w:p>
      <w:pPr>
        <w:pStyle w:val="para5"/>
        <w:numPr>
          <w:ilvl w:val="4"/>
          <w:numId w:val="1"/>
        </w:numPr>
        <w:ind w:left="1134" w:hanging="1134"/>
      </w:pPr>
      <w:bookmarkStart w:id="212" w:name="_TOC000146"/>
      <w:r>
        <w:t>Alpha-Linolensäure</w:t>
      </w:r>
      <w:bookmarkEnd w:id="212"/>
      <w:r/>
    </w:p>
    <w:p>
      <w:r>
        <w:t>Die Alpha-Linolensäure aus Leinöl und anderen pflanzlichen Fetten ist eine Vorstufe, aus der sich der Körper das biologisch aktivere EPA und DHA herstellt. Also die beiden Fette, die Entzündungen in den Gelenken reduzieren. Alpha-Linolensäure gehört zu den Omega-3-</w:t>
        <w:fldChar w:fldCharType="begin"/>
        <w:instrText xml:space="preserve">XE "Fettsäuren" \G </w:instrText>
        <w:fldChar w:fldCharType="end"/>
        <w:t xml:space="preserve">Fettsäuren. (Die verwirrend ähnlich klingende </w:t>
        <w:fldChar w:fldCharType="begin"/>
        <w:instrText xml:space="preserve">XE "Linolsäure" \G </w:instrText>
        <w:fldChar w:fldCharType="end"/>
        <w:t xml:space="preserve">Linolsäure zählt zu den Omega-6-Fetten und bildet eine Vorstufe der </w:t>
        <w:fldChar w:fldCharType="begin"/>
        <w:instrText xml:space="preserve">XE "Arachidonsäure" \G </w:instrText>
        <w:fldChar w:fldCharType="end"/>
        <w:t>Arachidonsäure.)</w:t>
      </w:r>
    </w:p>
    <w:p>
      <w:pPr>
        <w:pStyle w:val="para4"/>
        <w:numPr>
          <w:ilvl w:val="3"/>
          <w:numId w:val="1"/>
        </w:numPr>
        <w:ind w:left="1077" w:hanging="1077"/>
      </w:pPr>
      <w:bookmarkStart w:id="213" w:name="_TOC000148"/>
      <w:r>
        <w:fldChar w:fldCharType="begin"/>
        <w:instrText xml:space="preserve">XE "Vitamine" \G </w:instrText>
        <w:fldChar w:fldCharType="end"/>
        <w:t>Vitamine und Mineralien</w:t>
      </w:r>
      <w:bookmarkEnd w:id="213"/>
      <w:r/>
    </w:p>
    <w:p>
      <w:pPr>
        <w:pStyle w:val="para5"/>
        <w:numPr>
          <w:ilvl w:val="4"/>
          <w:numId w:val="1"/>
        </w:numPr>
        <w:ind w:left="1134" w:hanging="1134"/>
      </w:pPr>
      <w:bookmarkStart w:id="214" w:name="_TOC000149"/>
      <w:r>
        <w:t>Kalzium</w:t>
      </w:r>
      <w:bookmarkEnd w:id="214"/>
      <w:r/>
    </w:p>
    <w:p>
      <w:r>
        <w:t>Das Knochenmineral ist enorm wichtig für Rheumatiker, weil sowohl die Entzündung als auch das Kortison, regelmäßig eingenommen, das Risiko für Osteoporose erhöhen. Auch Arthrosepatienten brauchen viel Kalzium, weil die Knochen in Gelenknähe häutig unter der Erkrankung leiden. Etwa 1 bis 1,5 Gramm sollten täglich aufgenommen werden, am besten aus Milch und Milchprodukten. Gelingt das nicht, kann ein Nahrungsergänzungsmittel die Lücke schließen.</w:t>
      </w:r>
    </w:p>
    <w:p>
      <w:pPr>
        <w:pStyle w:val="para5"/>
        <w:numPr>
          <w:ilvl w:val="4"/>
          <w:numId w:val="1"/>
        </w:numPr>
        <w:ind w:left="1134" w:hanging="1134"/>
      </w:pPr>
      <w:bookmarkStart w:id="215" w:name="_TOC000150"/>
      <w:r>
        <w:t>Vitamin D</w:t>
      </w:r>
      <w:bookmarkEnd w:id="215"/>
      <w:r/>
    </w:p>
    <w:p>
      <w:r>
        <w:t xml:space="preserve">Vitamin D wirkt im Körper im Wesentlichen wie ein Hormon und steuert zahlreiche Prozesse, wobei die wichtigste Funktion die Regulierung des </w:t>
        <w:fldChar w:fldCharType="begin"/>
        <w:instrText xml:space="preserve">XE "Calcium" \G </w:instrText>
        <w:fldChar w:fldCharType="end"/>
        <w:t xml:space="preserve">Calcium- und Phosphatstoffwechsels für starke Knochen und Zähne ist. </w:t>
      </w:r>
    </w:p>
    <w:p>
      <w:r>
        <w:t>Die Wirkungsweise im Detail:</w:t>
      </w:r>
    </w:p>
    <w:p>
      <w:pPr>
        <w:pStyle w:val="para17"/>
        <w:numPr>
          <w:ilvl w:val="1"/>
          <w:numId w:val="2"/>
        </w:numPr>
        <w:ind w:left="397" w:hanging="197"/>
      </w:pPr>
      <w:r>
        <w:rPr>
          <w:b/>
          <w:bCs/>
        </w:rPr>
        <w:t>Knochengesundheit:</w:t>
      </w:r>
      <w:r>
        <w:t xml:space="preserve"> Vitamin D fördert die Aufnahme (Resorption) von </w:t>
        <w:fldChar w:fldCharType="begin"/>
        <w:instrText xml:space="preserve">XE "Calcium" \G </w:instrText>
        <w:fldChar w:fldCharType="end"/>
        <w:t>Calcium und Phosphat aus dem Darm in den Körper. Dies ist essenziell für die Mineralisierung, den Aufbau und die Erhaltung von Knochen und Zähnen. Ein Mangel kann bei Kindern zu Rachitis und bei Erwachsenen zu Osteoporose oder Osteomalazie führen.</w:t>
      </w:r>
    </w:p>
    <w:p>
      <w:pPr>
        <w:pStyle w:val="para17"/>
        <w:numPr>
          <w:ilvl w:val="1"/>
          <w:numId w:val="2"/>
        </w:numPr>
        <w:ind w:left="397" w:hanging="197"/>
      </w:pPr>
      <w:r>
        <w:rPr>
          <w:b/>
          <w:bCs/>
        </w:rPr>
        <w:t>Muskelfunktion:</w:t>
      </w:r>
      <w:r>
        <w:t xml:space="preserve"> Es unterstützt die normale Funktion der Muskeln und kann helfen, Kraftverlust sowie Stürze bei älteren Menschen zu reduzieren.</w:t>
      </w:r>
    </w:p>
    <w:p>
      <w:pPr>
        <w:pStyle w:val="para17"/>
        <w:numPr>
          <w:ilvl w:val="1"/>
          <w:numId w:val="2"/>
        </w:numPr>
        <w:ind w:left="397" w:hanging="197"/>
      </w:pPr>
      <w:r>
        <w:rPr>
          <w:b/>
          <w:bCs/>
        </w:rPr>
        <w:t>Immunsystem:</w:t>
      </w:r>
      <w:r>
        <w:t xml:space="preserve"> Vitamin D spielt eine wichtige Rolle bei der Modulation des Immunsystems. Es kann helfen, Entzündungen zu reduzieren und das Risiko für akute Atemwegsinfektionen wie Erkältungen zu senken.</w:t>
      </w:r>
    </w:p>
    <w:p>
      <w:pPr>
        <w:pStyle w:val="para17"/>
        <w:numPr>
          <w:ilvl w:val="1"/>
          <w:numId w:val="2"/>
        </w:numPr>
        <w:ind w:left="397" w:hanging="197"/>
      </w:pPr>
      <w:r>
        <w:rPr>
          <w:b/>
          <w:bCs/>
        </w:rPr>
        <w:t>Zellteilung:</w:t>
      </w:r>
      <w:r>
        <w:t xml:space="preserve"> Es ist an der Regulation der Zellteilung und des Zellwachstums beteiligt.</w:t>
      </w:r>
    </w:p>
    <w:p>
      <w:r>
        <w:t>In Lebensmitteln steckt kaum nennenswert Vitamin D (Ausnahme: Fettfische), dafür wird das Sonnenvitamin vom Körper selbst gebildet, wenn ausreichend UVB-Strahlung auf die bloße Haut trifft. Der Körper speichert Vitamin D jedoch nur begrenzt, deshalb hat etwa jeder Dritte im Winter zu wenig (unter 30 Nanogramm pro Milliliter) im Blut.</w:t>
      </w:r>
    </w:p>
    <w:p>
      <w:r>
        <w:t>Der geschätzte Tagesbedarf an Vitamin D beträgt für Erwachsene ohne Sonnenlichtexposition 20 µg.</w:t>
      </w:r>
    </w:p>
    <w:p>
      <w:r/>
    </w:p>
    <w:p>
      <w:r>
        <w:br w:type="page"/>
      </w:r>
      <w:r>
        <w:t>In Lebensmitteln steckt kaum nennenswert Vitamin D (Ausnahme: Fettfische).</w:t>
      </w:r>
    </w:p>
    <w:p>
      <w:pPr>
        <w:ind w:left="1134"/>
        <w:tabs defTabSz="708">
          <w:tab w:val="left" w:pos="4592" w:leader="none"/>
        </w:tabs>
      </w:pPr>
      <w:r>
        <w:t>Fisch und Meeresfrüchte</w:t>
        <w:tab/>
        <w:t>Vitamin D pro 100 g</w:t>
      </w:r>
    </w:p>
    <w:p>
      <w:pPr>
        <w:ind w:left="1134"/>
        <w:spacing w:after="60"/>
        <w:tabs defTabSz="708">
          <w:tab w:val="left" w:pos="4592" w:leader="none"/>
        </w:tabs>
      </w:pPr>
      <w:r>
        <w:t>Dorschleber</w:t>
        <w:tab/>
        <w:t>100 µg</w:t>
      </w:r>
    </w:p>
    <w:p>
      <w:pPr>
        <w:ind w:left="1134"/>
        <w:spacing w:after="60"/>
        <w:tabs defTabSz="708">
          <w:tab w:val="left" w:pos="4592" w:leader="none"/>
        </w:tabs>
      </w:pPr>
      <w:r>
        <w:t>Aal, geräuchert</w:t>
        <w:tab/>
        <w:t>90 µg</w:t>
      </w:r>
    </w:p>
    <w:p>
      <w:pPr>
        <w:ind w:left="1134"/>
        <w:spacing w:after="60"/>
        <w:tabs defTabSz="708">
          <w:tab w:val="left" w:pos="4592" w:leader="none"/>
        </w:tabs>
      </w:pPr>
      <w:r>
        <w:t>Sprotte, geräuchert</w:t>
        <w:tab/>
        <w:t>32 µg</w:t>
      </w:r>
    </w:p>
    <w:p>
      <w:pPr>
        <w:ind w:left="1134"/>
        <w:spacing w:after="60"/>
        <w:tabs defTabSz="708">
          <w:tab w:val="left" w:pos="4592" w:leader="none"/>
        </w:tabs>
      </w:pPr>
      <w:r>
        <w:t>Hering, geräuchert</w:t>
        <w:tab/>
        <w:t>27,6 µg</w:t>
      </w:r>
    </w:p>
    <w:p>
      <w:pPr>
        <w:ind w:left="1134"/>
        <w:spacing w:after="60"/>
        <w:tabs defTabSz="708">
          <w:tab w:val="left" w:pos="4592" w:leader="none"/>
        </w:tabs>
      </w:pPr>
      <w:r>
        <w:t>Anchovis (Sardellen)</w:t>
        <w:tab/>
        <w:t>22,4 µg</w:t>
      </w:r>
    </w:p>
    <w:p>
      <w:pPr>
        <w:ind w:left="1134"/>
        <w:spacing w:after="60"/>
        <w:tabs defTabSz="708">
          <w:tab w:val="left" w:pos="4592" w:leader="none"/>
        </w:tabs>
      </w:pPr>
      <w:r>
        <w:t>Seeforelle, geräuchert</w:t>
        <w:tab/>
        <w:t>22,3 µg</w:t>
      </w:r>
    </w:p>
    <w:p>
      <w:pPr>
        <w:ind w:left="1134"/>
        <w:spacing w:after="60"/>
        <w:tabs defTabSz="708">
          <w:tab w:val="left" w:pos="4592" w:leader="none"/>
        </w:tabs>
      </w:pPr>
      <w:r>
        <w:t>Forelle, gegart</w:t>
        <w:tab/>
        <w:t>19 µg</w:t>
      </w:r>
    </w:p>
    <w:p>
      <w:pPr>
        <w:ind w:left="1134"/>
        <w:spacing w:after="60"/>
        <w:tabs defTabSz="708">
          <w:tab w:val="left" w:pos="4592" w:leader="none"/>
        </w:tabs>
      </w:pPr>
      <w:r>
        <w:t>Schwarzer Heilbutt, geräuchert</w:t>
        <w:tab/>
        <w:t>16,7 µg</w:t>
      </w:r>
    </w:p>
    <w:p>
      <w:pPr>
        <w:ind w:left="1134"/>
        <w:spacing w:after="60"/>
        <w:tabs defTabSz="708">
          <w:tab w:val="left" w:pos="4592" w:leader="none"/>
        </w:tabs>
      </w:pPr>
      <w:r>
        <w:t>Lachs</w:t>
        <w:tab/>
        <w:t>16 µg</w:t>
      </w:r>
    </w:p>
    <w:p>
      <w:pPr>
        <w:ind w:left="1134"/>
        <w:spacing w:after="60"/>
        <w:tabs defTabSz="708">
          <w:tab w:val="left" w:pos="4592" w:leader="none"/>
        </w:tabs>
      </w:pPr>
      <w:r>
        <w:t>Sardinen</w:t>
        <w:tab/>
        <w:t>11 µg</w:t>
      </w:r>
    </w:p>
    <w:p>
      <w:pPr>
        <w:ind w:left="1134"/>
        <w:spacing w:after="60"/>
        <w:tabs defTabSz="708">
          <w:tab w:val="left" w:pos="4592" w:leader="none"/>
        </w:tabs>
      </w:pPr>
      <w:r>
        <w:t>Miesmuscheln, gekocht</w:t>
        <w:tab/>
        <w:t>8,9 µg</w:t>
      </w:r>
    </w:p>
    <w:p>
      <w:pPr>
        <w:ind w:left="1134"/>
        <w:spacing w:after="60"/>
        <w:tabs defTabSz="708">
          <w:tab w:val="left" w:pos="4592" w:leader="none"/>
        </w:tabs>
      </w:pPr>
      <w:r>
        <w:t>Maifisch, geräuchert</w:t>
        <w:tab/>
        <w:t>8,9 µg</w:t>
      </w:r>
    </w:p>
    <w:p>
      <w:pPr>
        <w:ind w:left="1134"/>
        <w:spacing w:after="60"/>
        <w:tabs defTabSz="708">
          <w:tab w:val="left" w:pos="4592" w:leader="none"/>
        </w:tabs>
      </w:pPr>
      <w:r>
        <w:t>Auster, roh</w:t>
        <w:tab/>
        <w:t>8 µg</w:t>
      </w:r>
    </w:p>
    <w:p>
      <w:pPr>
        <w:ind w:left="1134"/>
        <w:tabs defTabSz="708">
          <w:tab w:val="left" w:pos="4592" w:leader="none"/>
        </w:tabs>
      </w:pPr>
      <w:r>
        <w:t>Makrele, geräuchert</w:t>
        <w:tab/>
        <w:t>6,9 µg</w:t>
      </w:r>
    </w:p>
    <w:p>
      <w:pPr>
        <w:pStyle w:val="para5"/>
        <w:numPr>
          <w:ilvl w:val="4"/>
          <w:numId w:val="1"/>
        </w:numPr>
        <w:ind w:left="1134" w:hanging="1134"/>
      </w:pPr>
      <w:r>
        <w:t>Vitamin E</w:t>
      </w:r>
    </w:p>
    <w:p>
      <w:pPr>
        <w:rPr>
          <w:sz w:val="18"/>
          <w:szCs w:val="18"/>
        </w:rPr>
      </w:pPr>
      <w:r>
        <w:rPr>
          <w:sz w:val="18"/>
          <w:szCs w:val="18"/>
        </w:rPr>
        <w:t>Quelle: Rundmails von Dr. Feil im Rahmen der Knorpel- und Knochenkur</w:t>
      </w:r>
    </w:p>
    <w:p>
      <w:pPr>
        <w:ind w:left="170"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rPr>
          <w:b/>
          <w:bCs/>
        </w:rPr>
        <w:t>Entzündliche Prozesse verbrauchen im Organismus sehr viel Vitamin E.</w:t>
      </w:r>
    </w:p>
    <w:p>
      <w:pPr>
        <w:ind w:left="170"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Gut ist es, wenn Sie diesen Bedarf über wertvolle Pflanzenöle decken.</w:t>
      </w:r>
    </w:p>
    <w:p>
      <w:pPr>
        <w:ind w:left="170"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rPr>
          <w:b/>
          <w:bCs/>
        </w:rPr>
        <w:t>Besonders empfehlenswert hier ist das Leinöl.</w:t>
      </w:r>
    </w:p>
    <w:p>
      <w:pPr>
        <w:ind w:left="170"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Neben Omega-3 </w:t>
        <w:fldChar w:fldCharType="begin"/>
        <w:instrText xml:space="preserve">XE "Fettsäuren" \G </w:instrText>
        <w:fldChar w:fldCharType="end"/>
        <w:t>Fettsäuren enthält es auch viel Vitamin E.</w:t>
      </w:r>
    </w:p>
    <w:p>
      <w:pPr>
        <w:ind w:left="170"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Aus diesem empfehle allen voran ein hochwertiges Bio-Leinöl.</w:t>
      </w:r>
    </w:p>
    <w:p>
      <w:pPr>
        <w:ind w:left="170"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Allerdings sollten Sie Leinöl nicht in großen Mengen kaufen, denn es ist nicht sehr lange haltbar.</w:t>
      </w:r>
    </w:p>
    <w:p>
      <w:pPr>
        <w:ind w:left="170"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Kaufen Sie ein hochwertiges Öl in kleinen Flaschen, lagern Sie das Öl dunkel und kühl und verbrauchen Sie es bald.</w:t>
      </w:r>
    </w:p>
    <w:p>
      <w:pPr>
        <w:ind w:left="170"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Ebenfalls hochwertige Quellen für Vitamin E sind Walnüsse, Haselnüsse, Mandeln, Pekannüsse und Paranüsse.</w:t>
      </w:r>
    </w:p>
    <w:p>
      <w:pPr>
        <w:ind w:left="170"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rPr>
          <w:b/>
          <w:bCs/>
        </w:rPr>
        <w:t>Mein Tipp: Sammeln Sie Wal- und Haselnüsse im Herbst und lagern Sie sie trocken und kühl.</w:t>
      </w:r>
    </w:p>
    <w:p>
      <w:pPr>
        <w:ind w:left="170" w:right="222"/>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Dann haben Sie das ganze Jahr über Freude daran.</w:t>
      </w:r>
    </w:p>
    <w:p>
      <w:bookmarkStart w:id="216" w:name="_TOC000151"/>
      <w:r/>
    </w:p>
    <w:p>
      <w:pPr>
        <w:pStyle w:val="para5"/>
        <w:numPr>
          <w:ilvl w:val="4"/>
          <w:numId w:val="1"/>
        </w:numPr>
        <w:ind w:left="1134" w:hanging="1134"/>
      </w:pPr>
      <w:r>
        <w:br w:type="page"/>
      </w:r>
      <w:bookmarkStart w:id="217" w:name="_TOC000157"/>
      <w:r>
        <w:t>Vitamin K</w:t>
      </w:r>
      <w:r>
        <w:rPr>
          <w:vertAlign w:val="subscript"/>
        </w:rPr>
        <w:t>1</w:t>
      </w:r>
      <w:r/>
    </w:p>
    <w:p>
      <w:pPr>
        <w:rPr>
          <w:sz w:val="18"/>
          <w:szCs w:val="18"/>
        </w:rPr>
      </w:pPr>
      <w:r>
        <w:rPr>
          <w:sz w:val="18"/>
          <w:szCs w:val="18"/>
        </w:rPr>
        <w:t>Quelle: Rundmails von Dr. Feil im Rahmen der Knorpel- und Knochenkur</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Heute möchte ich mich auch dem Vitamin K</w:t>
      </w:r>
      <w:r>
        <w:rPr>
          <w:rFonts w:eastAsia="Tahoma" w:cs="Tahoma"/>
          <w:vertAlign w:val="subscript"/>
          <w:lang w:eastAsia="de-de" w:bidi="de-de"/>
        </w:rPr>
        <w:t>1</w:t>
      </w:r>
      <w:r>
        <w:t xml:space="preserve"> zuwenden, das oft vergessen wird.</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Vitamin K</w:t>
      </w:r>
      <w:r>
        <w:rPr>
          <w:rFonts w:eastAsia="Tahoma" w:cs="Tahoma"/>
          <w:vertAlign w:val="subscript"/>
          <w:lang w:eastAsia="de-de" w:bidi="de-de"/>
        </w:rPr>
        <w:t>1</w:t>
      </w:r>
      <w:r>
        <w:t xml:space="preserve"> reguliert die Blutverdünnung und -gerinnung.</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Außerdem ist es wichtig für entzündungshemmende Prozesse im Körper.</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Vitamin K</w:t>
      </w:r>
      <w:r>
        <w:rPr>
          <w:rFonts w:eastAsia="Tahoma" w:cs="Tahoma"/>
          <w:vertAlign w:val="subscript"/>
          <w:lang w:eastAsia="de-de" w:bidi="de-de"/>
        </w:rPr>
        <w:t>1</w:t>
      </w:r>
      <w:r>
        <w:t xml:space="preserve"> kommt vornehmlich in grünen Blättern vor.</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Deswegen ist es so wichtig, dass Sie ausreichend grünes Gemüse wie Spinat, Brokkoli oder auch Grünkohl essen.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Aber auch in (Bio-)Hühnerfleisch findet sich eine nennenswerte Menge an Vitamin K1, das der Körper gut verwerten kann.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Wie sieht es aus, wenn Sie Marcumar zur Blutverdünnung und Gerinnungshemmung einnehmen?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Lange Zeit ging man davon aus, dass Marcumar-Patienten eine Vitamin K-arme Koste bevorzugen sollten.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Mittlerweile empfiehlt sogar die Deutsche Gesellschaft für Ernährung (DGE), auf eine ausreichende Menge an Vitamin K, wie sie in der Dr. Feil-Ernährung mit frischem Gemüse und Kräutern empfohlen wird, zu achten.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Während der Ernährungsumstellung auf eine vitale, entzündungssenkende Ernährung sollten Sie den Quick-Wert vom Arzt prüfen lassen.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Vielleicht kann sogar auf die Einnahme der Medikamente verzichtet werden.</w:t>
      </w:r>
    </w:p>
    <w:p>
      <w:pPr>
        <w:pStyle w:val="para4"/>
        <w:numPr>
          <w:ilvl w:val="3"/>
          <w:numId w:val="1"/>
        </w:numPr>
        <w:ind w:left="1077" w:hanging="1077"/>
      </w:pPr>
      <w:bookmarkStart w:id="218" w:name="_TOC000338"/>
      <w:r>
        <w:t>So viel Fisch, Gemüse und Co. brauchen Sie</w:t>
      </w:r>
      <w:bookmarkEnd w:id="216"/>
      <w:r/>
      <w:bookmarkEnd w:id="217"/>
      <w:r/>
      <w:bookmarkEnd w:id="218"/>
      <w:r/>
    </w:p>
    <w:p>
      <w:r>
        <w:t xml:space="preserve">Lebensmittel wie etwa Lachs, Brokkoli und </w:t>
        <w:fldChar w:fldCharType="begin"/>
        <w:instrText xml:space="preserve">XE "Olivenöl" \G </w:instrText>
        <w:fldChar w:fldCharType="end"/>
        <w:t xml:space="preserve">Olivenöl gehören bei entzündlich-rheumatischen Erkrankungen regelmäßig auf den Tisch. Sie enthalten alle nötigen Schlüsselstoffe, um die Entzündung erfolgreich einzudämmen. Eine besondere Rolle spielen Kräuter und </w:t>
        <w:fldChar w:fldCharType="begin"/>
        <w:instrText xml:space="preserve">XE "Gewürze" \G </w:instrText>
        <w:fldChar w:fldCharType="end"/>
        <w:t>Gewürze.</w:t>
      </w:r>
    </w:p>
    <w:p>
      <w:pPr>
        <w:pStyle w:val="para5"/>
        <w:numPr>
          <w:ilvl w:val="4"/>
          <w:numId w:val="1"/>
        </w:numPr>
        <w:ind w:left="1134" w:hanging="1134"/>
      </w:pPr>
      <w:bookmarkStart w:id="219" w:name="_TOC000152"/>
      <w:r>
        <w:t xml:space="preserve">Kräuter und </w:t>
        <w:fldChar w:fldCharType="begin"/>
        <w:instrText xml:space="preserve">XE "Gewürze" \G </w:instrText>
        <w:fldChar w:fldCharType="end"/>
        <w:t>Gewürze</w:t>
      </w:r>
      <w:bookmarkEnd w:id="219"/>
      <w:r/>
    </w:p>
    <w:p>
      <w:r>
        <w:t xml:space="preserve">Optimal sind täglich 2 EL Kräuter (z. B. Basilikum, Petersilie, Dill, Rosmarin, Schnittlauch, Oregano, Liebstöckel, Koriander) sowie ½ bis 1 TL </w:t>
        <w:fldChar w:fldCharType="begin"/>
        <w:instrText xml:space="preserve">XE "Kurkuma" \G </w:instrText>
        <w:fldChar w:fldCharType="end"/>
        <w:t xml:space="preserve">Kurkuma, Ingwerpulver und </w:t>
        <w:fldChar w:fldCharType="begin"/>
        <w:instrText xml:space="preserve">XE "Zimt" \G </w:instrText>
        <w:fldChar w:fldCharType="end"/>
        <w:t xml:space="preserve">Zimt. Nutzen Sie bei den Heilkräutern die ganze Vielfalt der Natur, da die Aromalieferanten unterschiedliche Entzündungskiller enthalten (z. B. Urolsäure, Anethol, Luteolin). Wem es nicht gelingt, seine Ernährung mit ausreichend </w:t>
        <w:fldChar w:fldCharType="begin"/>
        <w:instrText xml:space="preserve">XE "Ingwer" \G </w:instrText>
        <w:fldChar w:fldCharType="end"/>
        <w:t xml:space="preserve">Ingwer, </w:t>
        <w:fldChar w:fldCharType="begin"/>
        <w:instrText xml:space="preserve">XE "Zimt" \G </w:instrText>
        <w:fldChar w:fldCharType="end"/>
        <w:t>Zimt und Co. aufzupeppen, der sollte zwei- bis dreimal pro Woche einen Gewürzquark oder einen Kräuterkraftdrink in den Speiseplan integrieren.</w:t>
      </w:r>
    </w:p>
    <w:p>
      <w:pPr>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r>
        <w:t>Gewürzjoghurt:</w:t>
      </w:r>
    </w:p>
    <w:p>
      <w:pPr>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r>
        <w:t xml:space="preserve">Geben Sie 1-2 TL Speiseleinöl auf einen kräftigen Fruchtjoghurt (Heidelbeere oder Kirsch) oder Naturjoghurt – bitte nicht umrühren – und streuen Sie 1 TL </w:t>
        <w:fldChar w:fldCharType="begin"/>
        <w:instrText xml:space="preserve">XE "Kurkuma" \G </w:instrText>
        <w:fldChar w:fldCharType="end"/>
        <w:t xml:space="preserve">Kurkuma in das Öl. Anschließend einen halben Teelöffel </w:t>
        <w:fldChar w:fldCharType="begin"/>
        <w:instrText xml:space="preserve">XE "Zimt" \G </w:instrText>
        <w:fldChar w:fldCharType="end"/>
        <w:t xml:space="preserve">Zimt, eine Messerspitze Chilipulver, eine Messerspitze </w:t>
        <w:fldChar w:fldCharType="begin"/>
        <w:instrText xml:space="preserve">XE "Pfeffer" \G </w:instrText>
        <w:fldChar w:fldCharType="end"/>
        <w:t xml:space="preserve">Pfeffer, ein Stück klein geschnittenen </w:t>
        <w:fldChar w:fldCharType="begin"/>
        <w:instrText xml:space="preserve">XE "Ingwer" \G </w:instrText>
        <w:fldChar w:fldCharType="end"/>
        <w:t>Ingwer (1-2 cm) dazugeben und alles gut durchmischen.</w:t>
      </w:r>
    </w:p>
    <w:p>
      <w:pPr>
        <w:tabs defTabSz="708">
          <w:tab w:val="right" w:pos="9014" w:leader="none"/>
        </w:tabs>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r>
        <w:t>Falls Sie keinen Joghurt mögen, können Sie diese Mischung auch in eine rote Grütze einrühren.</w:t>
      </w:r>
    </w:p>
    <w:p>
      <w:pPr>
        <w:tabs defTabSz="708">
          <w:tab w:val="right" w:pos="9014" w:leader="none"/>
        </w:tabs>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r>
        <w:tab/>
        <w:t>Quelle: Feil, Wessinghage, Reichenauer-Feil: Body-Coach</w:t>
      </w:r>
    </w:p>
    <w:p>
      <w:pPr>
        <w:rPr>
          <w:sz w:val="18"/>
          <w:szCs w:val="18"/>
        </w:rPr>
      </w:pPr>
      <w:r/>
      <w:bookmarkStart w:id="220" w:name="_TOC000153"/>
      <w:r/>
      <w:bookmarkStart w:id="221" w:name="_TOC000209"/>
      <w:r/>
      <w:r>
        <w:rPr>
          <w:sz w:val="18"/>
          <w:szCs w:val="18"/>
        </w:rPr>
        <w:t>Quelle: Rundmails von Dr. Feil im Rahmen der Knorpel- und Knochenkur</w:t>
      </w:r>
      <w:r>
        <w:rPr>
          <w:sz w:val="18"/>
          <w:szCs w:val="18"/>
        </w:rPr>
      </w:r>
    </w:p>
    <w:p>
      <w:pPr>
        <w:ind w:left="283" w:right="279"/>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Neue Studien belegen zum Beispiel, dass Hagebutten eine entzündungssenkende Wirkung bei Rheuma und </w:t>
        <w:fldChar w:fldCharType="begin"/>
        <w:instrText xml:space="preserve">XE "Arthrose" \G </w:instrText>
        <w:fldChar w:fldCharType="end"/>
        <w:t>Arthrose haben.</w:t>
      </w:r>
    </w:p>
    <w:p>
      <w:pPr>
        <w:ind w:left="283" w:right="279"/>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Allerdings ist der Wirkstoff der Hagebutte, das Galaktolipid, extrem hitzeempfindlich.</w:t>
      </w:r>
    </w:p>
    <w:p>
      <w:pPr>
        <w:ind w:left="283" w:right="279"/>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Das bedeutet, dass in Ihrem Hagebuttentee, den Sie vielleicht gerne trinken, so gut wie kein aktiver Wirkstoff mehr enthalten ist.</w:t>
      </w:r>
    </w:p>
    <w:p>
      <w:pPr>
        <w:ind w:left="283" w:right="279"/>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Das Gleiche gilt übrigens auch für Hagebuttenmarmelade, die oft auch in Reformhäusern angeboten wird.</w:t>
      </w:r>
    </w:p>
    <w:p>
      <w:pPr>
        <w:ind w:left="283" w:right="279"/>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Wie sieht jetzt die Lösung aus?</w:t>
      </w:r>
    </w:p>
    <w:p>
      <w:pPr>
        <w:ind w:left="283" w:right="279"/>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Hier kommt der Hagebuttentrick ins Spiel!</w:t>
      </w:r>
    </w:p>
    <w:p>
      <w:pPr>
        <w:ind w:left="283" w:right="279"/>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Sie können sich entweder spezielles Hagebuttenpulver kaufen, oder Sie nehmen einen handelsüblichen (Bio-)Teebeutel Hagebutte, öffnen ihn und streuen den Inhalt über einen leckeren Quark oder Joghurt mit frischen Früchten.</w:t>
      </w:r>
    </w:p>
    <w:p>
      <w:pPr>
        <w:ind w:left="283" w:right="279"/>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Zusätzlich zu den Hagebutten sind in den Teebeuteln in der Regel auch Hibiscus-Blüten. Sie verleihen Ihrem Essen einen zusätzlichen fruchtigen Kick!</w:t>
      </w:r>
    </w:p>
    <w:p>
      <w:pPr>
        <w:pStyle w:val="para5"/>
        <w:numPr>
          <w:ilvl w:val="4"/>
          <w:numId w:val="1"/>
        </w:numPr>
        <w:ind w:left="1134" w:hanging="1134"/>
      </w:pPr>
      <w:r>
        <w:t>Gemüse und Obst</w:t>
      </w:r>
      <w:bookmarkEnd w:id="220"/>
      <w:r/>
      <w:bookmarkEnd w:id="221"/>
      <w:r/>
    </w:p>
    <w:p>
      <w:r>
        <w:t xml:space="preserve">Essen Sie über den Tag verteilt mindestens drei Portionen Gemüse (etwa 400 Gramm) und zwei Portionen zuckerarmes Obst (etwa 250 Gramm). Grünfutter ist die beste Quelle für </w:t>
        <w:fldChar w:fldCharType="begin"/>
        <w:instrText xml:space="preserve">XE "Antioxidantien" \G </w:instrText>
        <w:fldChar w:fldCharType="end"/>
        <w:t>Antioxidantien, die Rheumatiker vor den hochreaktiven Sauerstoffverbindungen schützen, die durch die Entzündung in Gelenken und benachbarten Strukturen anfallen. Speziell Brokkoli, Grünkohl und Spinat enthalten überdies knochenstärkendes Kalzium.</w:t>
      </w:r>
    </w:p>
    <w:p>
      <w:pPr>
        <w:pStyle w:val="para5"/>
        <w:numPr>
          <w:ilvl w:val="4"/>
          <w:numId w:val="1"/>
        </w:numPr>
        <w:ind w:left="1134" w:hanging="1134"/>
      </w:pPr>
      <w:bookmarkStart w:id="222" w:name="_TOC000154"/>
      <w:r>
        <w:t>Fisch</w:t>
      </w:r>
      <w:bookmarkEnd w:id="222"/>
      <w:r/>
    </w:p>
    <w:p>
      <w:r>
        <w:t>Mindestens zwei- bis dreimal pro Woche sollte Fisch auf Ihrem Speiseplan stehen. In Studien reduzierten 800 Gramm Seefisch täglich Gelenkschwellungen und Schmerzen. Besonders vollgepackt, mit dem gesunden Omega-3-</w:t>
        <w:fldChar w:fldCharType="begin"/>
        <w:instrText xml:space="preserve">XE "Fett" \G </w:instrText>
        <w:fldChar w:fldCharType="end"/>
        <w:t>Fett EPA sind Lachs, Makrele, Sardinen, Heilbutt und vor allem Hering. Letzterer etwa liefert pro 100 Gramm knapp 3 Gramm EPA und DHA. Wer keinen fetten Fisch mag und die empfohlene Menge von mindestens 1 Gramm EPA täglich nicht erreicht, dem empfehlen wir, als Nahrungsergänzung Omega-3-</w:t>
        <w:fldChar w:fldCharType="begin"/>
        <w:instrText xml:space="preserve">XE "Fettsäuren" \G </w:instrText>
        <w:fldChar w:fldCharType="end"/>
        <w:t>Fettsäuren zu sich zu nehmen.</w:t>
      </w:r>
    </w:p>
    <w:p>
      <w:pPr>
        <w:pStyle w:val="para5"/>
        <w:numPr>
          <w:ilvl w:val="4"/>
          <w:numId w:val="1"/>
        </w:numPr>
        <w:ind w:left="1134" w:hanging="1134"/>
      </w:pPr>
      <w:bookmarkStart w:id="223" w:name="_TOC000155"/>
      <w:r>
        <w:t>Pflanzenöle</w:t>
      </w:r>
      <w:bookmarkEnd w:id="223"/>
      <w:r/>
    </w:p>
    <w:p>
      <w:r>
        <w:t xml:space="preserve">Ziel sind 2 Esslöffel </w:t>
        <w:fldChar w:fldCharType="begin"/>
        <w:instrText xml:space="preserve">XE "Olivenöl" \G </w:instrText>
        <w:fldChar w:fldCharType="end"/>
        <w:t xml:space="preserve">Olivenöl, Rapsöl, Leinöl oder Walnussöl täglich. Diese Fitfette liefern Alpha-Linolensäure, die im Körper zu entzündungshemmender EPA umgewandelt wird. In Schmalz hingegen steckt </w:t>
        <w:fldChar w:fldCharType="begin"/>
        <w:instrText xml:space="preserve">XE "Arachidonsäure" \G </w:instrText>
        <w:fldChar w:fldCharType="end"/>
        <w:t xml:space="preserve">Arachidonsäure, die die Entzündung zusätzlich anfacht. Maiskeimöl, Sonnenblumenöl, Sojaöl und Distelöl verbannen Sie lieber aus der Speisekammer. Sie enthalten oft mehr als 50 % </w:t>
        <w:fldChar w:fldCharType="begin"/>
        <w:instrText xml:space="preserve">XE "Linolsäure" \G </w:instrText>
        <w:fldChar w:fldCharType="end"/>
        <w:t>Linolsäure, eine an sich neutrale Omega-6-Fettsäure, die aber die entzündungshemmenden Omega-3-</w:t>
        <w:fldChar w:fldCharType="begin"/>
        <w:instrText xml:space="preserve">XE "Fettsäuren" \G </w:instrText>
        <w:fldChar w:fldCharType="end"/>
        <w:t>Fettsäuren verdrängt, wenn man zu viel davon zu sich nimmt.</w:t>
      </w:r>
    </w:p>
    <w:p>
      <w:bookmarkStart w:id="224" w:name="_TOC000297"/>
      <w:r/>
      <w:bookmarkStart w:id="225" w:name="_TOC000156"/>
      <w:r/>
      <w:bookmarkStart w:id="226" w:name="_TOC000295"/>
      <w:r/>
    </w:p>
    <w:p>
      <w:pPr>
        <w:pStyle w:val="para5"/>
        <w:numPr>
          <w:ilvl w:val="4"/>
          <w:numId w:val="1"/>
        </w:numPr>
        <w:ind w:left="1134" w:hanging="1134"/>
      </w:pPr>
      <w:r>
        <w:br w:type="page"/>
      </w:r>
      <w:r>
        <w:fldChar w:fldCharType="begin"/>
        <w:instrText xml:space="preserve">XE "Milchprodukte" \G </w:instrText>
        <w:fldChar w:fldCharType="end"/>
        <w:t>Milchprodukte</w:t>
      </w:r>
      <w:bookmarkEnd w:id="225"/>
      <w:r/>
      <w:bookmarkEnd w:id="226"/>
      <w:r/>
      <w:bookmarkEnd w:id="224"/>
      <w:r/>
    </w:p>
    <w:p>
      <w:r>
        <w:t>Die Tagesration von 1 Gramm knochenstärkendem Kalzium erreichen Sie, wenn Sie im Laufe des Tages zum Beispiel diese Lebensmittel zu sich nehmen:</w:t>
      </w:r>
    </w:p>
    <w:p>
      <w:pPr>
        <w:pStyle w:val="para28"/>
        <w:numPr>
          <w:ilvl w:val="0"/>
          <w:numId w:val="7"/>
        </w:numPr>
        <w:ind w:left="1210" w:hanging="416"/>
      </w:pPr>
      <w:r>
        <w:t>1 Becher Joghurt (200 Gramm),</w:t>
      </w:r>
    </w:p>
    <w:p>
      <w:pPr>
        <w:pStyle w:val="para28"/>
        <w:numPr>
          <w:ilvl w:val="0"/>
          <w:numId w:val="7"/>
        </w:numPr>
        <w:ind w:left="1210" w:hanging="416"/>
      </w:pPr>
      <w:r>
        <w:t>2 Scheiben Gouda oder Emmentaler,</w:t>
      </w:r>
    </w:p>
    <w:p>
      <w:pPr>
        <w:pStyle w:val="para28"/>
        <w:numPr>
          <w:ilvl w:val="0"/>
          <w:numId w:val="7"/>
        </w:numPr>
        <w:ind w:left="1210" w:hanging="416"/>
      </w:pPr>
      <w:r>
        <w:t>2 Scheiben Vollkornbrot,</w:t>
      </w:r>
    </w:p>
    <w:p>
      <w:pPr>
        <w:pStyle w:val="para28"/>
        <w:numPr>
          <w:ilvl w:val="0"/>
          <w:numId w:val="7"/>
        </w:numPr>
        <w:ind w:left="1210" w:hanging="416"/>
      </w:pPr>
      <w:r>
        <w:t>200 Gramm Brokkoli und</w:t>
      </w:r>
    </w:p>
    <w:p>
      <w:pPr>
        <w:pStyle w:val="para28"/>
        <w:numPr>
          <w:ilvl w:val="0"/>
          <w:numId w:val="7"/>
        </w:numPr>
        <w:ind w:left="1210" w:hanging="416"/>
      </w:pPr>
      <w:r>
        <w:t xml:space="preserve">2 Gläser Mineralwasser. </w:t>
      </w:r>
    </w:p>
    <w:p>
      <w:r>
        <w:t>Gute Kalziumquellen sind auch</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28"/>
        <w:numPr>
          <w:ilvl w:val="0"/>
          <w:numId w:val="7"/>
        </w:numPr>
        <w:ind w:left="1210" w:hanging="416"/>
      </w:pPr>
      <w:r>
        <w:t>Milch, Camembert,</w:t>
      </w:r>
    </w:p>
    <w:p>
      <w:pPr>
        <w:pStyle w:val="para28"/>
        <w:numPr>
          <w:ilvl w:val="0"/>
          <w:numId w:val="7"/>
        </w:numPr>
        <w:ind w:left="1210" w:hanging="416"/>
      </w:pPr>
      <w:r>
        <w:t>Blattspinat,</w:t>
      </w:r>
    </w:p>
    <w:p>
      <w:pPr>
        <w:pStyle w:val="para28"/>
        <w:numPr>
          <w:ilvl w:val="0"/>
          <w:numId w:val="7"/>
        </w:numPr>
        <w:ind w:left="1210" w:hanging="416"/>
      </w:pPr>
      <w:r>
        <w:t>Grünkohl oder</w:t>
      </w:r>
    </w:p>
    <w:p>
      <w:pPr>
        <w:pStyle w:val="para28"/>
        <w:numPr>
          <w:ilvl w:val="0"/>
          <w:numId w:val="7"/>
        </w:numPr>
        <w:ind w:left="1210" w:hanging="416"/>
      </w:pPr>
      <w:r>
        <w:t>Fenchel.</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r>
        <w:t>Sauermilchprodukte wie</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28"/>
        <w:numPr>
          <w:ilvl w:val="0"/>
          <w:numId w:val="7"/>
        </w:numPr>
        <w:ind w:left="1210" w:hanging="416"/>
      </w:pPr>
      <w:r>
        <w:t>Naturjoghurt,</w:t>
      </w:r>
    </w:p>
    <w:p>
      <w:pPr>
        <w:pStyle w:val="para28"/>
        <w:numPr>
          <w:ilvl w:val="0"/>
          <w:numId w:val="7"/>
        </w:numPr>
        <w:ind w:left="1210" w:hanging="416"/>
      </w:pPr>
      <w:r>
        <w:t>Buttermilch,</w:t>
      </w:r>
    </w:p>
    <w:p>
      <w:pPr>
        <w:pStyle w:val="para28"/>
        <w:numPr>
          <w:ilvl w:val="0"/>
          <w:numId w:val="7"/>
        </w:numPr>
        <w:ind w:left="1210" w:hanging="416"/>
      </w:pPr>
      <w:r>
        <w:t>Kefir oder</w:t>
      </w:r>
    </w:p>
    <w:p>
      <w:pPr>
        <w:pStyle w:val="para28"/>
        <w:numPr>
          <w:ilvl w:val="0"/>
          <w:numId w:val="7"/>
        </w:numPr>
        <w:ind w:left="1210" w:hanging="416"/>
      </w:pPr>
      <w:r>
        <w:t xml:space="preserve">Schmand </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r>
        <w:t xml:space="preserve">sind günstiger für den Darm als ungesäuerte </w:t>
        <w:fldChar w:fldCharType="begin"/>
        <w:instrText xml:space="preserve">XE "Milchprodukte" \G </w:instrText>
        <w:fldChar w:fldCharType="end"/>
        <w:t>Milchprodukte.</w:t>
      </w:r>
    </w:p>
    <w:p>
      <w:pPr>
        <w:pStyle w:val="para3"/>
        <w:numPr>
          <w:ilvl w:val="2"/>
          <w:numId w:val="1"/>
        </w:numPr>
        <w:ind w:left="720" w:hanging="720"/>
      </w:pPr>
      <w:bookmarkStart w:id="227" w:name="_TOC000299"/>
      <w:r/>
      <w:bookmarkStart w:id="228" w:name="_TOC000298"/>
      <w:r>
        <w:t>Verzicht tut gut</w:t>
      </w:r>
      <w:bookmarkEnd w:id="228"/>
      <w:r/>
      <w:bookmarkEnd w:id="227"/>
      <w:r/>
    </w:p>
    <w:p>
      <w:r>
        <w:t xml:space="preserve">Bei Rheuma und </w:t>
        <w:fldChar w:fldCharType="begin"/>
        <w:instrText xml:space="preserve">XE "Arthrose" \G </w:instrText>
        <w:fldChar w:fldCharType="end"/>
        <w:t xml:space="preserve">Arthrose ist weniger mitunter mehr. Gelegentliche Heilfastenkuren, aber auch Zurückhaltung bei den Entzündungstreibern Weizen und </w:t>
        <w:fldChar w:fldCharType="begin"/>
        <w:instrText xml:space="preserve">XE "Arachidonsäure" \G </w:instrText>
        <w:fldChar w:fldCharType="end"/>
        <w:t>Arachidonsäure bessern die Gelenkschmerzen oft überraschend wirksam.</w:t>
      </w:r>
    </w:p>
    <w:p>
      <w:pPr>
        <w:pStyle w:val="para4"/>
        <w:numPr>
          <w:ilvl w:val="3"/>
          <w:numId w:val="1"/>
        </w:numPr>
        <w:ind w:left="1077" w:hanging="1077"/>
      </w:pPr>
      <w:bookmarkStart w:id="229" w:name="_TOC000159"/>
      <w:r>
        <w:t xml:space="preserve">Entzündungstreiber </w:t>
        <w:fldChar w:fldCharType="begin"/>
        <w:instrText xml:space="preserve">XE "Arachidonsäure" \G </w:instrText>
        <w:fldChar w:fldCharType="end"/>
        <w:t>Arachidonsäure</w:t>
      </w:r>
      <w:bookmarkEnd w:id="229"/>
      <w:r/>
    </w:p>
    <w:p>
      <w:r>
        <w:t xml:space="preserve">Ein Omelett mit Speck, ein Schnitzel, das in Sonnenblumenöl gebraten ist, oder ein Stück Sahnetorte: Solche fettreichen Genüsse sind bei entzündlichen Gelenkerkrankungen zwar nicht tabu, sollten aber die Ausnahme bleiben. Bereits zwei bis drei Mahlzeiten mit ca. 150 Gramm Fleisch pro Woche decken die Höchstmenge von 350 mg </w:t>
        <w:fldChar w:fldCharType="begin"/>
        <w:instrText xml:space="preserve">XE "Arachidonsäure" \G </w:instrText>
        <w:fldChar w:fldCharType="end"/>
        <w:t xml:space="preserve">Arachidonsäure (AA) ab. Generell entwickeln Wild bzw. Tiere aus Freilandhaltung weniger schädliche </w:t>
        <w:fldChar w:fldCharType="begin"/>
        <w:instrText xml:space="preserve">XE "Fettsäuren" \G </w:instrText>
        <w:fldChar w:fldCharType="end"/>
        <w:t>Fettsäuren als ihre Artgenossen aus Tiermast.</w:t>
      </w:r>
    </w:p>
    <w:p>
      <w:pPr>
        <w:pStyle w:val="para4"/>
        <w:numPr>
          <w:ilvl w:val="3"/>
          <w:numId w:val="1"/>
        </w:numPr>
        <w:ind w:left="1077" w:hanging="1077"/>
      </w:pPr>
      <w:bookmarkStart w:id="230" w:name="_TOC000160"/>
      <w:r>
        <w:t>Entzündungstreiber Weizen</w:t>
      </w:r>
      <w:bookmarkEnd w:id="230"/>
      <w:r/>
    </w:p>
    <w:p>
      <w:r>
        <w:t xml:space="preserve">Weißbrot, Nudeln, Croissants, Toast und andere Lebensmittel aus Weizenmehl sollten Sie möglichst meiden. Dieses Getreide enthält besonders große Mengen entzündungsfördernder </w:t>
        <w:fldChar w:fldCharType="begin"/>
        <w:instrText xml:space="preserve">XE "Lektine" \G </w:instrText>
        <w:fldChar w:fldCharType="end"/>
        <w:t xml:space="preserve">Lektine in einer Form, die der Körper nicht abbauen kann. Der Organismus ist genetisch an diese Stoffe nicht angepasst und reagiert, indem er Antikörper bildet - was Stressreaktionen und Entzündungen befördert. Reduzieren Sie Ihren Getreidekonsum auf eine Portion am Tag, vorzugsweise Dinkel oder Hafer, denn Roggen enthält ebenfalls aggressive </w:t>
        <w:fldChar w:fldCharType="begin"/>
        <w:instrText xml:space="preserve">XE "Lektine" \G </w:instrText>
        <w:fldChar w:fldCharType="end"/>
        <w:t>Lektine. Eine gute Alternative für Nudeln sind lektinarme Süßkartoffeln.</w:t>
      </w:r>
    </w:p>
    <w:p>
      <w:pPr>
        <w:pStyle w:val="para4"/>
        <w:numPr>
          <w:ilvl w:val="3"/>
          <w:numId w:val="1"/>
        </w:numPr>
        <w:ind w:left="1077" w:hanging="1077"/>
      </w:pPr>
      <w:bookmarkStart w:id="231" w:name="_TOC000161"/>
      <w:r>
        <w:t>Fasten bei Rheuma</w:t>
      </w:r>
      <w:bookmarkEnd w:id="231"/>
      <w:r/>
    </w:p>
    <w:p>
      <w:r>
        <w:t xml:space="preserve">Wer vor der Entdeckung von Kortison 1948 an Gelenkrheuma erkrankte, der fand kaum wirksame Hilfe gegen sein Leiden. Der Flensburger Sanitätsoffizier Dr. Otto Buchinger (1878-1966), den die Autoimmunerkrankung 1916 erfasste, verfiel auf eine radikale Therapie: Er verzichtete drei Wochen lang auf feste Nahrung. Die Schmerzen besserten sich deutlich, der Arzt konnte wieder arbeiten und begründete in den folgenden Jahrzehnten das sogenannte Heilfasten. Etliche Studien haben seitdem gezeigt, dass bei Rheumapatienten während der Nahrungspause und sogar noch längere Zeit danach die Gelenke abschwellen und die Schmerzen abnehmen. Die Erklärung: Durch den Verzicht auf Lebensmittel, die </w:t>
        <w:fldChar w:fldCharType="begin"/>
        <w:instrText xml:space="preserve">XE "Arachidonsäure" \G </w:instrText>
        <w:fldChar w:fldCharType="end"/>
        <w:t>Arachidonsäure enthalten, sinkt die Produktion von Entzündungsbotenstoffen. Außerdem produzieren die Nebennieren beim Fasten das entzündungshemmende Stresshormon Cortisol. Inzwischen erhalten Patienten bei den Fastenkuren nach Buchinger Gemüsebrühe, das erhöht den Heileffekt zusätzlich.</w:t>
      </w:r>
    </w:p>
    <w:p>
      <w:pPr>
        <w:pStyle w:val="para3"/>
        <w:numPr>
          <w:ilvl w:val="2"/>
          <w:numId w:val="1"/>
        </w:numPr>
        <w:ind w:left="720" w:hanging="720"/>
      </w:pPr>
      <w:bookmarkStart w:id="232" w:name="_TOC000162"/>
      <w:r>
        <w:t>Das Extra an Vitaminen und Co.</w:t>
      </w:r>
      <w:bookmarkEnd w:id="232"/>
      <w:r/>
    </w:p>
    <w:p>
      <w:r>
        <w:t xml:space="preserve">Entzündungen sind Vitaminräuber, Mineralstoffplünderer und Spurenelementediebe. Kämpft der Körper gegen eine chronische Entzündung, steigt sein Bedarf an diesen Vitalstoffen steil an. Die üblichen Referenzwerte für Gesunde kommen deshalb für Menschen mit Gelenkschmerzen nicht in Betracht. Das betrifft vor allem Vitamin C, Betacarotin, Vitamin E, Vitamin D sowie </w:t>
        <w:fldChar w:fldCharType="begin"/>
        <w:instrText xml:space="preserve">XE "Zink" \G </w:instrText>
        <w:fldChar w:fldCharType="end"/>
        <w:t>Zink. Leider lässt sich der Mehrbedarf an diesen Stoffen selbst mit reichlich Obst und Gemüse meist kaum decken.</w:t>
      </w:r>
    </w:p>
    <w:p>
      <w:r>
        <w:t>Im Folgenden finden Sie eine Übersicht über die notwendige Zufuhr der für Sie wichtigen Vitalstoffe.</w:t>
      </w:r>
    </w:p>
    <w:p>
      <w:pPr>
        <w:pStyle w:val="para4"/>
        <w:numPr>
          <w:ilvl w:val="3"/>
          <w:numId w:val="1"/>
        </w:numPr>
        <w:ind w:left="1077" w:hanging="1077"/>
      </w:pPr>
      <w:bookmarkStart w:id="233" w:name="_TOC000163"/>
      <w:r/>
      <w:bookmarkStart w:id="234" w:name="_TOC000164"/>
      <w:r>
        <w:fldChar w:fldCharType="begin"/>
        <w:instrText xml:space="preserve">XE "Vitamine" \G </w:instrText>
        <w:fldChar w:fldCharType="end"/>
        <w:t>Vitamine</w:t>
      </w:r>
      <w:bookmarkEnd w:id="234"/>
      <w:r/>
      <w:bookmarkEnd w:id="233"/>
      <w:r/>
    </w:p>
    <w:p>
      <w:pPr>
        <w:pStyle w:val="para28"/>
        <w:numPr>
          <w:ilvl w:val="1"/>
          <w:numId w:val="2"/>
        </w:numPr>
        <w:ind w:left="397" w:hanging="197"/>
      </w:pPr>
      <w:r>
        <w:t>Vitamin A: zusätzliche Zufuhr von 1 bis 2 mg täglich</w:t>
      </w:r>
    </w:p>
    <w:p>
      <w:pPr>
        <w:pStyle w:val="para28"/>
        <w:numPr>
          <w:ilvl w:val="1"/>
          <w:numId w:val="2"/>
        </w:numPr>
        <w:ind w:left="397" w:hanging="197"/>
      </w:pPr>
      <w:r>
        <w:t>Vitamin C: zusätzliche Zufuhr mindestens 1000 mg täglich</w:t>
      </w:r>
    </w:p>
    <w:p>
      <w:pPr>
        <w:pStyle w:val="para28"/>
        <w:numPr>
          <w:ilvl w:val="1"/>
          <w:numId w:val="2"/>
        </w:numPr>
        <w:ind w:left="397" w:hanging="197"/>
      </w:pPr>
      <w:r>
        <w:t>Vitamin D: zusätzliche Zufuhr mindestens 4000 Internationale Einheiten (I.E.) täglich</w:t>
      </w:r>
    </w:p>
    <w:p>
      <w:pPr>
        <w:pStyle w:val="para28"/>
        <w:numPr>
          <w:ilvl w:val="1"/>
          <w:numId w:val="2"/>
        </w:numPr>
        <w:ind w:left="397" w:hanging="197"/>
      </w:pPr>
      <w:r>
        <w:t>Vitamin E: zusätzliche Zufuhr von 80 bis 100 mg täglich</w:t>
      </w:r>
    </w:p>
    <w:p>
      <w:pPr>
        <w:pStyle w:val="para4"/>
        <w:numPr>
          <w:ilvl w:val="3"/>
          <w:numId w:val="1"/>
        </w:numPr>
        <w:ind w:left="1077" w:hanging="1077"/>
      </w:pPr>
      <w:bookmarkStart w:id="235" w:name="_TOC000105"/>
      <w:r/>
      <w:bookmarkStart w:id="236" w:name="_TOC000103"/>
      <w:r/>
      <w:bookmarkStart w:id="237" w:name="_TOC000046"/>
      <w:r>
        <w:t>Mineralien und Spurenelemente</w:t>
      </w:r>
      <w:bookmarkEnd w:id="236"/>
      <w:r/>
      <w:bookmarkEnd w:id="237"/>
      <w:r/>
      <w:bookmarkEnd w:id="235"/>
      <w:r/>
    </w:p>
    <w:p>
      <w:pPr>
        <w:pStyle w:val="para28"/>
        <w:numPr>
          <w:ilvl w:val="1"/>
          <w:numId w:val="2"/>
        </w:numPr>
        <w:ind w:left="397" w:hanging="197"/>
      </w:pPr>
      <w:r>
        <w:fldChar w:fldCharType="begin"/>
        <w:instrText xml:space="preserve">XE "Magnesium" \G </w:instrText>
        <w:fldChar w:fldCharType="end"/>
        <w:t>Magnesium: zusätzliche Zufuhr von 300 bis 400 mg Magnesiumcitrat täglich</w:t>
      </w:r>
    </w:p>
    <w:p>
      <w:pPr>
        <w:pStyle w:val="para28"/>
        <w:numPr>
          <w:ilvl w:val="1"/>
          <w:numId w:val="2"/>
        </w:numPr>
        <w:ind w:left="397" w:hanging="197"/>
      </w:pPr>
      <w:r>
        <w:fldChar w:fldCharType="begin"/>
        <w:instrText xml:space="preserve">XE "Zink" \G </w:instrText>
        <w:fldChar w:fldCharType="end"/>
        <w:t>Zink: zusätzliche Zufuhr von 40 mg täglich</w:t>
      </w:r>
    </w:p>
    <w:p>
      <w:pPr>
        <w:pStyle w:val="para28"/>
        <w:numPr>
          <w:ilvl w:val="1"/>
          <w:numId w:val="2"/>
        </w:numPr>
        <w:ind w:left="397" w:hanging="197"/>
      </w:pPr>
      <w:r>
        <w:fldChar w:fldCharType="begin"/>
        <w:instrText xml:space="preserve">XE "Selen" \G </w:instrText>
        <w:fldChar w:fldCharType="end"/>
        <w:t>Selen: zusätzliche Zufuhr von 200 Mikrogramm täglich</w:t>
      </w:r>
    </w:p>
    <w:p>
      <w:pPr>
        <w:pStyle w:val="para28"/>
        <w:numPr>
          <w:ilvl w:val="1"/>
          <w:numId w:val="2"/>
        </w:numPr>
        <w:ind w:left="397" w:hanging="197"/>
      </w:pPr>
      <w:r>
        <w:t>Mangan: zusätzliche Zufuhr von 5 mg täglich</w:t>
      </w:r>
    </w:p>
    <w:p>
      <w:pPr>
        <w:pStyle w:val="para28"/>
        <w:numPr>
          <w:ilvl w:val="1"/>
          <w:numId w:val="2"/>
        </w:numPr>
        <w:ind w:left="397" w:hanging="197"/>
      </w:pPr>
      <w:r>
        <w:t>Bor: zusätzliche Zufuhr von 10 mg täglich</w:t>
      </w:r>
    </w:p>
    <w:p>
      <w:pPr>
        <w:rPr>
          <w:sz w:val="18"/>
          <w:szCs w:val="18"/>
        </w:rPr>
      </w:pPr>
      <w:r>
        <w:rPr>
          <w:sz w:val="18"/>
          <w:szCs w:val="18"/>
        </w:rPr>
        <w:t>Quelle: Rundmails von Dr. Feil im Rahmen der Knorpel- und Knochenkur</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Diese wichtigen Nährstoffe …</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rPr>
          <w:b/>
          <w:bCs/>
        </w:rPr>
        <w:t>... tragen erheblich für die Besserung der Entzündungen im Körper bei.</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Um welche Nährstoffe es sich handelt?</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rPr>
          <w:b/>
          <w:bCs/>
        </w:rPr>
        <w:t xml:space="preserve">Es geht um: </w:t>
        <w:fldChar w:fldCharType="begin"/>
        <w:instrText xml:space="preserve">XE "Selen" \G </w:instrText>
        <w:fldChar w:fldCharType="end"/>
        <w:t xml:space="preserve">Selen, </w:t>
        <w:fldChar w:fldCharType="begin"/>
        <w:instrText xml:space="preserve">XE "Zink" \G </w:instrText>
        <w:fldChar w:fldCharType="end"/>
        <w:t>Zink, Bor, Kupfer und Mangan!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rPr>
          <w:b/>
          <w:bCs/>
        </w:rPr>
        <w:t>Kupfer und Mangan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sind wichtig für das körpereigene Enzym Superoxiddismutase, das den Knorpel vor vorzeitiger Alterung schützt.</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Die tägliche Versorgung mit Kupfer sollte bei etwa 3 mg liegen.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Hier dürfen Sie sich gerne mal ein Glas Sherry können, sofern Sie mögen, denn gerade der hat einen hohen Anteil an Kupfer.</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Ansonsten greifen Sie gerne zu Kalbsleber (natürlich in Bio-Qualität) und Kakao (vergessen Sie nicht die dunkle Schokolade mit mindestens 70% Kakao Anteil).</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Auch in Ihren täglichen Nährstoffen habe ich darauf geachtet, dass Kupfer enthalten ist.</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So sind Sie immer gut versorgt.</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rPr>
          <w:b/>
          <w:bCs/>
        </w:rPr>
        <w:t>Bei Mangan sieht es schon etwas schwieriger aus.</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Auf Dauer kommen Sie hier kaum ohne eine Nährstoffgabe aus.</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Natürlich habe ich daran gedacht und Mangan in Ihren täglichen Kollagenshake eingebaut.</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rPr>
          <w:b/>
          <w:bCs/>
        </w:rPr>
        <w:fldChar w:fldCharType="begin"/>
        <w:instrText xml:space="preserve">XE "Zink" \G </w:instrText>
        <w:fldChar w:fldCharType="end"/>
        <w:t>Zink</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sorgt dafür, dass unser gesamter Stoffwechsel und unser Immunsystem richtig funktioniert.</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Allerdings kann der Körper </w:t>
        <w:fldChar w:fldCharType="begin"/>
        <w:instrText xml:space="preserve">XE "Zink" \G </w:instrText>
        <w:fldChar w:fldCharType="end"/>
        <w:t>Zink nur kurzfristig und in kleinen Mengen speichern.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Deswegen es wichtig ist, dass Sie jeden Tag eine kleine Menge </w:t>
        <w:fldChar w:fldCharType="begin"/>
        <w:instrText xml:space="preserve">XE "Zink" \G </w:instrText>
        <w:fldChar w:fldCharType="end"/>
        <w:t>Zink, ideal sind 10 bis 15 mg, zu sich nehmen.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In der Erkältungszeit, wenn der Körper zusätzlich gegen Viren und Bakterien kämpft, dürfen es auch gerne etwas mehr sein.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Sie finden </w:t>
        <w:fldChar w:fldCharType="begin"/>
        <w:instrText xml:space="preserve">XE "Zink" \G </w:instrText>
        <w:fldChar w:fldCharType="end"/>
        <w:t>Zink nicht nur in Ihren täglichen Nährstoffen der Arthrosekur, sondern auch in Bio-Rindfleisch, Eiern, Milch und Käse.</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xml:space="preserve">In Getreide, Nüssen und Hülsenfrüchten ist ebenfalls </w:t>
        <w:fldChar w:fldCharType="begin"/>
        <w:instrText xml:space="preserve">XE "Zink" \G </w:instrText>
        <w:fldChar w:fldCharType="end"/>
        <w:t>Zink enthalten.</w:t>
      </w:r>
    </w:p>
    <w:p>
      <w:pPr>
        <w:ind w:left="170" w:right="165"/>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Es ist aber für den Körper nicht ganz so leicht verwertbar.</w:t>
      </w:r>
    </w:p>
    <w:p>
      <w:pPr>
        <w:pStyle w:val="para3"/>
        <w:numPr>
          <w:ilvl w:val="2"/>
          <w:numId w:val="1"/>
        </w:numPr>
        <w:ind w:left="720" w:hanging="720"/>
      </w:pPr>
      <w:bookmarkStart w:id="238" w:name="_TOC000283"/>
      <w:r>
        <w:t>Superfoods gegen Schmerzen</w:t>
      </w:r>
      <w:bookmarkEnd w:id="238"/>
      <w:r/>
    </w:p>
    <w:p>
      <w:r>
        <w:t xml:space="preserve">Manche Lebensmittel punkten mit extra vielen antientzündlichen Eigenschaften. Sie sollten bei Rheuma und </w:t>
        <w:fldChar w:fldCharType="begin"/>
        <w:instrText xml:space="preserve">XE "Arthrose" \G </w:instrText>
        <w:fldChar w:fldCharType="end"/>
        <w:t>Arthrose besonders häufig auf dem Speiseplan stehen. Hier sind unsere Favoriten aufgeführt.</w:t>
      </w:r>
    </w:p>
    <w:p>
      <w:pPr>
        <w:pStyle w:val="para4"/>
        <w:numPr>
          <w:ilvl w:val="3"/>
          <w:numId w:val="1"/>
        </w:numPr>
        <w:ind w:left="1077" w:hanging="1077"/>
      </w:pPr>
      <w:bookmarkStart w:id="239" w:name="_TOC000284"/>
      <w:r>
        <w:t>Grüntee</w:t>
      </w:r>
      <w:bookmarkEnd w:id="239"/>
      <w:r/>
    </w:p>
    <w:p>
      <w:r>
        <w:t xml:space="preserve">Sein Zungenbrecherwirkstoff Epigallocatechin-Gallat (EGCG) hemmt Entzündungsaktivatoren und erhöht gleichzeitig die Produktion von Stoffen, die Entzündungen entgegenwirken. Genießen Sie bei Gelenkbeschwerden täglich 3 bis 4 Tassen. Teeblätter am besten nicht mit kochendem, sondern mit 70 Grad heißem Wasser aufgießen und länger als fünf Minuten ziehen lassen - so setzen sie am meisten </w:t>
      </w:r>
      <w:r>
        <w:rPr>
          <w:b/>
          <w:bCs/>
        </w:rPr>
        <w:t>Katechine</w:t>
      </w:r>
      <w:r>
        <w:t xml:space="preserve"> frei. Ein Spritzer Zitrone verbessert die Aufnahme der </w:t>
        <w:fldChar w:fldCharType="begin"/>
        <w:instrText xml:space="preserve">XE "Antioxidantien" \G </w:instrText>
        <w:fldChar w:fldCharType="end"/>
        <w:t>Antioxidantien im Darm.</w:t>
      </w:r>
    </w:p>
    <w:p>
      <w:pPr>
        <w:ind w:left="283" w:right="279"/>
        <w:spacing/>
        <w:jc w:val="left"/>
        <w:pBdr>
          <w:top w:val="single" w:sz="4" w:space="3" w:color="000000" tmln="10, 20, 20, 0, 60"/>
          <w:left w:val="single" w:sz="4" w:space="3" w:color="000000" tmln="10, 20, 20, 0, 60"/>
          <w:bottom w:val="single" w:sz="4" w:space="3" w:color="000000" tmln="10, 20, 20, 0, 60"/>
          <w:right w:val="single" w:sz="4" w:space="3" w:color="000000" tmln="10, 20, 20, 0, 60"/>
          <w:between w:val="nil" w:sz="0" w:space="0" w:color="000000" tmln="20, 20, 20, 0, 0"/>
        </w:pBdr>
        <w:shd w:val="none"/>
      </w:pPr>
      <w:r>
        <w:rPr>
          <w:b/>
          <w:bCs/>
        </w:rPr>
        <w:t xml:space="preserve">Katechine </w:t>
      </w:r>
      <w:r>
        <w:t xml:space="preserve">sind pflanzliche Polyphenole, die als </w:t>
        <w:fldChar w:fldCharType="begin"/>
        <w:instrText xml:space="preserve">XE "Antioxidantien" \G </w:instrText>
        <w:fldChar w:fldCharType="end"/>
        <w:t xml:space="preserve">Antioxidantien wirken und in vielen Teesorten, wie grünem Tee, aber auch in Obst, vorkommen. Sie können den Körper vor oxidativem Stress schützen, indem sie </w:t>
        <w:fldChar w:fldCharType="begin"/>
        <w:instrText xml:space="preserve">XE "Freie Radikale" \G </w:instrText>
        <w:fldChar w:fldCharType="end"/>
        <w:t>freie Radikale abfangen und so Zellen und DNA vor Schäden bewahren, was die Blutgefäße, das Herz und den Stoffwechsel unterstützen kann.</w:t>
      </w:r>
    </w:p>
    <w:p>
      <w:pPr>
        <w:pStyle w:val="para4"/>
        <w:numPr>
          <w:ilvl w:val="3"/>
          <w:numId w:val="1"/>
        </w:numPr>
        <w:ind w:left="1077" w:hanging="1077"/>
      </w:pPr>
      <w:bookmarkStart w:id="240" w:name="_TOC000285"/>
      <w:r>
        <w:t>Kirschen</w:t>
      </w:r>
      <w:bookmarkEnd w:id="240"/>
      <w:r/>
    </w:p>
    <w:p>
      <w:r>
        <w:t xml:space="preserve">Das Steinobst steckt voller Anthocyane, das sind sekundäre Pflanzenstoffe mit antientzündlichen und antioxidativen Eigenschaften. Angeblich ist der entzündungshemmende Effekt der Früchtchen sogar stärker als der von Acetylsalicylsäure. Auch </w:t>
        <w:fldChar w:fldCharType="begin"/>
        <w:instrText xml:space="preserve">XE "Harnsäure" \G </w:instrText>
        <w:fldChar w:fldCharType="end"/>
        <w:t>Harnsäure lässt sich mit Kirschen senken. In einer Studie der Boston University School of Medicine (US-Bundesstaat Massachusetts) mit Gichtpatienten lag die optimale Dosis bei täglich 1 bis 2 Portionen à 10 bis 12 Kirschen.</w:t>
      </w:r>
    </w:p>
    <w:p>
      <w:pPr>
        <w:pStyle w:val="para4"/>
        <w:numPr>
          <w:ilvl w:val="3"/>
          <w:numId w:val="1"/>
        </w:numPr>
        <w:ind w:left="1077" w:hanging="1077"/>
      </w:pPr>
      <w:bookmarkStart w:id="241" w:name="_TOC000286"/>
      <w:r>
        <w:fldChar w:fldCharType="begin"/>
        <w:instrText xml:space="preserve">XE "Kurkuma" \G </w:instrText>
        <w:fldChar w:fldCharType="end"/>
        <w:t>Kurkuma</w:t>
      </w:r>
      <w:bookmarkEnd w:id="241"/>
      <w:r/>
    </w:p>
    <w:p>
      <w:r>
        <w:t xml:space="preserve">Sein Inhaltsstoff Curcumin unterdrückt im Körper ein ganz spezielles entzündungsförderndes </w:t>
        <w:fldChar w:fldCharType="begin"/>
        <w:instrText xml:space="preserve">XE "Eiweiß" \G </w:instrText>
        <w:fldChar w:fldCharType="end"/>
        <w:t>Eiweiß, den sogenannten Nuclear Factor kappa B (NF-</w:t>
      </w:r>
      <w:r>
        <w:rPr>
          <w:rFonts w:eastAsia="Tahoma" w:cs="Tahoma"/>
        </w:rPr>
        <w:t>κ</w:t>
      </w:r>
      <w:r>
        <w:t xml:space="preserve">B). Außerdem hilft das Gewürz, die körpereigene Kollagensynthese zu aktivieren, indem es den Entzündungsfaktor IL-1 außer Kraft setzt. Auf diese Weise profitieren Patienten mit </w:t>
        <w:fldChar w:fldCharType="begin"/>
        <w:instrText xml:space="preserve">XE "Arthrose" \G </w:instrText>
        <w:fldChar w:fldCharType="end"/>
        <w:t xml:space="preserve">Arthrose doppelt: Denn das pflanzliche Kortison </w:t>
        <w:fldChar w:fldCharType="begin"/>
        <w:instrText xml:space="preserve">XE "Kurkuma" \G </w:instrText>
        <w:fldChar w:fldCharType="end"/>
        <w:t xml:space="preserve">Kurkuma schützt auch den Knorpel! Für wirksamen Gelenkschutz rühren Sie täglich 1 Teelöffel </w:t>
        <w:fldChar w:fldCharType="begin"/>
        <w:instrText xml:space="preserve">XE "Kurkuma" \G </w:instrText>
        <w:fldChar w:fldCharType="end"/>
        <w:t xml:space="preserve">Kurkuma in Joghurt oder Quark ein oder geben es über. den Salat. Tipp: Wird e s gemeinsam mit </w:t>
        <w:fldChar w:fldCharType="begin"/>
        <w:instrText xml:space="preserve">XE "Pfeffer" \G </w:instrText>
        <w:fldChar w:fldCharType="end"/>
        <w:t>Pfeffer verzehrt, kann Curcumin vom Körper deutlich besser aufgenommen werden.</w:t>
      </w:r>
    </w:p>
    <w:p>
      <w:pPr>
        <w:pStyle w:val="para4"/>
        <w:numPr>
          <w:ilvl w:val="3"/>
          <w:numId w:val="1"/>
        </w:numPr>
        <w:ind w:left="1077" w:hanging="1077"/>
      </w:pPr>
      <w:bookmarkStart w:id="242" w:name="_TOC000287"/>
      <w:r>
        <w:t>Leinöl</w:t>
      </w:r>
      <w:bookmarkEnd w:id="242"/>
      <w:r/>
    </w:p>
    <w:p>
      <w:r>
        <w:t xml:space="preserve">In der kalten Küche besitzt das Pflanzenöl aus Leinsamen - neben </w:t>
        <w:fldChar w:fldCharType="begin"/>
        <w:instrText xml:space="preserve">XE "Olivenöl" \G </w:instrText>
        <w:fldChar w:fldCharType="end"/>
        <w:t xml:space="preserve">Olivenöl - die besten Superfood-Qualitäten. Kein pflanzliches </w:t>
        <w:fldChar w:fldCharType="begin"/>
        <w:instrText xml:space="preserve">XE "Fett" \G </w:instrText>
        <w:fldChar w:fldCharType="end"/>
        <w:t>Fett enthält mehr von der wertvollen Alpha-Linolensäure: Aus 10 Gramm bastelt sich der Körper ein halbes Gramm gesunder EPA-Fette. Vor allem Vegetarier und Menschen, die keinen Fisch mögen, brauchen täglich 1 Esslöffel Leinöl: Rühren Sie es in das Salatdressing, in den Quark oder ins Müsli oder träufeln Sie es über Pellkartoffeln. Ist Ihnen das nussige Aroma zu intensiv, mischen Sie e s mit anderen Ölen.</w:t>
      </w:r>
    </w:p>
    <w:p>
      <w:pPr>
        <w:pStyle w:val="para4"/>
        <w:numPr>
          <w:ilvl w:val="3"/>
          <w:numId w:val="1"/>
        </w:numPr>
        <w:ind w:left="1077" w:hanging="1077"/>
      </w:pPr>
      <w:bookmarkStart w:id="243" w:name="_TOC000288"/>
      <w:r>
        <w:fldChar w:fldCharType="begin"/>
        <w:instrText xml:space="preserve">XE "Ingwer" \G </w:instrText>
        <w:fldChar w:fldCharType="end"/>
        <w:t>Ingwer</w:t>
      </w:r>
      <w:bookmarkEnd w:id="243"/>
      <w:r/>
    </w:p>
    <w:p>
      <w:r>
        <w:t xml:space="preserve">Etliche Studien zeigen, dass </w:t>
        <w:fldChar w:fldCharType="begin"/>
        <w:instrText xml:space="preserve">XE "Ingwer" \G </w:instrText>
        <w:fldChar w:fldCharType="end"/>
        <w:t xml:space="preserve">Ingwer dank des darin enthaltenen Gingerols Gelenkbeschwerden ähnlich gut lindert wie ein synthetisches Schmerzmittel. Der Scharfstoff fängt das Enzym Cyclooxygenase-2 ab, das Entzündungsreaktionen bei </w:t>
        <w:fldChar w:fldCharType="begin"/>
        <w:instrText xml:space="preserve">XE "Arthrose" \G </w:instrText>
        <w:fldChar w:fldCharType="end"/>
        <w:t xml:space="preserve">Arthrose und Rheuma vermittelt. Darüber hinaus steckt in den Knollen noch Gluthation, das wichtigste wasserlösliche Antioxidans. Die tägliche Dosierung sollte bei 1 bis 2 Teelöffeln Ingwerpulver oder bei 30 bis 40 Gramm frischem </w:t>
        <w:fldChar w:fldCharType="begin"/>
        <w:instrText xml:space="preserve">XE "Ingwer" \G </w:instrText>
        <w:fldChar w:fldCharType="end"/>
        <w:t>Ingwer liegen. Sie können ihn zum Würzen verwenden oder damit Ingwerwasser zubereiten.</w:t>
      </w:r>
    </w:p>
    <w:p>
      <w:pPr>
        <w:ind w:left="283" w:right="279"/>
        <w:pBdr>
          <w:top w:val="single" w:sz="4" w:space="3" w:color="000000" tmln="10, 20, 20, 0, 60"/>
          <w:left w:val="single" w:sz="4" w:space="3" w:color="000000" tmln="10, 20, 20, 0, 60"/>
          <w:bottom w:val="single" w:sz="4" w:space="3" w:color="000000" tmln="10, 20, 20, 0, 60"/>
          <w:right w:val="single" w:sz="4" w:space="3" w:color="000000" tmln="10, 20, 20, 0, 60"/>
          <w:between w:val="nil" w:sz="0" w:space="0" w:color="000000" tmln="20, 20, 20, 0, 0"/>
        </w:pBdr>
        <w:shd w:val="none"/>
        <w:rPr>
          <w:b/>
          <w:bCs/>
        </w:rPr>
      </w:pPr>
      <w:r>
        <w:rPr>
          <w:b/>
          <w:bCs/>
        </w:rPr>
        <w:t>Ingwerwasser</w:t>
      </w:r>
    </w:p>
    <w:p>
      <w:pPr>
        <w:ind w:left="283" w:right="279"/>
        <w:spacing/>
        <w:jc w:val="left"/>
        <w:pBdr>
          <w:top w:val="single" w:sz="4" w:space="3" w:color="000000" tmln="10, 20, 20, 0, 60"/>
          <w:left w:val="single" w:sz="4" w:space="3" w:color="000000" tmln="10, 20, 20, 0, 60"/>
          <w:bottom w:val="single" w:sz="4" w:space="3" w:color="000000" tmln="10, 20, 20, 0, 60"/>
          <w:right w:val="single" w:sz="4" w:space="3" w:color="000000" tmln="10, 20, 20, 0, 60"/>
          <w:between w:val="nil" w:sz="0" w:space="0" w:color="000000" tmln="20, 20, 20, 0, 0"/>
        </w:pBdr>
        <w:shd w:val="none"/>
      </w:pPr>
      <w:r>
        <w:t xml:space="preserve">Ein etwas 2 Zentimeter großes Stück </w:t>
        <w:fldChar w:fldCharType="begin"/>
        <w:instrText xml:space="preserve">XE "Ingwer" \G </w:instrText>
        <w:fldChar w:fldCharType="end"/>
        <w:t xml:space="preserve">Ingwer schälen, in Stücke schneiden und mit </w:t>
        <w:br w:type="textWrapping"/>
        <w:t>400 Milliliter kochendem Wasser übergießen. 20 Minuten ziehen lassen, dann abseihen. Nach Belieben Zitronen- oder Limettensaft zugeben und warm oder kalt genießen.</w:t>
      </w:r>
    </w:p>
    <w:p>
      <w:pPr>
        <w:pStyle w:val="para4"/>
        <w:numPr>
          <w:ilvl w:val="3"/>
          <w:numId w:val="1"/>
        </w:numPr>
        <w:ind w:left="1077" w:hanging="1077"/>
      </w:pPr>
      <w:bookmarkStart w:id="244" w:name="_TOC000289"/>
      <w:r>
        <w:t>Beeren</w:t>
      </w:r>
      <w:bookmarkEnd w:id="244"/>
      <w:r/>
    </w:p>
    <w:p>
      <w:r>
        <w:t xml:space="preserve">Erdbeeren, Heidelbeeren, Himbeeren und Brombeeren sind eine prima Wahl bei Arthritis. Mit Anthozyanen, Gerbsäuren, Ellagsäure und weiteren Pflanzenstoffen enthalten die Früchtchen ein Potpourri an Entzündungssenkern. Zudem punkten Beeren mit reichlich Vitamin C - eines der </w:t>
        <w:fldChar w:fldCharType="begin"/>
        <w:instrText xml:space="preserve">XE "Vitamine" \G </w:instrText>
        <w:fldChar w:fldCharType="end"/>
        <w:t>Vitamine, von denen viele Arthritispatienten enorme Defizite aufweisen. Am besten täglich eine Portion naschen: im Sommer frisch vom Strauch, im Winter TK-Ware.</w:t>
      </w:r>
    </w:p>
    <w:p>
      <w:r/>
    </w:p>
    <w:p>
      <w:pPr>
        <w:pStyle w:val="para2"/>
        <w:numPr>
          <w:ilvl w:val="1"/>
          <w:numId w:val="1"/>
        </w:numPr>
        <w:ind w:left="576" w:hanging="576"/>
      </w:pPr>
      <w:r>
        <w:br w:type="page"/>
      </w:r>
      <w:bookmarkStart w:id="245" w:name="_TOC000018"/>
      <w:r>
        <w:t>Knorpel heilt doch!</w:t>
      </w:r>
      <w:bookmarkEnd w:id="245"/>
      <w:r/>
    </w:p>
    <w:p>
      <w:pPr>
        <w:spacing w:after="120" w:line="240" w:lineRule="atLeast"/>
      </w:pPr>
      <w:r>
        <w:fldChar w:fldCharType="begin"/>
        <w:instrText xml:space="preserve">XE "Arthrose" \G </w:instrText>
        <w:fldChar w:fldCharType="end"/>
        <w:t>Arthrose kann mit der richtigen Strategie ausheilen. Der Knorpel regeneriert, egal, welches Gelenk davon betroffen ist.</w:t>
      </w:r>
    </w:p>
    <w:p>
      <w:pPr>
        <w:spacing w:after="120" w:line="240" w:lineRule="atLeast"/>
      </w:pPr>
      <w:r>
        <w:t xml:space="preserve">Viele Mediziner und Orthopäden sagen immer noch: "Wenn der Knorpel verschlissen ist, dann ist nichts mehr zu machen." Auf der anderen Seite wissen wir von der Wissenschaft, auch bei fortgeschrittener </w:t>
        <w:fldChar w:fldCharType="begin"/>
        <w:instrText xml:space="preserve">XE "Arthrose" \G </w:instrText>
        <w:fldChar w:fldCharType="end"/>
        <w:t>Arthrose gibt es regenerierungsfähige Knorpelzellen - Quelle: Miosge, Kruegel (2008): The role of progenitor cells in Otheoarthritis, Current Rheumathology 2008.</w:t>
      </w:r>
    </w:p>
    <w:p>
      <w:pPr>
        <w:spacing w:after="120" w:line="240" w:lineRule="atLeast"/>
      </w:pPr>
      <w:r>
        <w:t xml:space="preserve">Der menschliche Körper ist ein biologisches System und biologische Systeme streben immer nach Regeneration. </w:t>
      </w:r>
    </w:p>
    <w:p>
      <w:pPr>
        <w:spacing w:after="120" w:line="240" w:lineRule="atLeast"/>
      </w:pPr>
      <w:r>
        <w:t xml:space="preserve">Im </w:t>
      </w:r>
      <w:r>
        <w:rPr>
          <w:b/>
          <w:bCs/>
        </w:rPr>
        <w:t>Deutschen Ärzteblatt</w:t>
      </w:r>
      <w:r>
        <w:t xml:space="preserve"> gab es 2010 einen Bericht mit dem Titel: </w:t>
      </w:r>
      <w:r>
        <w:rPr>
          <w:b/>
          <w:bCs/>
        </w:rPr>
        <w:t>"</w:t>
        <w:fldChar w:fldCharType="begin"/>
        <w:instrText xml:space="preserve">XE "Arthrose" \G </w:instrText>
        <w:fldChar w:fldCharType="end"/>
        <w:t>Arthrose ist kein altersbedingter Verschleiß."</w:t>
      </w:r>
      <w:r>
        <w:t xml:space="preserve"> Versorgungsfehler und entzündliche Prozesse schädigen auf Dauer den Gelenkknorpel.</w:t>
      </w:r>
    </w:p>
    <w:p>
      <w:pPr>
        <w:spacing w:after="120" w:line="240" w:lineRule="atLeast"/>
      </w:pPr>
      <w:r>
        <w:t xml:space="preserve">In </w:t>
      </w:r>
      <w:r>
        <w:rPr>
          <w:b/>
          <w:bCs/>
        </w:rPr>
        <w:t>DIE WELT 10/2022:</w:t>
      </w:r>
      <w:r>
        <w:t xml:space="preserve"> Dr. Michael Brendler, "Eine Operation verschlimmert die Beschwerden häufig. Doch jetzt gibt es Hoffnung. </w:t>
      </w:r>
      <w:r>
        <w:rPr>
          <w:b/>
          <w:bCs/>
        </w:rPr>
        <w:t>Die Ärzte haben die Regenerationskraft des Knorpels unterschätzt."</w:t>
      </w:r>
      <w:r/>
    </w:p>
    <w:p>
      <w:pPr>
        <w:spacing w:after="120" w:line="240" w:lineRule="atLeast"/>
      </w:pPr>
      <w:r>
        <w:rPr>
          <w:b/>
          <w:bCs/>
        </w:rPr>
        <w:t>Spektrum Gesundheit Februar 2023:</w:t>
      </w:r>
      <w:r>
        <w:t xml:space="preserve"> </w:t>
      </w:r>
      <w:r>
        <w:rPr>
          <w:b/>
          <w:bCs/>
        </w:rPr>
        <w:t xml:space="preserve">"Knorpel kann bei </w:t>
        <w:fldChar w:fldCharType="begin"/>
        <w:instrText xml:space="preserve">XE "Arthrose" \G </w:instrText>
        <w:fldChar w:fldCharType="end"/>
        <w:t>Arthrose regenerieren."</w:t>
      </w:r>
      <w:r>
        <w:t xml:space="preserve"> Nur hier wurde der Regenerationsweg nicht aufgezeigt und der Auslöser des Regenerationsprozesses nicht erkannt. Aufgrund der Studienlage wurde hier gesehen, dass das gehen muss, ohne zu wissen, was der Mechanismus dahinter ist. Die Forschungsgruppe Dr. Feil hat anderthalb Jahre lang alle Studien und Berichte recherchiert und den Auslöser von </w:t>
        <w:fldChar w:fldCharType="begin"/>
        <w:instrText xml:space="preserve">XE "Knorpelregeneration" \G </w:instrText>
        <w:fldChar w:fldCharType="end"/>
        <w:t>Knorpelregeneration gefunden.</w:t>
      </w:r>
    </w:p>
    <w:p>
      <w:pPr>
        <w:spacing w:after="120" w:line="240" w:lineRule="atLeast"/>
      </w:pPr>
      <w:r>
        <w:t>Dr. Feil hat im Auguste 2024 in der '</w:t>
      </w:r>
      <w:r>
        <w:rPr>
          <w:b/>
          <w:bCs/>
        </w:rPr>
        <w:t>sportärzetzeitung'</w:t>
      </w:r>
      <w:r>
        <w:t xml:space="preserve"> den wissenschaftlichen Beitrag gebracht </w:t>
      </w:r>
      <w:r>
        <w:rPr>
          <w:b/>
          <w:bCs/>
        </w:rPr>
        <w:t>"</w:t>
        <w:fldChar w:fldCharType="begin"/>
        <w:instrText xml:space="preserve">XE "Arthrose" \G </w:instrText>
        <w:fldChar w:fldCharType="end"/>
        <w:t>Arthrose ist heilbar."</w:t>
      </w:r>
      <w:r/>
    </w:p>
    <w:p>
      <w:pPr>
        <w:spacing w:after="120" w:line="240" w:lineRule="atLeast"/>
      </w:pPr>
      <w:r>
        <w:t>Im Juni 2025 hat er dort eine Publikation veröffentlicht, in der er Punkt für Punkt auflistet, wie Regeneration stattfindet, welche Gene angeschaltet werden und welche Botenstoffe beteiligt sind, damit ein Knorpelaufbau wieder stattfindet.</w:t>
      </w:r>
    </w:p>
    <w:p>
      <w:pPr>
        <w:spacing w:after="120" w:line="240" w:lineRule="atLeast"/>
        <w:rPr>
          <w:b/>
          <w:bCs/>
        </w:rPr>
      </w:pPr>
      <w:r>
        <w:rPr>
          <w:b/>
          <w:bCs/>
        </w:rPr>
        <w:fldChar w:fldCharType="begin"/>
        <w:instrText xml:space="preserve">XE "Arthrose" \G </w:instrText>
        <w:fldChar w:fldCharType="end"/>
        <w:t>Arthrose ist also eine heilbare Entzündungserkrankung, die den Knorpel vielleicht schon seit Jahren abbaut.</w:t>
      </w:r>
    </w:p>
    <w:p>
      <w:pPr>
        <w:spacing w:after="120" w:line="240" w:lineRule="atLeast"/>
      </w:pPr>
      <w:r>
        <w:t xml:space="preserve">Die Grundlage von </w:t>
        <w:fldChar w:fldCharType="begin"/>
        <w:instrText xml:space="preserve">XE "Arthrose" \G </w:instrText>
        <w:fldChar w:fldCharType="end"/>
        <w:t xml:space="preserve">Arthrose sind Entzündungsprozesse. Entzündungen im Körper können wandern. Wenn jemand wegen einer </w:t>
        <w:fldChar w:fldCharType="begin"/>
        <w:instrText xml:space="preserve">XE "Arthrose" \G </w:instrText>
        <w:fldChar w:fldCharType="end"/>
        <w:t>Arthrose ein neues Kniegelenk erhält und die Entzündung wurde nicht behandelt, kann sie nach einiger Zeit anderswo im Körper auftauchen. Deshalb ist es wichtig, den Regenerationsweg zu gehen und nicht den Operationsweg.</w:t>
      </w:r>
    </w:p>
    <w:p>
      <w:pPr>
        <w:spacing w:after="120" w:line="240" w:lineRule="atLeast"/>
      </w:pPr>
      <w:r>
        <w:t>Im August 2025 hat Dr. Feil einen weiteren wissenschaftlichen Beitrag in der '</w:t>
      </w:r>
      <w:r>
        <w:rPr>
          <w:b/>
          <w:bCs/>
        </w:rPr>
        <w:t>sportärztezeitung</w:t>
      </w:r>
      <w:r>
        <w:t xml:space="preserve">' veröffentlicht mit dem Titel: </w:t>
      </w:r>
      <w:r>
        <w:rPr>
          <w:b/>
          <w:bCs/>
        </w:rPr>
        <w:t>"NSAR schädigen den Knorpel"</w:t>
      </w:r>
      <w:r>
        <w:t xml:space="preserve">. NSAR sind 'nicht-steroidale Antirheumatika' wie Voltaren, Ibuprofen oder Diclofenac. Dies ist die Standardmedikation bei </w:t>
        <w:fldChar w:fldCharType="begin"/>
        <w:instrText xml:space="preserve">XE "Arthrose" \G </w:instrText>
        <w:fldChar w:fldCharType="end"/>
        <w:t xml:space="preserve">Arthrose. Damit wird der Schmerz in den nächsten Tagen leicht zurückgehen. Aber das Regenerationspotenzial der vom Knochenmark kommenden Stammzellen wird schlechter. Das heißt, auf Dauer schädigen diese Schmerzmittel die </w:t>
        <w:fldChar w:fldCharType="begin"/>
        <w:instrText xml:space="preserve">XE "Knorpelregeneration" \G </w:instrText>
        <w:fldChar w:fldCharType="end"/>
        <w:t>Knorpelregeneration und die feinen Blutgefäße im Körper.</w:t>
      </w:r>
    </w:p>
    <w:p>
      <w:pPr>
        <w:pStyle w:val="para3"/>
        <w:numPr>
          <w:ilvl w:val="2"/>
          <w:numId w:val="1"/>
        </w:numPr>
        <w:ind w:left="720" w:hanging="720"/>
      </w:pPr>
      <w:bookmarkStart w:id="246" w:name="_TOC000031"/>
      <w:r/>
      <w:bookmarkEnd w:id="246"/>
      <w:r/>
      <w:bookmarkStart w:id="247" w:name="_TOC000033"/>
      <w:r/>
    </w:p>
    <w:p>
      <w:pPr>
        <w:pStyle w:val="para3"/>
        <w:numPr>
          <w:ilvl w:val="2"/>
          <w:numId w:val="1"/>
        </w:numPr>
        <w:ind w:left="720" w:hanging="720"/>
      </w:pPr>
      <w:r>
        <w:br w:type="page"/>
      </w:r>
      <w:bookmarkStart w:id="248" w:name="_TOC000333"/>
      <w:r>
        <w:t>Wie ein Gelenk aufgebaut ist</w:t>
      </w:r>
      <w:bookmarkEnd w:id="247"/>
      <w:r/>
      <w:bookmarkEnd w:id="248"/>
      <w:r/>
    </w:p>
    <w:p>
      <w:pPr>
        <w:spacing/>
        <w:jc w:val="left"/>
        <w:rPr>
          <w:sz w:val="14"/>
          <w:szCs w:val="14"/>
        </w:rPr>
      </w:pPr>
      <w:r>
        <w:rPr>
          <w:noProof/>
        </w:rPr>
        <w:drawing>
          <wp:anchor distT="89535" distB="89535" distL="89535" distR="89535" simplePos="0" relativeHeight="251658305" behindDoc="0" locked="0" layoutInCell="0" hidden="0" allowOverlap="1">
            <wp:simplePos x="0" y="0"/>
            <wp:positionH relativeFrom="column">
              <wp:posOffset>2512695</wp:posOffset>
            </wp:positionH>
            <wp:positionV relativeFrom="paragraph">
              <wp:posOffset>224155</wp:posOffset>
            </wp:positionV>
            <wp:extent cx="3266440" cy="2085340"/>
            <wp:effectExtent l="0" t="0" r="0" b="0"/>
            <wp:wrapSquare wrapText="bothSides"/>
            <wp:docPr id="65" name="Grafik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Grafik85"/>
                    <pic:cNvPicPr>
                      <a:picLocks noChangeAspect="1"/>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BgUAADUDAAAGBQAANQM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zBQAAAKIAAAAAAAAAAAAAAQAAAAIAAAB1DwAAAQAAAAIAAABhAQAAGBQAANQMAABbAAMAxxIAAHMIAAAoAAAACAAAAAEAAAABAAAAMAAAABQAAAAAAAAAAAD//wAAAQAAAP//AAABAA=="/>
                        </a:ext>
                      </a:extLst>
                    </pic:cNvPicPr>
                  </pic:nvPicPr>
                  <pic:blipFill>
                    <a:blip r:embed="rId74"/>
                    <a:stretch>
                      <a:fillRect/>
                    </a:stretch>
                  </pic:blipFill>
                  <pic:spPr>
                    <a:xfrm>
                      <a:off x="0" y="0"/>
                      <a:ext cx="3266440" cy="2085340"/>
                    </a:xfrm>
                    <a:prstGeom prst="rect">
                      <a:avLst/>
                    </a:prstGeom>
                    <a:noFill/>
                    <a:ln w="12700">
                      <a:noFill/>
                    </a:ln>
                  </pic:spPr>
                </pic:pic>
              </a:graphicData>
            </a:graphic>
          </wp:anchor>
        </w:drawing>
      </w:r>
      <w:r>
        <w:rPr>
          <w:sz w:val="14"/>
          <w:szCs w:val="14"/>
        </w:rPr>
        <w:t xml:space="preserve">Quelle: </w:t>
      </w:r>
      <w:hyperlink r:id="rId75" w:history="1">
        <w:r>
          <w:rPr>
            <w:rStyle w:val="char20"/>
            <w:sz w:val="14"/>
            <w:szCs w:val="14"/>
          </w:rPr>
          <w:t>https://www.meincareplus.de/de_DE/home/therapiegebiete/gelenk/wissenswertes-rheuma/meine-gelenke.html</w:t>
        </w:r>
      </w:hyperlink>
      <w:r>
        <w:rPr>
          <w:sz w:val="14"/>
          <w:szCs w:val="14"/>
        </w:rPr>
        <w:t>, 04.08.2025</w:t>
      </w:r>
      <w:r>
        <w:rPr>
          <w:sz w:val="14"/>
          <w:szCs w:val="14"/>
        </w:rPr>
      </w:r>
    </w:p>
    <w:p>
      <w:r>
        <w:t>Ein Gelenk besteht aus zwei Knochenteilen: dem Gelenkkopf und der Gelenkpfanne. Die Gelenkkapsel hält beide Teile zusammen und gibt ihnen Stabilität.</w:t>
      </w:r>
    </w:p>
    <w:p>
      <w:r>
        <w:t>Damit die beiden Gelenkflächen nicht bei jeder Bewegung schmerzhaft aufeinander reiben, sind sie mit einem Stoßdämpfer ausgestattet: der druckelastischen Knorpelschicht, die jede Bewegung abpuffert. Zwischen den beiden Knorpeln befindet sich Flüssigkeit, auch Synovia genannt. Sie sorgt als eine Art Gelenkschmiere für reibungslose Bewegungen und versorgt den Knorpel außerdem mit wichtigen Nährstoffen.</w:t>
      </w:r>
    </w:p>
    <w:p>
      <w:r>
        <w:t>Von innen ist die Gelenkkapsel mit der Gelenkinnenhaut ausgekleidet. In ihr befinden sich Blutgefäße und Nerven. Die Nerven melden dem Gehirn, in welcher Position sich das Gelenk befindet. Sie sind auch der Grund dafür, weshalb Verletzungen oder Entzündungen am Gelenk häufig so schmerzhaft sind.</w:t>
      </w:r>
    </w:p>
    <w:p>
      <w:r>
        <w:t>Von außen ist die Gelenkkapsel von Bändern, Muskeln, Sehnen und Bindegewebe umgeben. Mediziner sprechen dabei auch vom Kapsel-Band-Apparat.</w:t>
      </w:r>
    </w:p>
    <w:p>
      <w:pPr>
        <w:pStyle w:val="para3"/>
        <w:numPr>
          <w:ilvl w:val="2"/>
          <w:numId w:val="1"/>
        </w:numPr>
        <w:ind w:left="720" w:hanging="720"/>
      </w:pPr>
      <w:bookmarkStart w:id="249" w:name="_TOC000034"/>
      <w:r>
        <w:t>Wie der Knorpel versorgt wird</w:t>
      </w:r>
      <w:bookmarkEnd w:id="249"/>
      <w:r/>
    </w:p>
    <w:p>
      <w:pPr>
        <w:rPr>
          <w:sz w:val="16"/>
          <w:szCs w:val="16"/>
        </w:rPr>
      </w:pPr>
      <w:r>
        <w:rPr>
          <w:sz w:val="16"/>
          <w:szCs w:val="16"/>
        </w:rPr>
        <w:t>Quelle: Bernhard Hobelsberger, Dr. Wolfgang Feil: Dr. FOOD - gesunde Ernährung für starke Gelenke, GU 2021, Seite 26-27</w:t>
      </w:r>
    </w:p>
    <w:p>
      <w:r>
        <w:t xml:space="preserve">Regelmäßige körperliche Aktivität versorgt den Knorpel. Bei jedem Schritt wird der Knorpel leicht zusammengedrückt. In dieser Stauchungsphase gibt der Knorpel seine Abbaustoffe und Abriebprodukte in die Gelenkflüssigkeit ab. Diese Stoffe werden von der Gelenkinnenhaut aufgenommen und über die Blutbahn entsorgt. </w:t>
      </w:r>
    </w:p>
    <w:p>
      <w:r>
        <w:t xml:space="preserve">In der Entlastungsphase dehnt der Knorpel sich etwas aus und saugt die Nährstoffe aus der Gelenkflüssigkeit auf wie ein Schwamm. </w:t>
      </w:r>
    </w:p>
    <w:p>
      <w:r>
        <w:t>Um diesen Pumpeneffekt auszunutzen und den Gelenkpuffer gesund zu halten, reicht schon Gehen in einem normalen Tempo. Fehlt die körperliche Bewegung, staut sich der Stoffwechselmüll im Knorpel und wichtige Nährstoffe gelangen nicht vor Ort. Dies kann Entzündungen fördern.</w:t>
      </w:r>
    </w:p>
    <w:p>
      <w:bookmarkStart w:id="250" w:name="_TOC000210"/>
      <w:r/>
    </w:p>
    <w:p>
      <w:pPr>
        <w:pStyle w:val="para3"/>
        <w:numPr>
          <w:ilvl w:val="2"/>
          <w:numId w:val="1"/>
        </w:numPr>
        <w:ind w:left="720" w:hanging="720"/>
      </w:pPr>
      <w:r>
        <w:br w:type="page"/>
      </w:r>
      <w:bookmarkStart w:id="251" w:name="_TOC000106"/>
      <w:r>
        <w:t xml:space="preserve">Das Krankheitsbild der </w:t>
        <w:fldChar w:fldCharType="begin"/>
        <w:instrText xml:space="preserve">XE "Arthrose" \G </w:instrText>
        <w:fldChar w:fldCharType="end"/>
        <w:t>Arthrose</w:t>
      </w:r>
      <w:bookmarkEnd w:id="251"/>
      <w:r/>
    </w:p>
    <w:p>
      <w:r>
        <w:rPr>
          <w:noProof/>
        </w:rPr>
        <w:drawing>
          <wp:anchor distT="0" distB="36195" distL="179705" distR="0" simplePos="0" relativeHeight="251658313" behindDoc="0" locked="0" layoutInCell="0" hidden="0" allowOverlap="1">
            <wp:simplePos x="0" y="0"/>
            <wp:positionH relativeFrom="column">
              <wp:posOffset>2833370</wp:posOffset>
            </wp:positionH>
            <wp:positionV relativeFrom="paragraph">
              <wp:posOffset>44450</wp:posOffset>
            </wp:positionV>
            <wp:extent cx="2936240" cy="2258060"/>
            <wp:effectExtent l="0" t="0" r="0" b="0"/>
            <wp:wrapSquare wrapText="bothSides"/>
            <wp:docPr id="73" name="Grafik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Grafik124"/>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BQAAAKIAAAAAAAAAAAAAAQAAAAIAAABuEQAAAQAAAAIAAABGAAAAEBIAAOQNAABcAAMALhkAAFgHAAAoAAAACAAAAAEAAAABAAAAMAAAABQAAAAAAAAAAAD//wAAAQAAAP//AAABAA=="/>
                        </a:ext>
                      </a:extLst>
                    </pic:cNvPicPr>
                  </pic:nvPicPr>
                  <pic:blipFill>
                    <a:blip r:embed="rId76"/>
                    <a:stretch>
                      <a:fillRect/>
                    </a:stretch>
                  </pic:blipFill>
                  <pic:spPr>
                    <a:xfrm>
                      <a:off x="0" y="0"/>
                      <a:ext cx="2936240" cy="2258060"/>
                    </a:xfrm>
                    <a:prstGeom prst="rect">
                      <a:avLst/>
                    </a:prstGeom>
                    <a:noFill/>
                    <a:ln w="12700">
                      <a:noFill/>
                    </a:ln>
                  </pic:spPr>
                </pic:pic>
              </a:graphicData>
            </a:graphic>
          </wp:anchor>
        </w:drawing>
      </w:r>
      <w:r>
        <w:t xml:space="preserve">Das Bild stellt ein Kniegelenk dar mit dem Knorpel in blau. Dieser ist gezackt, es fehlen also schon Teile. Dies symbolisiert aus dem Spektrum der Arthrosestadien 1 bis 4 das Stadium 3. In dem Quadrat sind rot und weiß die kollagenen Fasern, die durchbrochen sind. Es gibt keinen Zusammenhalt der Knorpelgrundsubstanz mit den kollagenen Fasern. Es sind auch wenig Knorpelzellen (die blauen Tannenzapfen) vorhanden und es gibt wenig Hyaluronsäureketten (die hellblauen geschlängelten Linien), die Knorpelgrundbausteine (Tannenbäumchen) dran haben. Es gibt auch einige grüne Punkte. Diese symbolisieren die Stammzellen, aus denen sich neuer Knorpel bilden kann. Nur beim Krankheitsbild </w:t>
        <w:fldChar w:fldCharType="begin"/>
        <w:instrText xml:space="preserve">XE "Arthrose" \G </w:instrText>
        <w:fldChar w:fldCharType="end"/>
        <w:t>Arthrose sind diese 'schlafend' und es passiert nichts, es wird keine neue Knorpelzelle daraus entstehen.</w:t>
      </w:r>
    </w:p>
    <w:p>
      <w:r>
        <w:rPr>
          <w:noProof/>
        </w:rPr>
        <w:drawing>
          <wp:anchor distT="0" distB="0" distL="179705" distR="0" simplePos="0" relativeHeight="251658314" behindDoc="0" locked="0" layoutInCell="0" hidden="0" allowOverlap="1">
            <wp:simplePos x="0" y="0"/>
            <wp:positionH relativeFrom="column">
              <wp:posOffset>2811780</wp:posOffset>
            </wp:positionH>
            <wp:positionV relativeFrom="paragraph">
              <wp:posOffset>18415</wp:posOffset>
            </wp:positionV>
            <wp:extent cx="2936240" cy="2258060"/>
            <wp:effectExtent l="0" t="0" r="0" b="0"/>
            <wp:wrapSquare wrapText="bothSides"/>
            <wp:docPr id="74" name="Grafik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Grafik125"/>
                    <pic:cNvPicPr>
                      <a:picLocks noChangeAspect="1"/>
                      <a:codePr string="" type="186246656"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ABQAAAKIAAAAAAAAAAAAAAQAAAAIAAABMEQAAAQAAAAIAAAAdAAAAEBIAAOQNAABcAAMADBkAAAgbAAAoAAAACAAAAAEAAAABAAAAMAAAABQAAAAAAAAAAAD//wAAAQAAAP//AAABAA=="/>
                        </a:ext>
                      </a:extLst>
                    </pic:cNvPicPr>
                  </pic:nvPicPr>
                  <pic:blipFill>
                    <a:blip r:embed="rId77"/>
                    <a:stretch>
                      <a:fillRect/>
                    </a:stretch>
                  </pic:blipFill>
                  <pic:spPr>
                    <a:xfrm>
                      <a:off x="0" y="0"/>
                      <a:ext cx="2936240" cy="2258060"/>
                    </a:xfrm>
                    <a:prstGeom prst="rect">
                      <a:avLst/>
                    </a:prstGeom>
                    <a:noFill/>
                    <a:ln w="12700">
                      <a:noFill/>
                    </a:ln>
                  </pic:spPr>
                </pic:pic>
              </a:graphicData>
            </a:graphic>
          </wp:anchor>
        </w:drawing>
      </w:r>
      <w:r>
        <w:t xml:space="preserve">In diesem Zustand versucht der Knorpel, sich zu regenerieren. Die breite blaue geschlängelte Linie symbolisiert den Übergang vom Knochen (unten) zum Knorpel (oben). Die grünen Stammzellen kommen aus dem Knochenmark in die geschädigten Gelenke. Da aber im Knorpelbereich lauter Entzündungsprozesse sind, sterben die Stammzellen ab. </w:t>
      </w:r>
    </w:p>
    <w:p>
      <w:r/>
    </w:p>
    <w:p>
      <w:r/>
    </w:p>
    <w:p>
      <w:r/>
    </w:p>
    <w:p>
      <w:r>
        <w:rPr>
          <w:noProof/>
        </w:rPr>
        <w:drawing>
          <wp:anchor distT="0" distB="0" distL="179705" distR="0" simplePos="0" relativeHeight="251658315" behindDoc="0" locked="0" layoutInCell="0" hidden="0" allowOverlap="1">
            <wp:simplePos x="0" y="0"/>
            <wp:positionH relativeFrom="column">
              <wp:posOffset>2835910</wp:posOffset>
            </wp:positionH>
            <wp:positionV relativeFrom="paragraph">
              <wp:align>top</wp:align>
            </wp:positionV>
            <wp:extent cx="2936240" cy="2258060"/>
            <wp:effectExtent l="0" t="0" r="0" b="0"/>
            <wp:wrapSquare wrapText="bothSides"/>
            <wp:docPr id="75" name="Grafik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Grafik126"/>
                    <pic:cNvPicPr>
                      <a:picLocks noChangeAspect="1"/>
                      <a:codePr string="" type="186246656"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EBQAAAKIAAAAAAAAAAAAAAAAAAAIAAAByEQAAAQAAAAIAAAAAAAAAEBIAAOQNAABcAAMAMhkAADcqAAAoAAAACAAAAAEAAAABAAAAMAAAABQAAAAAAAAAAAD//wAAAQAAAP//AAABAA=="/>
                        </a:ext>
                      </a:extLst>
                    </pic:cNvPicPr>
                  </pic:nvPicPr>
                  <pic:blipFill>
                    <a:blip r:embed="rId78"/>
                    <a:stretch>
                      <a:fillRect/>
                    </a:stretch>
                  </pic:blipFill>
                  <pic:spPr>
                    <a:xfrm>
                      <a:off x="0" y="0"/>
                      <a:ext cx="2936240" cy="2258060"/>
                    </a:xfrm>
                    <a:prstGeom prst="rect">
                      <a:avLst/>
                    </a:prstGeom>
                    <a:noFill/>
                    <a:ln w="12700">
                      <a:noFill/>
                    </a:ln>
                  </pic:spPr>
                </pic:pic>
              </a:graphicData>
            </a:graphic>
          </wp:anchor>
        </w:drawing>
      </w:r>
      <w:r>
        <w:t>Ein gesundendes Gelenk dagegen (rechte Bildhälfte) sieht in dieser Symbolik etwa so aus. Es wird genau so mit Stammzellen vom Knochenmark versorgt. Diese Stammzellen wachsen an, sie teilen sich, entwickeln sich zu Knorpelzellen, produzieren zusammenhängende kollagene Fasern und mehr Hyaluronsäureketten. Diese tragen mehr Knorpelgrundbausteine als links im Bild mit dem geschädigten Knorpel.</w:t>
      </w:r>
    </w:p>
    <w:p>
      <w:r>
        <w:t xml:space="preserve">Wenn wir das Bild betrachten, wollen wir in den Zustand des rechten Teils gelangen. Die Entzündungsprozesse sind weg und die Stammzellen können anwachsen und die neuen Knorpelzellen bilden. Die Frage ist, wie kommt man von dem linken Zustand in den rechten Zustand? Was löst diesen Übergang der Heilung aus? Hier kommen die </w:t>
      </w:r>
      <w:r>
        <w:rPr>
          <w:b/>
          <w:bCs/>
        </w:rPr>
        <w:t>Makrophagen</w:t>
      </w:r>
      <w:r>
        <w:t xml:space="preserve"> ins Spiel.</w:t>
      </w:r>
    </w:p>
    <w:p>
      <w:pPr>
        <w:pBdr>
          <w:top w:val="single" w:sz="4" w:space="3" w:color="000000" tmln="10, 20, 20, 0, 60"/>
          <w:left w:val="single" w:sz="4" w:space="3" w:color="000000" tmln="10, 20, 20, 0, 60"/>
          <w:bottom w:val="single" w:sz="4" w:space="3" w:color="000000" tmln="10, 20, 20, 0, 60"/>
          <w:right w:val="single" w:sz="4" w:space="3" w:color="000000" tmln="10, 20, 20, 0, 60"/>
          <w:between w:val="nil" w:sz="0" w:space="0" w:color="000000" tmln="20, 20, 20, 0, 0"/>
        </w:pBdr>
        <w:shd w:val="none"/>
      </w:pPr>
      <w:r>
        <w:br w:type="page"/>
      </w:r>
      <w:r>
        <w:rPr>
          <w:b/>
          <w:bCs/>
        </w:rPr>
        <w:t>Makrophagen</w:t>
      </w:r>
      <w:r>
        <w:t xml:space="preserve"> sind Immunzellen im Körper, die abgestorbene Zellen und Mikroben entfernen. Sie gehören zu den weißen Blutkörperchen und entwickeln sich aus den im Knochenmark gebildeten Monozyten. Diese werden ins Blut abgegeben und zirkulieren durch den Körper. Bei einer Infektion werden Monozyten vom betroffenen Ort angezogen und entwickeln sich zu Makrophagen weiter. Diese dienen der Beseitigung von Krankheitskeimen und gehören zum angeborenen Immunsystem.</w:t>
      </w:r>
    </w:p>
    <w:p>
      <w:pPr>
        <w:pBdr>
          <w:top w:val="single" w:sz="4" w:space="3" w:color="000000" tmln="10, 20, 20, 0, 60"/>
          <w:left w:val="single" w:sz="4" w:space="3" w:color="000000" tmln="10, 20, 20, 0, 60"/>
          <w:bottom w:val="single" w:sz="4" w:space="3" w:color="000000" tmln="10, 20, 20, 0, 60"/>
          <w:right w:val="single" w:sz="4" w:space="3" w:color="000000" tmln="10, 20, 20, 0, 60"/>
          <w:between w:val="nil" w:sz="0" w:space="0" w:color="000000" tmln="20, 20, 20, 0, 0"/>
        </w:pBdr>
        <w:shd w:val="none"/>
      </w:pPr>
      <w:r>
        <w:rPr>
          <w:b/>
          <w:bCs/>
        </w:rPr>
        <w:t>Zytokine</w:t>
      </w:r>
      <w:r>
        <w:t xml:space="preserve"> sind kleine Proteine (Botenstoffe), die von Zellen ausgeschüttet werden, um miteinander zu kommunizieren und Funktionen wie Immunantworten, Entzündungen und Zellwachstum zu steuern. Sie können entzündungsfördernd (z.B. TNF-α) oder entzündungshemmend (z.B. IL-4) sein.</w:t>
      </w:r>
    </w:p>
    <w:p>
      <w:pPr>
        <w:pBdr>
          <w:top w:val="single" w:sz="4" w:space="3" w:color="000000" tmln="10, 20, 20, 0, 60"/>
          <w:left w:val="single" w:sz="4" w:space="3" w:color="000000" tmln="10, 20, 20, 0, 60"/>
          <w:bottom w:val="single" w:sz="4" w:space="3" w:color="000000" tmln="10, 20, 20, 0, 60"/>
          <w:right w:val="single" w:sz="4" w:space="3" w:color="000000" tmln="10, 20, 20, 0, 60"/>
          <w:between w:val="nil" w:sz="0" w:space="0" w:color="000000" tmln="20, 20, 20, 0, 0"/>
        </w:pBdr>
        <w:shd w:val="none"/>
      </w:pPr>
      <w:r>
        <w:t xml:space="preserve">Kommt eine Makrophage mit dem entzündungsfördernden Zytokin TNF-α in Verbindung, wandelt sich diese in eine </w:t>
      </w:r>
      <w:r>
        <w:rPr>
          <w:b/>
          <w:bCs/>
        </w:rPr>
        <w:t>M1-Makrophage</w:t>
      </w:r>
      <w:r>
        <w:t xml:space="preserve"> um, die entzündungsfördernd wirkt.</w:t>
      </w:r>
    </w:p>
    <w:p>
      <w:pPr>
        <w:pBdr>
          <w:top w:val="single" w:sz="4" w:space="3" w:color="000000" tmln="10, 20, 20, 0, 60"/>
          <w:left w:val="single" w:sz="4" w:space="3" w:color="000000" tmln="10, 20, 20, 0, 60"/>
          <w:bottom w:val="single" w:sz="4" w:space="3" w:color="000000" tmln="10, 20, 20, 0, 60"/>
          <w:right w:val="single" w:sz="4" w:space="3" w:color="000000" tmln="10, 20, 20, 0, 60"/>
          <w:between w:val="nil" w:sz="0" w:space="0" w:color="000000" tmln="20, 20, 20, 0, 0"/>
        </w:pBdr>
        <w:shd w:val="none"/>
      </w:pPr>
      <w:r>
        <w:t xml:space="preserve">Bei Kontakt mit dem entzündungshemmenden IL-4 wandelt sich die Makrophage in eine </w:t>
      </w:r>
      <w:r>
        <w:rPr>
          <w:b/>
          <w:bCs/>
        </w:rPr>
        <w:t>M2-Makrophage</w:t>
      </w:r>
      <w:r>
        <w:t xml:space="preserve"> um, die entzündungssenkend wirkt.</w:t>
      </w:r>
    </w:p>
    <w:p>
      <w:r>
        <w:rPr>
          <w:noProof/>
        </w:rPr>
        <w:drawing>
          <wp:anchor distT="0" distB="0" distL="179705" distR="0" simplePos="0" relativeHeight="251658316" behindDoc="0" locked="0" layoutInCell="0" hidden="0" allowOverlap="1">
            <wp:simplePos x="0" y="0"/>
            <wp:positionH relativeFrom="column">
              <wp:posOffset>2862580</wp:posOffset>
            </wp:positionH>
            <wp:positionV relativeFrom="paragraph">
              <wp:posOffset>25400</wp:posOffset>
            </wp:positionV>
            <wp:extent cx="2936240" cy="2258060"/>
            <wp:effectExtent l="0" t="0" r="0" b="0"/>
            <wp:wrapSquare wrapText="bothSides"/>
            <wp:docPr id="76" name="Grafik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fik127"/>
                    <pic:cNvPicPr>
                      <a:picLocks noChangeAspect="1"/>
                      <a:codePr string="" type="162857600"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KBQAAAKIAAAAAAAAAAAAAAQAAAAIAAACcEQAAAQAAAAIAAAAoAAAAEBIAAOQNAABdAAMA7hQAANMXAAAoAAAACAAAAAEAAAABAAAAMAAAABQAAAAAAAAAAAD//wAAAQAAAP//AAABAA=="/>
                        </a:ext>
                      </a:extLst>
                    </pic:cNvPicPr>
                  </pic:nvPicPr>
                  <pic:blipFill>
                    <a:blip r:embed="rId79"/>
                    <a:stretch>
                      <a:fillRect/>
                    </a:stretch>
                  </pic:blipFill>
                  <pic:spPr>
                    <a:xfrm>
                      <a:off x="0" y="0"/>
                      <a:ext cx="2936240" cy="2258060"/>
                    </a:xfrm>
                    <a:prstGeom prst="rect">
                      <a:avLst/>
                    </a:prstGeom>
                    <a:noFill/>
                    <a:ln w="12700">
                      <a:noFill/>
                    </a:ln>
                  </pic:spPr>
                </pic:pic>
              </a:graphicData>
            </a:graphic>
          </wp:anchor>
        </w:drawing>
      </w:r>
      <w:r>
        <w:t xml:space="preserve">In diesen Bild ist nun links die Innenseite der Gelenkmembran dargestellt. Im Krankheitsbild von </w:t>
        <w:fldChar w:fldCharType="begin"/>
        <w:instrText xml:space="preserve">XE "Arthrose" \G </w:instrText>
        <w:fldChar w:fldCharType="end"/>
        <w:t>Arthrose ist diese Membran 'Löchrig'. Wir sehen hier Immunzellen, sogenannte Makrophagen, im M1-Zustand.</w:t>
      </w:r>
    </w:p>
    <w:p>
      <w:r>
        <w:t>Während im gesunden Gelenk rechts in die Innenseite der Gelenkmembran geschlossen. Die Immunzellen sind hier auch vorhanden, aber in einem anderen Zustand, dem M2-Zustand, dem Heilungszustand. Die M1-Makrophagen im linken Bild geben Entzündungsbotenstoffe ab, die den Knorpel abbauen, während die M2-Makrophagen auch Entzündungsbotenstoffe abgeben, welche aber entzündungshemmend sind, heilen und fördern den Knorpelaufbau.</w:t>
      </w:r>
    </w:p>
    <w:p>
      <w:r>
        <w:t>Wenn man versteht, wie man die M1- und M2-Makrophagen beeinflusst, kann so der Heilungsprozess eingeleitet werden. Dies ist der 'Schalter', den man umlegen muss, um von dem M1 auf dem M2 Zustand zu kommen.</w:t>
      </w:r>
    </w:p>
    <w:p>
      <w:r>
        <w:rPr>
          <w:noProof/>
        </w:rPr>
        <w:drawing>
          <wp:anchor distT="0" distB="0" distL="179705" distR="0" simplePos="0" relativeHeight="251658317" behindDoc="0" locked="0" layoutInCell="0" hidden="0" allowOverlap="1">
            <wp:simplePos x="0" y="0"/>
            <wp:positionH relativeFrom="column">
              <wp:posOffset>2803525</wp:posOffset>
            </wp:positionH>
            <wp:positionV relativeFrom="paragraph">
              <wp:posOffset>43815</wp:posOffset>
            </wp:positionV>
            <wp:extent cx="2936240" cy="2258060"/>
            <wp:effectExtent l="0" t="0" r="0" b="0"/>
            <wp:wrapSquare wrapText="bothSides"/>
            <wp:docPr id="77" name="Grafik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Grafik128"/>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FAiAABjGgAAUCIAAGMa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NBQAAAKIAAAAAAAAAAAAAAAAAAAIAAAA/EQAAAQAAAAIAAABFAAAAEBIAAOQNAABdAAMAkRQAAJEsAAAoAAAACAAAAAEAAAABAAAAMAAAABQAAAAAAAAAAAD//wAAAQAAAP//AAABAA=="/>
                        </a:ext>
                      </a:extLst>
                    </pic:cNvPicPr>
                  </pic:nvPicPr>
                  <pic:blipFill>
                    <a:blip r:embed="rId80"/>
                    <a:stretch>
                      <a:fillRect/>
                    </a:stretch>
                  </pic:blipFill>
                  <pic:spPr>
                    <a:xfrm>
                      <a:off x="0" y="0"/>
                      <a:ext cx="2936240" cy="2258060"/>
                    </a:xfrm>
                    <a:prstGeom prst="rect">
                      <a:avLst/>
                    </a:prstGeom>
                    <a:noFill/>
                    <a:ln w="12700">
                      <a:noFill/>
                    </a:ln>
                  </pic:spPr>
                </pic:pic>
              </a:graphicData>
            </a:graphic>
          </wp:anchor>
        </w:drawing>
      </w:r>
      <w:r>
        <w:t xml:space="preserve">Die M2-Makrophagen sind der Schlüssel zur </w:t>
        <w:fldChar w:fldCharType="begin"/>
        <w:instrText xml:space="preserve">XE "Knorpelregeneration" \G </w:instrText>
        <w:fldChar w:fldCharType="end"/>
        <w:t>Knorpelregeneration. Sie senken Entzündungen, aktivieren schlafende Stammzellen und die Stammzellen, welche vom Knochenmark her kommen. Aus den Stammzellen werden dann verstärkt Knorpelzellen. Die M2-Makrophagen sorgen so dafür, dass Knorpel aufgebaut wird.</w:t>
      </w:r>
    </w:p>
    <w:p>
      <w:r/>
    </w:p>
    <w:p>
      <w:r/>
    </w:p>
    <w:p>
      <w:r>
        <w:br w:type="page"/>
      </w:r>
      <w:r>
        <w:rPr>
          <w:noProof/>
        </w:rPr>
        <w:drawing>
          <wp:anchor distT="0" distB="0" distL="179705" distR="0" simplePos="0" relativeHeight="251658318" behindDoc="0" locked="0" layoutInCell="0" hidden="0" allowOverlap="1">
            <wp:simplePos x="0" y="0"/>
            <wp:positionH relativeFrom="column">
              <wp:posOffset>2795270</wp:posOffset>
            </wp:positionH>
            <wp:positionV relativeFrom="paragraph">
              <wp:posOffset>69215</wp:posOffset>
            </wp:positionV>
            <wp:extent cx="2936240" cy="2258060"/>
            <wp:effectExtent l="0" t="0" r="0" b="0"/>
            <wp:wrapSquare wrapText="bothSides"/>
            <wp:docPr id="78" name="Grafik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Grafik129"/>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QBQAAAKIAAAAAAAAAAAAAAAAAAAIAAAAyEQAAAQAAAAIAAABtAAAAEBIAAOQNAABeAAMA8hgAAPYFAAAoAAAACAAAAAEAAAABAAAAMAAAABQAAAAAAAAAAAD//wAAAQAAAP//AAABAA=="/>
                        </a:ext>
                      </a:extLst>
                    </pic:cNvPicPr>
                  </pic:nvPicPr>
                  <pic:blipFill>
                    <a:blip r:embed="rId81"/>
                    <a:stretch>
                      <a:fillRect/>
                    </a:stretch>
                  </pic:blipFill>
                  <pic:spPr>
                    <a:xfrm>
                      <a:off x="0" y="0"/>
                      <a:ext cx="2936240" cy="2258060"/>
                    </a:xfrm>
                    <a:prstGeom prst="rect">
                      <a:avLst/>
                    </a:prstGeom>
                    <a:noFill/>
                    <a:ln w="12700">
                      <a:noFill/>
                    </a:ln>
                  </pic:spPr>
                </pic:pic>
              </a:graphicData>
            </a:graphic>
          </wp:anchor>
        </w:drawing>
      </w:r>
      <w:r>
        <w:t>Die M1-Makrophagen fördern Entzündungen, töten Stammzellen und Knorpelzellen ab, was zum Abbau des Knorpels führt.</w:t>
      </w:r>
    </w:p>
    <w:p>
      <w:r>
        <w:t>Kurz zusammengefasst: M1-Zustand ist Knorpelabbau, M2-Zustand ist Knorpelheilung.</w:t>
      </w:r>
    </w:p>
    <w:p>
      <w:r/>
    </w:p>
    <w:p>
      <w:r/>
    </w:p>
    <w:p>
      <w:r/>
    </w:p>
    <w:p>
      <w:r/>
    </w:p>
    <w:p>
      <w:pPr>
        <w:pStyle w:val="para3"/>
        <w:numPr>
          <w:ilvl w:val="2"/>
          <w:numId w:val="1"/>
        </w:numPr>
        <w:ind w:left="720" w:hanging="720"/>
      </w:pPr>
      <w:bookmarkStart w:id="252" w:name="_TOC000107"/>
      <w:r>
        <w:t>Ist auch Rheuma heilbar?</w:t>
      </w:r>
      <w:bookmarkEnd w:id="252"/>
      <w:r/>
    </w:p>
    <w:p>
      <w:r>
        <w:rPr>
          <w:noProof/>
        </w:rPr>
        <w:drawing>
          <wp:anchor distT="0" distB="0" distL="179705" distR="0" simplePos="0" relativeHeight="251658319" behindDoc="0" locked="0" layoutInCell="0" hidden="0" allowOverlap="1">
            <wp:simplePos x="0" y="0"/>
            <wp:positionH relativeFrom="column">
              <wp:posOffset>2795270</wp:posOffset>
            </wp:positionH>
            <wp:positionV relativeFrom="paragraph">
              <wp:posOffset>33655</wp:posOffset>
            </wp:positionV>
            <wp:extent cx="2936240" cy="2258060"/>
            <wp:effectExtent l="0" t="0" r="0" b="0"/>
            <wp:wrapSquare wrapText="bothSides"/>
            <wp:docPr id="79" name="Grafik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fik130"/>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XBQAAAKIAAAAAAAAAAAAAAAAAAAIAAAAyEQAAAQAAAAIAAAA1AAAAEBIAAOQNAABeAAMA8hgAAMIWAAAoAAAACAAAAAEAAAABAAAAMAAAABQAAAAAAAAAAAD//wAAAQAAAP//AAABAA=="/>
                        </a:ext>
                      </a:extLst>
                    </pic:cNvPicPr>
                  </pic:nvPicPr>
                  <pic:blipFill>
                    <a:blip r:embed="rId82"/>
                    <a:stretch>
                      <a:fillRect/>
                    </a:stretch>
                  </pic:blipFill>
                  <pic:spPr>
                    <a:xfrm>
                      <a:off x="0" y="0"/>
                      <a:ext cx="2936240" cy="2258060"/>
                    </a:xfrm>
                    <a:prstGeom prst="rect">
                      <a:avLst/>
                    </a:prstGeom>
                    <a:noFill/>
                    <a:ln w="12700">
                      <a:noFill/>
                    </a:ln>
                  </pic:spPr>
                </pic:pic>
              </a:graphicData>
            </a:graphic>
          </wp:anchor>
        </w:drawing>
      </w:r>
      <w:r>
        <w:t xml:space="preserve">Polyarthrose in den Endgelenken ist der Übergang zu rheumatischen Erkrankungen. Rheuma ist nur die verstärkte Ausführung der Entzündung im Vergleich zur </w:t>
        <w:fldChar w:fldCharType="begin"/>
        <w:instrText xml:space="preserve">XE "Arthrose" \G </w:instrText>
        <w:fldChar w:fldCharType="end"/>
        <w:t xml:space="preserve">Arthrose. Die Heilung erfolgt nach der gleichen Strategie wie bei </w:t>
        <w:fldChar w:fldCharType="begin"/>
        <w:instrText xml:space="preserve">XE "Arthrose" \G </w:instrText>
        <w:fldChar w:fldCharType="end"/>
        <w:t>Arthrose, benötigt aber größere Nährstoffmengen.</w:t>
      </w:r>
    </w:p>
    <w:p>
      <w:r>
        <w:t xml:space="preserve">Das Bild zeigt den M1-Zustand bei </w:t>
        <w:fldChar w:fldCharType="begin"/>
        <w:instrText xml:space="preserve">XE "Arthrose" \G </w:instrText>
        <w:fldChar w:fldCharType="end"/>
        <w:t xml:space="preserve">Arthrose und Rheuma. Das Makrophagenband ist in beiden Fällen beeinflusst, nur auf eine andere stärkere Art. In der Medizin spricht man von einer </w:t>
      </w:r>
      <w:r>
        <w:rPr>
          <w:b/>
          <w:bCs/>
        </w:rPr>
        <w:t>Pannusbildung</w:t>
      </w:r>
      <w:r>
        <w:t>.</w:t>
      </w:r>
    </w:p>
    <w:p>
      <w:r>
        <w:t xml:space="preserve">Ein </w:t>
      </w:r>
      <w:r>
        <w:rPr>
          <w:b/>
          <w:bCs/>
        </w:rPr>
        <w:t>Pannus</w:t>
      </w:r>
      <w:r>
        <w:t xml:space="preserve"> ist eine fibrovaskuläre Hyperplasie. Dies bezeichnet die Vermehrung von Bindegewebe und Blutgefäßen in einem Organ, oft als Reaktion auf eine Entzündung oder andere Reize. Ein häufiges Beispiel ist die fibrovaskuläre Hyperplasie der Gelenkschleimhaut (Pannus) bei rheumatoider Arthritis, die zur Zerstörung von Knorpel und Knochen führen kann.</w:t>
      </w:r>
    </w:p>
    <w:p>
      <w:r>
        <w:t>Die Bildung eines Pannus stimuliert die Freisetzung von Entzündungsmediatoren bzw. Wachstumsfaktoren wie Interleukin-1, PDGF, Prostaglandinen und Substanz P durch Makrophagen. Pannusgewebe hat daher invasive Wachstumseigenschaften und führt so zur Zerstörung des Knorpel- und Knochengewebes. Klinisch manifestiert sich der Gewebeschaden durch Deformitäten, Instabilitäten und Ankylose.</w:t>
      </w:r>
    </w:p>
    <w:p>
      <w:r/>
    </w:p>
    <w:p>
      <w:r/>
    </w:p>
    <w:p>
      <w:pPr>
        <w:pStyle w:val="para2"/>
        <w:numPr>
          <w:ilvl w:val="1"/>
          <w:numId w:val="1"/>
        </w:numPr>
        <w:ind w:left="576" w:hanging="576"/>
      </w:pPr>
      <w:r>
        <w:br w:type="page"/>
      </w:r>
      <w:bookmarkStart w:id="253" w:name="_TOC000108"/>
      <w:r>
        <w:t>Die Dr. Feil Arthrosestrategie</w:t>
      </w:r>
      <w:bookmarkEnd w:id="253"/>
      <w:r/>
    </w:p>
    <w:p>
      <w:r>
        <w:rPr>
          <w:noProof/>
        </w:rPr>
        <w:drawing>
          <wp:anchor distT="0" distB="0" distL="179705" distR="0" simplePos="0" relativeHeight="251658320" behindDoc="0" locked="0" layoutInCell="0" hidden="0" allowOverlap="1">
            <wp:simplePos x="0" y="0"/>
            <wp:positionH relativeFrom="column">
              <wp:posOffset>2784475</wp:posOffset>
            </wp:positionH>
            <wp:positionV relativeFrom="paragraph">
              <wp:posOffset>21590</wp:posOffset>
            </wp:positionV>
            <wp:extent cx="2936240" cy="2258060"/>
            <wp:effectExtent l="0" t="0" r="0" b="0"/>
            <wp:wrapSquare wrapText="bothSides"/>
            <wp:docPr id="80" name="Grafik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Grafik131"/>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eBQAAAKIAAAAAAAAAAAAAAAAAAAIAAAAhEQAAAQAAAAIAAAAiAAAAEBIAAOQNAABfAAMAcxQAAE4HAAAoAAAACAAAAAEAAAABAAAAMAAAABQAAAAAAAAAAAD//wAAAQAAAP//AAABAA=="/>
                        </a:ext>
                      </a:extLst>
                    </pic:cNvPicPr>
                  </pic:nvPicPr>
                  <pic:blipFill>
                    <a:blip r:embed="rId83"/>
                    <a:stretch>
                      <a:fillRect/>
                    </a:stretch>
                  </pic:blipFill>
                  <pic:spPr>
                    <a:xfrm>
                      <a:off x="0" y="0"/>
                      <a:ext cx="2936240" cy="2258060"/>
                    </a:xfrm>
                    <a:prstGeom prst="rect">
                      <a:avLst/>
                    </a:prstGeom>
                    <a:noFill/>
                    <a:ln w="12700">
                      <a:noFill/>
                    </a:ln>
                  </pic:spPr>
                </pic:pic>
              </a:graphicData>
            </a:graphic>
          </wp:anchor>
        </w:drawing>
      </w:r>
      <w:r>
        <w:t>Ziel ist die Erzeugung und Vermehrung des M2-Zustands. Dies wird über 4 Bausteine erreicht:</w:t>
      </w:r>
    </w:p>
    <w:p>
      <w:pPr>
        <w:pStyle w:val="para30"/>
        <w:numPr>
          <w:ilvl w:val="0"/>
          <w:numId w:val="53"/>
        </w:numPr>
        <w:ind w:left="360" w:hanging="360"/>
      </w:pPr>
      <w:r>
        <w:t>entzündungssenkende Ernährung</w:t>
      </w:r>
    </w:p>
    <w:p>
      <w:pPr>
        <w:pStyle w:val="para30"/>
        <w:numPr>
          <w:ilvl w:val="0"/>
          <w:numId w:val="53"/>
        </w:numPr>
        <w:ind w:left="360" w:hanging="360"/>
      </w:pPr>
      <w:r>
        <w:t>gezielte körperliche Aktivität</w:t>
      </w:r>
    </w:p>
    <w:p>
      <w:pPr>
        <w:pStyle w:val="para30"/>
        <w:numPr>
          <w:ilvl w:val="0"/>
          <w:numId w:val="53"/>
        </w:numPr>
        <w:ind w:left="360" w:hanging="360"/>
      </w:pPr>
      <w:r>
        <w:t xml:space="preserve">psychische </w:t>
        <w:fldChar w:fldCharType="begin"/>
        <w:instrText xml:space="preserve">XE "Stärke" \G </w:instrText>
        <w:fldChar w:fldCharType="end"/>
        <w:t>Stärke - Stressmanagement</w:t>
      </w:r>
    </w:p>
    <w:p>
      <w:pPr>
        <w:pStyle w:val="para30"/>
        <w:numPr>
          <w:ilvl w:val="0"/>
          <w:numId w:val="53"/>
        </w:numPr>
        <w:ind w:left="360" w:hanging="360"/>
      </w:pPr>
      <w:r>
        <w:t>ergänzende Nährstoffe</w:t>
      </w:r>
    </w:p>
    <w:p>
      <w:r/>
    </w:p>
    <w:p>
      <w:r/>
    </w:p>
    <w:p>
      <w:r/>
    </w:p>
    <w:p>
      <w:pPr>
        <w:pStyle w:val="para3"/>
        <w:numPr>
          <w:ilvl w:val="2"/>
          <w:numId w:val="1"/>
        </w:numPr>
        <w:ind w:left="720" w:hanging="720"/>
      </w:pPr>
      <w:bookmarkStart w:id="254" w:name="_TOC000109"/>
      <w:r>
        <w:t>Baustein 1: Die entzündungssenkende Ernährung</w:t>
      </w:r>
      <w:bookmarkEnd w:id="254"/>
      <w:r/>
    </w:p>
    <w:p>
      <w:r>
        <w:rPr>
          <w:noProof/>
        </w:rPr>
        <w:drawing>
          <wp:anchor distT="0" distB="0" distL="179705" distR="0" simplePos="0" relativeHeight="251658321" behindDoc="0" locked="0" layoutInCell="0" hidden="0" allowOverlap="1">
            <wp:simplePos x="0" y="0"/>
            <wp:positionH relativeFrom="column">
              <wp:posOffset>2834005</wp:posOffset>
            </wp:positionH>
            <wp:positionV relativeFrom="paragraph">
              <wp:posOffset>26035</wp:posOffset>
            </wp:positionV>
            <wp:extent cx="2936240" cy="2258060"/>
            <wp:effectExtent l="0" t="0" r="0" b="0"/>
            <wp:wrapSquare wrapText="bothSides"/>
            <wp:docPr id="81" name="Grafik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Grafik132"/>
                    <pic:cNvPicPr>
                      <a:picLocks noChangeAspect="1"/>
                      <a:codePr string="" type="17187136"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nBQAAAKIAAAAAAAAAAAAAAAAAAAIAAABvEQAAAQAAAAIAAAApAAAAEBIAAOQNAABfAAMAwRQAAPUXAAAoAAAACAAAAAEAAAABAAAAMAAAABQAAAAAAAAAAAD//wAAAQAAAP//AAABAA=="/>
                        </a:ext>
                      </a:extLst>
                    </pic:cNvPicPr>
                  </pic:nvPicPr>
                  <pic:blipFill>
                    <a:blip r:embed="rId84"/>
                    <a:stretch>
                      <a:fillRect/>
                    </a:stretch>
                  </pic:blipFill>
                  <pic:spPr>
                    <a:xfrm>
                      <a:off x="0" y="0"/>
                      <a:ext cx="2936240" cy="2258060"/>
                    </a:xfrm>
                    <a:prstGeom prst="rect">
                      <a:avLst/>
                    </a:prstGeom>
                    <a:noFill/>
                    <a:ln w="12700">
                      <a:noFill/>
                    </a:ln>
                  </pic:spPr>
                </pic:pic>
              </a:graphicData>
            </a:graphic>
          </wp:anchor>
        </w:drawing>
      </w:r>
      <w:r>
        <w:t>Diese entzündungssenkende Ernährung hat zwei Ziele: die Hemmung der M1-Makrophagen und die Förderung der M2-Makrophagen. Diese Ernährung hat zur Folge:</w:t>
      </w:r>
    </w:p>
    <w:p>
      <w:pPr>
        <w:pStyle w:val="para28"/>
        <w:numPr>
          <w:ilvl w:val="1"/>
          <w:numId w:val="2"/>
        </w:numPr>
        <w:ind w:left="397" w:hanging="197"/>
      </w:pPr>
      <w:r>
        <w:t>eine natürliche Schmerzreduktion</w:t>
      </w:r>
    </w:p>
    <w:p>
      <w:pPr>
        <w:pStyle w:val="para28"/>
        <w:numPr>
          <w:ilvl w:val="1"/>
          <w:numId w:val="2"/>
        </w:numPr>
        <w:ind w:left="397" w:hanging="197"/>
      </w:pPr>
      <w:r>
        <w:t>Abpufferung freier Radikale</w:t>
      </w:r>
    </w:p>
    <w:p>
      <w:pPr>
        <w:pStyle w:val="para28"/>
        <w:numPr>
          <w:ilvl w:val="1"/>
          <w:numId w:val="2"/>
        </w:numPr>
        <w:ind w:left="397" w:hanging="197"/>
      </w:pPr>
      <w:r>
        <w:t>Hemmung der entzündungsfördernden Enzyme COX-2 und PGE2, Botenstoffe für die Entzündung</w:t>
      </w:r>
    </w:p>
    <w:p>
      <w:pPr>
        <w:pStyle w:val="para28"/>
        <w:numPr>
          <w:ilvl w:val="1"/>
          <w:numId w:val="2"/>
        </w:numPr>
        <w:ind w:left="397" w:hanging="197"/>
      </w:pPr>
      <w:r>
        <w:t>Hemmung des Entzündungsschalters NF-</w:t>
      </w:r>
      <w:r>
        <w:rPr>
          <w:rFonts w:eastAsia="Tahoma"/>
          <w:color w:val="auto"/>
        </w:rPr>
        <w:t>κ</w:t>
      </w:r>
      <w:r>
        <w:t>b</w:t>
      </w:r>
    </w:p>
    <w:p>
      <w:pPr>
        <w:pStyle w:val="para28"/>
        <w:numPr>
          <w:ilvl w:val="1"/>
          <w:numId w:val="2"/>
        </w:numPr>
        <w:ind w:left="397" w:hanging="197"/>
      </w:pPr>
      <w:r>
        <w:t xml:space="preserve">Kräftigung der </w:t>
        <w:fldChar w:fldCharType="begin"/>
        <w:instrText xml:space="preserve">XE "Mitochondrien" \G </w:instrText>
        <w:fldChar w:fldCharType="end"/>
        <w:t>Mitochondrien und Kräftigung der Darmschleimhaut</w:t>
      </w:r>
    </w:p>
    <w:p>
      <w:pPr>
        <w:pStyle w:val="para4"/>
        <w:numPr>
          <w:ilvl w:val="3"/>
          <w:numId w:val="1"/>
        </w:numPr>
        <w:ind w:left="1077" w:hanging="1077"/>
      </w:pPr>
      <w:bookmarkStart w:id="255" w:name="_TOC000110"/>
      <w:r>
        <w:fldChar w:fldCharType="begin"/>
        <w:instrText xml:space="preserve">XE "Kohlenhydrate" \G </w:instrText>
        <w:fldChar w:fldCharType="end"/>
        <w:t>Kohlenhydrate</w:t>
      </w:r>
      <w:bookmarkEnd w:id="255"/>
      <w:r/>
    </w:p>
    <w:p>
      <w:r>
        <w:t xml:space="preserve">Diese Ernährung beginnt damit, weniger </w:t>
        <w:fldChar w:fldCharType="begin"/>
        <w:instrText xml:space="preserve">XE "Kohlenhydrate" \G </w:instrText>
        <w:fldChar w:fldCharType="end"/>
        <w:t xml:space="preserve">Kohlenhydrate zu essen. Wer zu jeder Mahlzeit zu viele </w:t>
        <w:fldChar w:fldCharType="begin"/>
        <w:instrText xml:space="preserve">XE "Kohlenhydrate" \G </w:instrText>
        <w:fldChar w:fldCharType="end"/>
        <w:t>Kohlenhydrate isst, also Nudeln, Brot, Kartoffeln, Reis, Kuchen, Kekse oder stark zuckerhaltige Getränke zu uns nehmen, geht der Blutzuckerspiegel schnell hoch. Der Körper produzier Insulin, um den Zucker zu verwerten.</w:t>
      </w:r>
    </w:p>
    <w:p>
      <w:pPr>
        <w:pStyle w:val="para4"/>
        <w:numPr>
          <w:ilvl w:val="3"/>
          <w:numId w:val="1"/>
        </w:numPr>
        <w:ind w:left="1077" w:hanging="1077"/>
      </w:pPr>
      <w:r>
        <w:rPr>
          <w:noProof/>
        </w:rPr>
        <w:drawing>
          <wp:anchor distT="0" distB="0" distL="215900" distR="0" simplePos="0" relativeHeight="251658322" behindDoc="0" locked="0" layoutInCell="0" hidden="0" allowOverlap="1">
            <wp:simplePos x="0" y="0"/>
            <wp:positionH relativeFrom="column">
              <wp:posOffset>2784475</wp:posOffset>
            </wp:positionH>
            <wp:positionV relativeFrom="paragraph">
              <wp:posOffset>159385</wp:posOffset>
            </wp:positionV>
            <wp:extent cx="2936240" cy="2258060"/>
            <wp:effectExtent l="0" t="0" r="0" b="0"/>
            <wp:wrapSquare wrapText="bothSides"/>
            <wp:docPr id="82" name="Grafik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Grafik133"/>
                    <pic:cNvPicPr>
                      <a:picLocks noChangeAspect="1"/>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vBQAAAKIAAAAAAAAAAAAAAAAAAAIAAAAhEQAAAQAAAAIAAAD7AAAAEBIAAOQNAABfAAMAcxQAAGEvAAAoAAAACAAAAAEAAAABAAAAMAAAABQAAAAAAAAAAAD//wAAAQAAAP//AAABAA=="/>
                        </a:ext>
                      </a:extLst>
                    </pic:cNvPicPr>
                  </pic:nvPicPr>
                  <pic:blipFill>
                    <a:blip r:embed="rId85"/>
                    <a:stretch>
                      <a:fillRect/>
                    </a:stretch>
                  </pic:blipFill>
                  <pic:spPr>
                    <a:xfrm>
                      <a:off x="0" y="0"/>
                      <a:ext cx="2936240" cy="2258060"/>
                    </a:xfrm>
                    <a:prstGeom prst="rect">
                      <a:avLst/>
                    </a:prstGeom>
                    <a:noFill/>
                    <a:ln w="12700">
                      <a:noFill/>
                    </a:ln>
                  </pic:spPr>
                </pic:pic>
              </a:graphicData>
            </a:graphic>
          </wp:anchor>
        </w:drawing>
      </w:r>
      <w:bookmarkStart w:id="256" w:name="_TOC000111"/>
      <w:r>
        <w:t>Fette und Öle</w:t>
      </w:r>
      <w:bookmarkEnd w:id="256"/>
      <w:r/>
    </w:p>
    <w:p>
      <w:r>
        <w:t xml:space="preserve">Es gibt </w:t>
        <w:fldChar w:fldCharType="begin"/>
        <w:instrText xml:space="preserve">XE "Fettsäuren" \G </w:instrText>
        <w:fldChar w:fldCharType="end"/>
        <w:t xml:space="preserve">Fettsäuren, die entzündungssenkend wirken, und </w:t>
        <w:fldChar w:fldCharType="begin"/>
        <w:instrText xml:space="preserve">XE "Fettsäuren" \G </w:instrText>
        <w:fldChar w:fldCharType="end"/>
        <w:t>Fettsäuren, die den Entzündungsstatus erhöhen, die Knorpel abbauen. Leinöl besteht zur Hälfte aus Omega-3-</w:t>
        <w:fldChar w:fldCharType="begin"/>
        <w:instrText xml:space="preserve">XE "Fettsäuren" \G </w:instrText>
        <w:fldChar w:fldCharType="end"/>
        <w:t>Fettsäuren, hauptsächlich α-Linolensäure. Diese wird im Körper zu EPA umgewandelt, was die M2-Makrophagen fördert. Dies ist aber nur wirksam, wenn wenig Omega-6-</w:t>
        <w:fldChar w:fldCharType="begin"/>
        <w:instrText xml:space="preserve">XE "Fettsäuren" \G </w:instrText>
        <w:fldChar w:fldCharType="end"/>
        <w:t>Fettsäuren vorhanden sind. Omega-6-</w:t>
        <w:fldChar w:fldCharType="begin"/>
        <w:instrText xml:space="preserve">XE "Fettsäuren" \G </w:instrText>
        <w:fldChar w:fldCharType="end"/>
        <w:t xml:space="preserve">Fettsäuren erhöhen die Entzündungen. Sie werden im Körper zu </w:t>
        <w:fldChar w:fldCharType="begin"/>
        <w:instrText xml:space="preserve">XE "Arachidonsäure" \G </w:instrText>
        <w:fldChar w:fldCharType="end"/>
        <w:t xml:space="preserve">Arachidonsäure umgewandelt. </w:t>
        <w:fldChar w:fldCharType="begin"/>
        <w:instrText xml:space="preserve">XE "Arachidonsäure" \G </w:instrText>
        <w:fldChar w:fldCharType="end"/>
        <w:t>Arachidonsäure kommt auch bei Stress aus den Zellmembranen und ist der Förderer des M1-Zustands. Es gibt noch die Doppelwirkung von EPA. EPA hemmt den NF-</w:t>
      </w:r>
      <w:r>
        <w:rPr>
          <w:rFonts w:eastAsia="Tahoma" w:cs="Tahoma"/>
        </w:rPr>
        <w:t>κ</w:t>
      </w:r>
      <w:r>
        <w:t>b-Botenstoff. Nur, wenn NF-</w:t>
      </w:r>
      <w:r>
        <w:rPr>
          <w:rFonts w:eastAsia="Tahoma" w:cs="Tahoma"/>
        </w:rPr>
        <w:t>κ</w:t>
      </w:r>
      <w:r>
        <w:t xml:space="preserve">b vorhanden ist, kann </w:t>
        <w:fldChar w:fldCharType="begin"/>
        <w:instrText xml:space="preserve">XE "Arachidonsäure" \G </w:instrText>
        <w:fldChar w:fldCharType="end"/>
        <w:t>Arachidonsäure den M1-Zustand fördern.</w:t>
      </w:r>
    </w:p>
    <w:p>
      <w:r>
        <w:t>Darum ist es wichtig, Sonnenblumenöl ganz wegzulassen und auf Omega-3-reiche Öle zu setzen und auf Fisch.</w:t>
      </w:r>
    </w:p>
    <w:p>
      <w:pPr>
        <w:pStyle w:val="para5"/>
        <w:numPr>
          <w:ilvl w:val="4"/>
          <w:numId w:val="1"/>
        </w:numPr>
        <w:ind w:left="1134" w:hanging="1134"/>
      </w:pPr>
      <w:r>
        <w:t>Vorkommen von Omega-3-</w:t>
        <w:fldChar w:fldCharType="begin"/>
        <w:instrText xml:space="preserve">XE "Fettsäuren" \G </w:instrText>
        <w:fldChar w:fldCharType="end"/>
        <w:t>Fettsäuren</w:t>
      </w:r>
    </w:p>
    <w:p>
      <w:r>
        <w:t>Tierische Quellen (EPA &amp; DHA)</w:t>
      </w:r>
    </w:p>
    <w:p>
      <w:pPr>
        <w:pStyle w:val="para28"/>
        <w:numPr>
          <w:ilvl w:val="1"/>
          <w:numId w:val="2"/>
        </w:numPr>
        <w:ind w:left="397" w:hanging="197"/>
      </w:pPr>
      <w:r>
        <w:t>Fettreiche Fische: Lachs, Hering, Makrele, Sardine, Thunfisch, Forelle.</w:t>
      </w:r>
    </w:p>
    <w:p>
      <w:pPr>
        <w:pStyle w:val="para28"/>
        <w:numPr>
          <w:ilvl w:val="1"/>
          <w:numId w:val="2"/>
        </w:numPr>
        <w:ind w:left="397" w:hanging="197"/>
      </w:pPr>
      <w:r>
        <w:t>Eier: Enthalten ebenfalls DHA.</w:t>
      </w:r>
    </w:p>
    <w:p>
      <w:pPr>
        <w:pStyle w:val="para28"/>
        <w:numPr>
          <w:ilvl w:val="1"/>
          <w:numId w:val="2"/>
        </w:numPr>
        <w:ind w:left="397" w:hanging="197"/>
      </w:pPr>
      <w:r>
        <w:t xml:space="preserve">Algen: Direkte Quelle für EPA und DHA; Algenöl ist eine gute Alternative zu Fisch. </w:t>
      </w:r>
    </w:p>
    <w:p>
      <w:r>
        <w:t>Pflanzliche Quellen (ALA)</w:t>
      </w:r>
    </w:p>
    <w:p>
      <w:pPr>
        <w:pStyle w:val="para28"/>
        <w:numPr>
          <w:ilvl w:val="1"/>
          <w:numId w:val="2"/>
        </w:numPr>
        <w:ind w:left="397" w:hanging="197"/>
      </w:pPr>
      <w:r>
        <w:t>Samen &amp; Nüsse: Leinsamen, Walnüsse, Chia-Samen, Hanfsamen.</w:t>
      </w:r>
    </w:p>
    <w:p>
      <w:pPr>
        <w:pStyle w:val="para28"/>
        <w:numPr>
          <w:ilvl w:val="1"/>
          <w:numId w:val="2"/>
        </w:numPr>
        <w:ind w:left="397" w:hanging="197"/>
      </w:pPr>
      <w:r>
        <w:t>Öle: Leinöl, Hanföl, Walnussöl, Rapsöl (nicht zum Braten, aber für Salate).</w:t>
      </w:r>
    </w:p>
    <w:p>
      <w:pPr>
        <w:pStyle w:val="para28"/>
        <w:numPr>
          <w:ilvl w:val="1"/>
          <w:numId w:val="2"/>
        </w:numPr>
        <w:ind w:left="397" w:hanging="197"/>
      </w:pPr>
      <w:r>
        <w:t xml:space="preserve">Gemüse: Spinat, Rosenkohl, Bohnen, Avocado. </w:t>
      </w:r>
    </w:p>
    <w:p>
      <w:r>
        <w:t>Tipps zur Aufnahme</w:t>
      </w:r>
    </w:p>
    <w:p>
      <w:pPr>
        <w:pStyle w:val="para28"/>
        <w:numPr>
          <w:ilvl w:val="1"/>
          <w:numId w:val="2"/>
        </w:numPr>
        <w:ind w:left="397" w:hanging="197"/>
      </w:pPr>
      <w:r>
        <w:t xml:space="preserve">Fettfische 1-2 Mal pro Woche essen oder auf hochwertige Omega-3-Öle (Fisch- oder Algenöl) zurückgreifen. </w:t>
      </w:r>
    </w:p>
    <w:p>
      <w:pPr>
        <w:pStyle w:val="para28"/>
        <w:numPr>
          <w:ilvl w:val="1"/>
          <w:numId w:val="2"/>
        </w:numPr>
        <w:ind w:left="397" w:hanging="197"/>
      </w:pPr>
      <w:r>
        <w:t xml:space="preserve">Pflanzliche Quellen wie Leinöl (pur, in Quark/Salat) ergänzen. </w:t>
      </w:r>
    </w:p>
    <w:p>
      <w:pPr>
        <w:pStyle w:val="para5"/>
        <w:numPr>
          <w:ilvl w:val="4"/>
          <w:numId w:val="1"/>
        </w:numPr>
        <w:ind w:left="1134" w:hanging="1134"/>
      </w:pPr>
      <w:r>
        <w:t>Vorkommen von Omega-6-</w:t>
        <w:fldChar w:fldCharType="begin"/>
        <w:instrText xml:space="preserve">XE "Fettsäuren" \G </w:instrText>
        <w:fldChar w:fldCharType="end"/>
        <w:t>Fettsäuren</w:t>
      </w:r>
    </w:p>
    <w:p>
      <w:r>
        <w:t>Pflanzliche Öle</w:t>
      </w:r>
    </w:p>
    <w:p>
      <w:pPr>
        <w:pStyle w:val="para28"/>
        <w:numPr>
          <w:ilvl w:val="1"/>
          <w:numId w:val="2"/>
        </w:numPr>
        <w:ind w:left="397" w:hanging="197"/>
      </w:pPr>
      <w:r>
        <w:t xml:space="preserve">Sonnenblumenöl, Distelöl, Safloröl, Maiskeimöl, Sojaöl, Traubenkernöl, </w:t>
      </w:r>
    </w:p>
    <w:p>
      <w:pPr>
        <w:pStyle w:val="para28"/>
        <w:numPr>
          <w:ilvl w:val="1"/>
          <w:numId w:val="2"/>
        </w:numPr>
        <w:ind w:left="397" w:hanging="197"/>
      </w:pPr>
      <w:r>
        <w:t>Rapsöl, Hanföl, Borretschöl, Nachtkerzenöl, Granatapfelsamenöl.</w:t>
      </w:r>
    </w:p>
    <w:p>
      <w:r>
        <w:t>Tierische Fette</w:t>
      </w:r>
    </w:p>
    <w:p>
      <w:pPr>
        <w:pStyle w:val="para28"/>
        <w:numPr>
          <w:ilvl w:val="1"/>
          <w:numId w:val="2"/>
        </w:numPr>
        <w:ind w:left="397" w:hanging="197"/>
      </w:pPr>
      <w:r>
        <w:t xml:space="preserve">Schweineschmalz, Gänsefett, Rinderschmalz, Eigelb, Leber, Thunfisch (erzeugen </w:t>
        <w:fldChar w:fldCharType="begin"/>
        <w:instrText xml:space="preserve">XE "Arachidonsäure" \G </w:instrText>
        <w:fldChar w:fldCharType="end"/>
        <w:t>Arachidonsäure)</w:t>
      </w:r>
    </w:p>
    <w:p>
      <w:r>
        <w:t>Verarbeitete Lebensmittel</w:t>
      </w:r>
    </w:p>
    <w:p>
      <w:pPr>
        <w:pStyle w:val="para28"/>
        <w:numPr>
          <w:ilvl w:val="1"/>
          <w:numId w:val="2"/>
        </w:numPr>
        <w:ind w:left="397" w:hanging="197"/>
      </w:pPr>
      <w:r>
        <w:t>Viele Fertigprodukte enthalten viel Omega-6 durch die verwendeten Öle.</w:t>
      </w:r>
    </w:p>
    <w:p>
      <w:bookmarkStart w:id="257" w:name="_TOC000112"/>
      <w:r/>
    </w:p>
    <w:p>
      <w:pPr>
        <w:pStyle w:val="para4"/>
        <w:numPr>
          <w:ilvl w:val="3"/>
          <w:numId w:val="1"/>
        </w:numPr>
        <w:ind w:left="1077" w:hanging="1077"/>
      </w:pPr>
      <w:r>
        <w:br w:type="page"/>
      </w:r>
      <w:bookmarkStart w:id="258" w:name="_TOC000343"/>
      <w:r>
        <w:t>Die entzündungssenkende Kapazität der Nahrungsmittel</w:t>
      </w:r>
      <w:bookmarkEnd w:id="257"/>
      <w:r/>
      <w:bookmarkEnd w:id="258"/>
      <w:r/>
    </w:p>
    <w:p>
      <w:r>
        <w:t>Es waren bisher die Inhaltsstoffe der Nahrungsmittel bekannt. Aber wie wirken diese in Bezug auf Entzündungen? Da gab es bisher keine Informationen. Die Arbeitsgruppe Dr. Feil analysierte die entzündungsfördernden und entzündungssenkenden Wirkungen der Inhaltsstoffe und konnte die Wirkung quantifizieren. Daraus wurde der FROLOX-Wert für viele Nahrungsmittel errechnet. Damit konnte die entzündungssenkende Kapazität für diese Nahrungsmittel tabellarisch aufgelistet werden.</w:t>
      </w:r>
    </w:p>
    <w:p>
      <w:pPr>
        <w:pStyle w:val="para4"/>
        <w:numPr>
          <w:ilvl w:val="3"/>
          <w:numId w:val="1"/>
        </w:numPr>
        <w:ind w:left="1077" w:hanging="1077"/>
      </w:pPr>
      <w:bookmarkStart w:id="259" w:name="_TOC000251"/>
      <w:r>
        <w:t>Die FROLOX-Lebensmitteltabellen</w:t>
      </w:r>
      <w:bookmarkEnd w:id="259"/>
      <w:r/>
    </w:p>
    <w:p>
      <w:r>
        <w:t>Glutenfreie Beilagen (Frolox/kcal pro 100 g)</w:t>
      </w:r>
    </w:p>
    <w:p>
      <w:r>
        <w:rPr>
          <w:noProof/>
        </w:rPr>
        <w:drawing>
          <wp:inline distT="0" distB="0" distL="0" distR="0">
            <wp:extent cx="3703320" cy="2435225"/>
            <wp:effectExtent l="0" t="0" r="0" b="0"/>
            <wp:docPr id="20" name="Grafik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fik134"/>
                    <pic:cNvPicPr>
                      <a:picLocks noChangeAspect="1"/>
                      <a:codePr string="" type="10" text="1"/>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BsZAACCEAAAGxkAAIIQ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KBgAAB6IAAAAAAAAAAAAAAQAAAAAAAAAAAAAAAQAAAAAAAAAAAAAAyBYAAPsOAAAAAAAAAAAAAAAAAAAoAAAACAAAAAEAAAABAAAAMAAAABQAAAAAAAAAAAD//wAAAQAAAP//AAABAA=="/>
                        </a:ext>
                      </a:extLst>
                    </pic:cNvPicPr>
                  </pic:nvPicPr>
                  <pic:blipFill>
                    <a:blip r:embed="rId86"/>
                    <a:stretch>
                      <a:fillRect/>
                    </a:stretch>
                  </pic:blipFill>
                  <pic:spPr>
                    <a:xfrm>
                      <a:off x="0" y="0"/>
                      <a:ext cx="3703320" cy="2435225"/>
                    </a:xfrm>
                    <a:prstGeom prst="rect">
                      <a:avLst/>
                    </a:prstGeom>
                    <a:noFill/>
                    <a:ln w="12700">
                      <a:noFill/>
                    </a:ln>
                  </pic:spPr>
                </pic:pic>
              </a:graphicData>
            </a:graphic>
          </wp:inline>
        </w:drawing>
      </w:r>
      <w:r/>
    </w:p>
    <w:p>
      <w:pPr>
        <w:spacing w:after="0"/>
      </w:pPr>
      <w:r/>
    </w:p>
    <w:p>
      <w:r>
        <w:t>Glutenfreie Cerealien (Frolox/kcal pro 100 g)</w:t>
      </w:r>
    </w:p>
    <w:p>
      <w:r>
        <w:rPr>
          <w:noProof/>
        </w:rPr>
        <w:drawing>
          <wp:inline distT="0" distB="0" distL="0" distR="0">
            <wp:extent cx="3711575" cy="2045970"/>
            <wp:effectExtent l="0" t="0" r="0" b="0"/>
            <wp:docPr id="21" name="Grafik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fik135"/>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NUWAACWDAAA1RYAAJYM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NBgAAB6IAAAAAAAAAAAAAAQAAAAAAAAAAAAAAAQAAAAAAAAAAAAAA1RYAAJYMAAAAAAAAAAAAAAAAAAAoAAAACAAAAAEAAAABAAAAMAAAABQAAAAAAAAAAAD//wAAAQAAAP//AAABAA=="/>
                        </a:ext>
                      </a:extLst>
                    </pic:cNvPicPr>
                  </pic:nvPicPr>
                  <pic:blipFill>
                    <a:blip r:embed="rId87"/>
                    <a:stretch>
                      <a:fillRect/>
                    </a:stretch>
                  </pic:blipFill>
                  <pic:spPr>
                    <a:xfrm>
                      <a:off x="0" y="0"/>
                      <a:ext cx="3711575" cy="2045970"/>
                    </a:xfrm>
                    <a:prstGeom prst="rect">
                      <a:avLst/>
                    </a:prstGeom>
                    <a:noFill/>
                    <a:ln w="12700">
                      <a:noFill/>
                    </a:ln>
                  </pic:spPr>
                </pic:pic>
              </a:graphicData>
            </a:graphic>
          </wp:inline>
        </w:drawing>
      </w:r>
      <w:r/>
    </w:p>
    <w:p>
      <w:pPr>
        <w:spacing w:after="0"/>
      </w:pPr>
      <w:r/>
    </w:p>
    <w:p>
      <w:r/>
    </w:p>
    <w:p>
      <w:pPr>
        <w:spacing w:after="0"/>
      </w:pPr>
      <w:r>
        <w:br w:type="page"/>
      </w:r>
      <w:r>
        <w:t>Gemüse (Frolox/kcal pro 100 g)</w:t>
      </w:r>
    </w:p>
    <w:p>
      <w:pPr>
        <w:spacing w:after="0"/>
      </w:pPr>
      <w:r>
        <w:rPr>
          <w:noProof/>
        </w:rPr>
        <w:drawing>
          <wp:inline distT="0" distB="0" distL="0" distR="0">
            <wp:extent cx="3726815" cy="3423285"/>
            <wp:effectExtent l="0" t="0" r="0" b="0"/>
            <wp:docPr id="22" name="Grafik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rafik137"/>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RBgAAB6IAAAAAAAAAAAAAAQAAAAAAAAAAAAAAAQAAAAAAAAAAAAAA7RYAAA8VAAAAAAAAAAAAAAAAAAAoAAAACAAAAAEAAAABAAAAMAAAABQAAAAAAAAAAAD//wAAAQAAAP//AAABAA=="/>
                        </a:ext>
                      </a:extLst>
                    </pic:cNvPicPr>
                  </pic:nvPicPr>
                  <pic:blipFill>
                    <a:blip r:embed="rId88"/>
                    <a:stretch>
                      <a:fillRect/>
                    </a:stretch>
                  </pic:blipFill>
                  <pic:spPr>
                    <a:xfrm>
                      <a:off x="0" y="0"/>
                      <a:ext cx="3726815" cy="3423285"/>
                    </a:xfrm>
                    <a:prstGeom prst="rect">
                      <a:avLst/>
                    </a:prstGeom>
                    <a:noFill/>
                    <a:ln w="12700">
                      <a:noFill/>
                    </a:ln>
                  </pic:spPr>
                </pic:pic>
              </a:graphicData>
            </a:graphic>
          </wp:inline>
        </w:drawing>
      </w:r>
      <w:r/>
    </w:p>
    <w:p>
      <w:pPr>
        <w:spacing w:after="0"/>
      </w:pPr>
      <w:r/>
    </w:p>
    <w:p>
      <w:r>
        <w:t>Salate (Frolox/kcal pro 100 g)</w:t>
      </w:r>
    </w:p>
    <w:p>
      <w:r>
        <w:rPr>
          <w:noProof/>
        </w:rPr>
        <w:drawing>
          <wp:inline distT="0" distB="0" distL="0" distR="0">
            <wp:extent cx="3752215" cy="2261870"/>
            <wp:effectExtent l="0" t="0" r="0" b="0"/>
            <wp:docPr id="23" name="Grafik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fik136"/>
                    <pic:cNvPicPr>
                      <a:picLocks noChangeAspect="1"/>
                      <a:codePr string="" type="0" text="0"/>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D8ZAAA4DwAAPxkAADgP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UBgAAB6IAAAAAAAAAAAAAAQAAAAAAAAAAAAAAAQAAAAAAAAAAAAAAFRcAAOoNAAAAAAAAAAAAAAAAAAAoAAAACAAAAAEAAAABAAAAMAAAABQAAAAAAAAAAAD//wAAAQAAAP//AAABAA=="/>
                        </a:ext>
                      </a:extLst>
                    </pic:cNvPicPr>
                  </pic:nvPicPr>
                  <pic:blipFill>
                    <a:blip r:embed="rId89"/>
                    <a:stretch>
                      <a:fillRect/>
                    </a:stretch>
                  </pic:blipFill>
                  <pic:spPr>
                    <a:xfrm>
                      <a:off x="0" y="0"/>
                      <a:ext cx="3752215" cy="2261870"/>
                    </a:xfrm>
                    <a:prstGeom prst="rect">
                      <a:avLst/>
                    </a:prstGeom>
                    <a:noFill/>
                    <a:ln w="12700">
                      <a:noFill/>
                    </a:ln>
                  </pic:spPr>
                </pic:pic>
              </a:graphicData>
            </a:graphic>
          </wp:inline>
        </w:drawing>
      </w:r>
      <w:r/>
    </w:p>
    <w:p>
      <w:pPr>
        <w:spacing w:after="0"/>
      </w:pPr>
      <w:r/>
    </w:p>
    <w:p>
      <w:pPr>
        <w:spacing w:after="0"/>
      </w:pPr>
      <w:r>
        <w:t>Sprossen (Frolox/kcal pro 30 g)</w:t>
      </w:r>
    </w:p>
    <w:p>
      <w:r>
        <w:rPr>
          <w:noProof/>
        </w:rPr>
        <w:drawing>
          <wp:inline distT="0" distB="0" distL="0" distR="0">
            <wp:extent cx="3752215" cy="2288540"/>
            <wp:effectExtent l="0" t="0" r="0" b="0"/>
            <wp:docPr id="24" name="Grafik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fik138"/>
                    <pic:cNvPicPr>
                      <a:picLocks noChangeAspect="1"/>
                      <a:codePr string="" type="1806137632"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XBgAAB6IAAAAAAAAAAAAAAQAAAAAAAAAAAAAAAQAAAAAAAAAAAAAAFRcAABQOAAAAAAAAAAAAAAAAAAAoAAAACAAAAAEAAAABAAAAMAAAABQAAAAAAAAAAAD//wAAAQAAAP//AAABAA=="/>
                        </a:ext>
                      </a:extLst>
                    </pic:cNvPicPr>
                  </pic:nvPicPr>
                  <pic:blipFill>
                    <a:blip r:embed="rId90"/>
                    <a:stretch>
                      <a:fillRect/>
                    </a:stretch>
                  </pic:blipFill>
                  <pic:spPr>
                    <a:xfrm>
                      <a:off x="0" y="0"/>
                      <a:ext cx="3752215" cy="2288540"/>
                    </a:xfrm>
                    <a:prstGeom prst="rect">
                      <a:avLst/>
                    </a:prstGeom>
                    <a:noFill/>
                    <a:ln w="12700">
                      <a:noFill/>
                    </a:ln>
                  </pic:spPr>
                </pic:pic>
              </a:graphicData>
            </a:graphic>
          </wp:inline>
        </w:drawing>
      </w:r>
      <w:r/>
    </w:p>
    <w:p>
      <w:r>
        <w:t>Frische Kräuter (Frolox/kcal pro 10 g - ca. 1 EL)</w:t>
      </w:r>
    </w:p>
    <w:p>
      <w:r>
        <w:rPr>
          <w:noProof/>
        </w:rPr>
        <w:drawing>
          <wp:inline distT="0" distB="0" distL="0" distR="0">
            <wp:extent cx="3599180" cy="2288540"/>
            <wp:effectExtent l="0" t="0" r="0" b="0"/>
            <wp:docPr id="25" name="Grafik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fik139"/>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ZBgAAB6IAAAAAAAAAAAAAAQAAAAAAAAAAAAAAAQAAAAAAAAAAAAAAJBYAABQOAAAAAAAAAAAAAAAAAAAoAAAACAAAAAEAAAABAAAAMAAAABQAAAAAAAAAAAD//wAAAQAAAP//AAABAA=="/>
                        </a:ext>
                      </a:extLst>
                    </pic:cNvPicPr>
                  </pic:nvPicPr>
                  <pic:blipFill>
                    <a:blip r:embed="rId91"/>
                    <a:stretch>
                      <a:fillRect/>
                    </a:stretch>
                  </pic:blipFill>
                  <pic:spPr>
                    <a:xfrm>
                      <a:off x="0" y="0"/>
                      <a:ext cx="3599180" cy="2288540"/>
                    </a:xfrm>
                    <a:prstGeom prst="rect">
                      <a:avLst/>
                    </a:prstGeom>
                    <a:noFill/>
                    <a:ln w="12700">
                      <a:noFill/>
                    </a:ln>
                  </pic:spPr>
                </pic:pic>
              </a:graphicData>
            </a:graphic>
          </wp:inline>
        </w:drawing>
      </w:r>
      <w:r/>
    </w:p>
    <w:p>
      <w:pPr>
        <w:spacing w:after="0"/>
      </w:pPr>
      <w:r/>
    </w:p>
    <w:p>
      <w:r>
        <w:t>Getrocknete Kräuter (Frolox/kcal pro 1 g)</w:t>
      </w:r>
    </w:p>
    <w:p>
      <w:r>
        <w:rPr>
          <w:noProof/>
        </w:rPr>
        <w:drawing>
          <wp:inline distT="0" distB="0" distL="0" distR="0">
            <wp:extent cx="3599180" cy="2288540"/>
            <wp:effectExtent l="0" t="0" r="0" b="0"/>
            <wp:docPr id="26" name="Grafik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rafik140"/>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cBgAAB6IAAAAAAAAAAAAAAQAAAAAAAAAAAAAAAQAAAAAAAAAAAAAAJBYAABQOAAAAAAAAAAAAAAAAAAAoAAAACAAAAAEAAAABAAAAMAAAABQAAAAAAAAAAAD//wAAAQAAAP//AAABAA=="/>
                        </a:ext>
                      </a:extLst>
                    </pic:cNvPicPr>
                  </pic:nvPicPr>
                  <pic:blipFill>
                    <a:blip r:embed="rId92"/>
                    <a:stretch>
                      <a:fillRect/>
                    </a:stretch>
                  </pic:blipFill>
                  <pic:spPr>
                    <a:xfrm>
                      <a:off x="0" y="0"/>
                      <a:ext cx="3599180" cy="2288540"/>
                    </a:xfrm>
                    <a:prstGeom prst="rect">
                      <a:avLst/>
                    </a:prstGeom>
                    <a:noFill/>
                    <a:ln w="12700">
                      <a:noFill/>
                    </a:ln>
                  </pic:spPr>
                </pic:pic>
              </a:graphicData>
            </a:graphic>
          </wp:inline>
        </w:drawing>
      </w:r>
      <w:r/>
    </w:p>
    <w:p>
      <w:r/>
    </w:p>
    <w:p>
      <w:r>
        <w:t xml:space="preserve">Frische </w:t>
        <w:fldChar w:fldCharType="begin"/>
        <w:instrText xml:space="preserve">XE "Gewürze" \G </w:instrText>
        <w:fldChar w:fldCharType="end"/>
        <w:t>Gewürze (Frolox/kcal pro 10 g)</w:t>
      </w:r>
    </w:p>
    <w:p>
      <w:r>
        <w:rPr>
          <w:noProof/>
        </w:rPr>
        <w:drawing>
          <wp:inline distT="0" distB="0" distL="0" distR="0">
            <wp:extent cx="3590925" cy="2282825"/>
            <wp:effectExtent l="0" t="0" r="0" b="0"/>
            <wp:docPr id="27" name="Grafik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fik141"/>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BcWAAALDgAAFxYAAAsO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BgAAB6IAAAAAAAAAAAAAAQAAAAAAAAAAAAAAAQAAAAAAAAAAAAAAFxYAAAsOAAAAAAAAAAAAAAAAAAAoAAAACAAAAAEAAAABAAAAMAAAABQAAAAAAAAAAAD//wAAAQAAAP//AAABAA=="/>
                        </a:ext>
                      </a:extLst>
                    </pic:cNvPicPr>
                  </pic:nvPicPr>
                  <pic:blipFill>
                    <a:blip r:embed="rId93"/>
                    <a:stretch>
                      <a:fillRect/>
                    </a:stretch>
                  </pic:blipFill>
                  <pic:spPr>
                    <a:xfrm>
                      <a:off x="0" y="0"/>
                      <a:ext cx="3590925" cy="2282825"/>
                    </a:xfrm>
                    <a:prstGeom prst="rect">
                      <a:avLst/>
                    </a:prstGeom>
                    <a:noFill/>
                    <a:ln w="12700">
                      <a:noFill/>
                    </a:ln>
                  </pic:spPr>
                </pic:pic>
              </a:graphicData>
            </a:graphic>
          </wp:inline>
        </w:drawing>
      </w:r>
      <w:r/>
    </w:p>
    <w:p>
      <w:r/>
    </w:p>
    <w:p>
      <w:r>
        <w:br w:type="page"/>
      </w:r>
      <w:r>
        <w:t xml:space="preserve">Getrocknete </w:t>
        <w:fldChar w:fldCharType="begin"/>
        <w:instrText xml:space="preserve">XE "Gewürze" \G </w:instrText>
        <w:fldChar w:fldCharType="end"/>
        <w:t>Gewürze (Frolox/kcal pro 1 g Pulver)</w:t>
      </w:r>
    </w:p>
    <w:p>
      <w:r>
        <w:rPr>
          <w:noProof/>
        </w:rPr>
        <w:drawing>
          <wp:inline distT="0" distB="0" distL="0" distR="0">
            <wp:extent cx="3552190" cy="2450465"/>
            <wp:effectExtent l="0" t="0" r="0" b="0"/>
            <wp:docPr id="28" name="Grafik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rafik142"/>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iBgAAB6IAAAAAAAAAAAAAAQAAAAAAAAAAAAAAAQAAAAAAAAAAAAAA2hUAABMPAAAAAAAAAAAAAAAAAAAoAAAACAAAAAEAAAABAAAAMAAAABQAAAAAAAAAAAD//wAAAQAAAP//AAABAA=="/>
                        </a:ext>
                      </a:extLst>
                    </pic:cNvPicPr>
                  </pic:nvPicPr>
                  <pic:blipFill>
                    <a:blip r:embed="rId94"/>
                    <a:stretch>
                      <a:fillRect/>
                    </a:stretch>
                  </pic:blipFill>
                  <pic:spPr>
                    <a:xfrm>
                      <a:off x="0" y="0"/>
                      <a:ext cx="3552190" cy="2450465"/>
                    </a:xfrm>
                    <a:prstGeom prst="rect">
                      <a:avLst/>
                    </a:prstGeom>
                    <a:noFill/>
                    <a:ln w="12700">
                      <a:noFill/>
                    </a:ln>
                  </pic:spPr>
                </pic:pic>
              </a:graphicData>
            </a:graphic>
          </wp:inline>
        </w:drawing>
      </w:r>
      <w:r/>
    </w:p>
    <w:p>
      <w:pPr>
        <w:spacing w:after="0"/>
      </w:pPr>
      <w:r/>
    </w:p>
    <w:p>
      <w:r>
        <w:t>Schokolade (Frolox/kcal pro 30 g)</w:t>
      </w:r>
    </w:p>
    <w:p>
      <w:r>
        <w:rPr>
          <w:noProof/>
        </w:rPr>
        <w:drawing>
          <wp:inline distT="0" distB="0" distL="0" distR="0">
            <wp:extent cx="3946525" cy="1129030"/>
            <wp:effectExtent l="0" t="0" r="0" b="0"/>
            <wp:docPr id="29" name="Grafik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143"/>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lBgAAB6IAAAAAAAAAAAAAAQAAAAAAAAAAAAAAAQAAAAAAAAAAAAAARxgAAPIGAAAAAAAAAAAAAAAAAAAoAAAACAAAAAEAAAABAAAAMAAAABQAAAAAAAAAAAD//wAAAQAAAP//AAABAA=="/>
                        </a:ext>
                      </a:extLst>
                    </pic:cNvPicPr>
                  </pic:nvPicPr>
                  <pic:blipFill>
                    <a:blip r:embed="rId95"/>
                    <a:stretch>
                      <a:fillRect/>
                    </a:stretch>
                  </pic:blipFill>
                  <pic:spPr>
                    <a:xfrm>
                      <a:off x="0" y="0"/>
                      <a:ext cx="3946525" cy="1129030"/>
                    </a:xfrm>
                    <a:prstGeom prst="rect">
                      <a:avLst/>
                    </a:prstGeom>
                    <a:noFill/>
                    <a:ln w="12700">
                      <a:noFill/>
                    </a:ln>
                  </pic:spPr>
                </pic:pic>
              </a:graphicData>
            </a:graphic>
          </wp:inline>
        </w:drawing>
      </w:r>
      <w:r/>
    </w:p>
    <w:p>
      <w:r/>
    </w:p>
    <w:p>
      <w:r>
        <w:t>Obst (Frolox/kcal pro 100 g)</w:t>
      </w:r>
    </w:p>
    <w:p>
      <w:r>
        <w:rPr>
          <w:noProof/>
        </w:rPr>
        <w:drawing>
          <wp:inline distT="0" distB="0" distL="0" distR="0">
            <wp:extent cx="3818255" cy="2242185"/>
            <wp:effectExtent l="0" t="0" r="0" b="0"/>
            <wp:docPr id="30" name="Grafik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Grafik144"/>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oBgAAB6IAAAAAAAAAAAAAAQAAAAAAAAAAAAAAAQAAAAAAAAAAAAAAfRcAAMsNAAAAAAAAAAAAAAAAAAAoAAAACAAAAAEAAAABAAAAMAAAABQAAAAAAAAAAAD//wAAAQAAAP//AAABAA=="/>
                        </a:ext>
                      </a:extLst>
                    </pic:cNvPicPr>
                  </pic:nvPicPr>
                  <pic:blipFill>
                    <a:blip r:embed="rId96"/>
                    <a:stretch>
                      <a:fillRect/>
                    </a:stretch>
                  </pic:blipFill>
                  <pic:spPr>
                    <a:xfrm>
                      <a:off x="0" y="0"/>
                      <a:ext cx="3818255" cy="2242185"/>
                    </a:xfrm>
                    <a:prstGeom prst="rect">
                      <a:avLst/>
                    </a:prstGeom>
                    <a:noFill/>
                    <a:ln w="12700">
                      <a:noFill/>
                    </a:ln>
                  </pic:spPr>
                </pic:pic>
              </a:graphicData>
            </a:graphic>
          </wp:inline>
        </w:drawing>
      </w:r>
      <w:r/>
    </w:p>
    <w:p>
      <w:pPr>
        <w:spacing w:after="0"/>
      </w:pPr>
      <w:r/>
    </w:p>
    <w:p>
      <w:r/>
    </w:p>
    <w:p>
      <w:r>
        <w:br w:type="page"/>
      </w:r>
      <w:r>
        <w:t>Beeren (Frolox/kcal pro 100 g)</w:t>
      </w:r>
    </w:p>
    <w:p>
      <w:r>
        <w:rPr>
          <w:noProof/>
        </w:rPr>
        <w:drawing>
          <wp:inline distT="0" distB="0" distL="0" distR="0">
            <wp:extent cx="3759200" cy="2374900"/>
            <wp:effectExtent l="0" t="0" r="0" b="0"/>
            <wp:docPr id="31" name="Grafik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fik145"/>
                    <pic:cNvPicPr>
                      <a:picLocks noChangeAspect="1"/>
                      <a:codePr string="" type="0" text="0"/>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sBgAAB6IAAAAAAAAAAAAAAQAAAAAAAAAAAAAAAQAAAAAAAAAAAAAAIBcAAJwOAAAAAAAAAAAAAAAAAAAoAAAACAAAAAEAAAABAAAAMAAAABQAAAAAAAAAAAD//wAAAQAAAP//AAABAA=="/>
                        </a:ext>
                      </a:extLst>
                    </pic:cNvPicPr>
                  </pic:nvPicPr>
                  <pic:blipFill>
                    <a:blip r:embed="rId97"/>
                    <a:stretch>
                      <a:fillRect/>
                    </a:stretch>
                  </pic:blipFill>
                  <pic:spPr>
                    <a:xfrm>
                      <a:off x="0" y="0"/>
                      <a:ext cx="3759200" cy="2374900"/>
                    </a:xfrm>
                    <a:prstGeom prst="rect">
                      <a:avLst/>
                    </a:prstGeom>
                    <a:noFill/>
                    <a:ln w="12700">
                      <a:noFill/>
                    </a:ln>
                  </pic:spPr>
                </pic:pic>
              </a:graphicData>
            </a:graphic>
          </wp:inline>
        </w:drawing>
      </w:r>
      <w:r/>
    </w:p>
    <w:p>
      <w:r/>
    </w:p>
    <w:p>
      <w:r>
        <w:t>Nüsse (Frolox/kcal pro 30 g)</w:t>
      </w:r>
    </w:p>
    <w:p>
      <w:r>
        <w:rPr>
          <w:noProof/>
        </w:rPr>
        <w:drawing>
          <wp:inline distT="0" distB="0" distL="0" distR="0">
            <wp:extent cx="3759200" cy="2280285"/>
            <wp:effectExtent l="0" t="0" r="0" b="0"/>
            <wp:docPr id="32" name="Grafik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fik146"/>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vBgAAB6IAAAAAAAAAAAAAAQAAAAAAAAAAAAAAAQAAAAAAAAAAAAAAIBcAAAcOAAAAAAAAAAAAAAAAAAAoAAAACAAAAAEAAAABAAAAMAAAABQAAAAAAAAAAAD//wAAAQAAAP//AAABAA=="/>
                        </a:ext>
                      </a:extLst>
                    </pic:cNvPicPr>
                  </pic:nvPicPr>
                  <pic:blipFill>
                    <a:blip r:embed="rId98"/>
                    <a:stretch>
                      <a:fillRect/>
                    </a:stretch>
                  </pic:blipFill>
                  <pic:spPr>
                    <a:xfrm>
                      <a:off x="0" y="0"/>
                      <a:ext cx="3759200" cy="2280285"/>
                    </a:xfrm>
                    <a:prstGeom prst="rect">
                      <a:avLst/>
                    </a:prstGeom>
                    <a:noFill/>
                    <a:ln w="12700">
                      <a:noFill/>
                    </a:ln>
                  </pic:spPr>
                </pic:pic>
              </a:graphicData>
            </a:graphic>
          </wp:inline>
        </w:drawing>
      </w:r>
      <w:r/>
    </w:p>
    <w:p>
      <w:pPr>
        <w:spacing w:after="0"/>
      </w:pPr>
      <w:r/>
    </w:p>
    <w:p>
      <w:r>
        <w:t>Samen und Kerne (Frolox/kcal pro 30 g)</w:t>
      </w:r>
    </w:p>
    <w:p>
      <w:r>
        <w:rPr>
          <w:noProof/>
        </w:rPr>
        <w:drawing>
          <wp:inline distT="0" distB="0" distL="0" distR="0">
            <wp:extent cx="3759200" cy="2280285"/>
            <wp:effectExtent l="0" t="0" r="0" b="0"/>
            <wp:docPr id="33" name="Grafik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Grafik147"/>
                    <pic:cNvPicPr>
                      <a:picLocks noChangeAspect="1"/>
                      <a:codePr string="" type="1806137632" tex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yBgAAB6IAAAAAAAAAAAAAAQAAAAAAAAAAAAAAAQAAAAAAAAAAAAAAIBcAAAcOAAAAAAAAAAAAAAAAAAAoAAAACAAAAAEAAAABAAAAMAAAABQAAAAAAAAAAAD//wAAAQAAAP//AAABAA=="/>
                        </a:ext>
                      </a:extLst>
                    </pic:cNvPicPr>
                  </pic:nvPicPr>
                  <pic:blipFill>
                    <a:blip r:embed="rId99"/>
                    <a:stretch>
                      <a:fillRect/>
                    </a:stretch>
                  </pic:blipFill>
                  <pic:spPr>
                    <a:xfrm>
                      <a:off x="0" y="0"/>
                      <a:ext cx="3759200" cy="2280285"/>
                    </a:xfrm>
                    <a:prstGeom prst="rect">
                      <a:avLst/>
                    </a:prstGeom>
                    <a:noFill/>
                    <a:ln w="12700">
                      <a:noFill/>
                    </a:ln>
                  </pic:spPr>
                </pic:pic>
              </a:graphicData>
            </a:graphic>
          </wp:inline>
        </w:drawing>
      </w:r>
      <w:r/>
    </w:p>
    <w:p>
      <w:r>
        <w:br w:type="page"/>
      </w:r>
      <w:r>
        <w:t>Frische Hülsenfrüchte (Frolox/kcal pro 50 g)</w:t>
      </w:r>
    </w:p>
    <w:p>
      <w:r>
        <w:rPr>
          <w:noProof/>
        </w:rPr>
        <w:drawing>
          <wp:inline distT="0" distB="0" distL="0" distR="0">
            <wp:extent cx="3836670" cy="2627630"/>
            <wp:effectExtent l="0" t="0" r="0" b="0"/>
            <wp:docPr id="34" name="Grafik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Grafik149"/>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0BgAAB6IAAAAAAAAAAAAAAQAAAAAAAAAAAAAAAQAAAAAAAAAAAAAAmhcAACoQAAAAAAAAAAAAAAAAAAAoAAAACAAAAAEAAAABAAAAMAAAABQAAAAAAAAAAAD//wAAAQAAAP//AAABAA=="/>
                        </a:ext>
                      </a:extLst>
                    </pic:cNvPicPr>
                  </pic:nvPicPr>
                  <pic:blipFill>
                    <a:blip r:embed="rId100"/>
                    <a:stretch>
                      <a:fillRect/>
                    </a:stretch>
                  </pic:blipFill>
                  <pic:spPr>
                    <a:xfrm>
                      <a:off x="0" y="0"/>
                      <a:ext cx="3836670" cy="2627630"/>
                    </a:xfrm>
                    <a:prstGeom prst="rect">
                      <a:avLst/>
                    </a:prstGeom>
                    <a:noFill/>
                    <a:ln w="12700">
                      <a:noFill/>
                    </a:ln>
                  </pic:spPr>
                </pic:pic>
              </a:graphicData>
            </a:graphic>
          </wp:inline>
        </w:drawing>
      </w:r>
      <w:r/>
    </w:p>
    <w:p>
      <w:r/>
    </w:p>
    <w:p>
      <w:r>
        <w:t>Entzündungssenkende Getränke (Frolox/kcal pro 100 ml)</w:t>
      </w:r>
    </w:p>
    <w:p>
      <w:r>
        <w:rPr>
          <w:noProof/>
        </w:rPr>
        <w:drawing>
          <wp:inline distT="0" distB="0" distL="0" distR="0">
            <wp:extent cx="3791585" cy="3404870"/>
            <wp:effectExtent l="0" t="0" r="0" b="0"/>
            <wp:docPr id="35" name="Grafik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fik150"/>
                    <pic:cNvPicPr>
                      <a:picLocks noChangeAspect="1"/>
                      <a:codePr string="" type="0" text="0"/>
                      <a:extLst>
                        <a:ext uri="sm">
                          <sm:smNativeData xmlns:sm="sm" val="SMDATA_17_E0dOa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3BgAAB6IAAAAAAAAAAAAAAQAAAAAAAAAAAAAAAQAAAAAAAAAAAAAAUxcAAPIUAAAAAAAAAAAAAAAAAAAoAAAACAAAAAEAAAABAAAAMAAAABQAAAAAAAAAAAD//wAAAQAAAP//AAABAA=="/>
                        </a:ext>
                      </a:extLst>
                    </pic:cNvPicPr>
                  </pic:nvPicPr>
                  <pic:blipFill>
                    <a:blip r:embed="rId101"/>
                    <a:stretch>
                      <a:fillRect/>
                    </a:stretch>
                  </pic:blipFill>
                  <pic:spPr>
                    <a:xfrm>
                      <a:off x="0" y="0"/>
                      <a:ext cx="3791585" cy="3404870"/>
                    </a:xfrm>
                    <a:prstGeom prst="rect">
                      <a:avLst/>
                    </a:prstGeom>
                    <a:noFill/>
                    <a:ln w="12700">
                      <a:noFill/>
                    </a:ln>
                  </pic:spPr>
                </pic:pic>
              </a:graphicData>
            </a:graphic>
          </wp:inline>
        </w:drawing>
      </w:r>
      <w:r/>
    </w:p>
    <w:p>
      <w:pPr>
        <w:pStyle w:val="para3"/>
        <w:numPr>
          <w:ilvl w:val="2"/>
          <w:numId w:val="1"/>
        </w:numPr>
        <w:ind w:left="720" w:hanging="720"/>
      </w:pPr>
      <w:r>
        <w:br w:type="page"/>
      </w:r>
      <w:bookmarkStart w:id="260" w:name="_TOC000252"/>
      <w:r>
        <w:t xml:space="preserve">Spezialnährstoffe bei </w:t>
        <w:fldChar w:fldCharType="begin"/>
        <w:instrText xml:space="preserve">XE "Arthrose" \G </w:instrText>
        <w:fldChar w:fldCharType="end"/>
        <w:t>Arthrose</w:t>
      </w:r>
      <w:bookmarkEnd w:id="250"/>
      <w:r/>
      <w:bookmarkEnd w:id="260"/>
      <w:r/>
    </w:p>
    <w:p>
      <w:r>
        <w:t>Wenn Knie oder Hüfte schmerzen, weil der Gelenkschaden bereits fortgeschritten ist, wird ein gezielter Knorpelaufbau nötig. Die konzentrierte und zeitlich begrenzte Zufuhr an Spezial-Nährstoffen kurbelt die Regeneration des Knorpels an und macht das Gelenk wieder stark.</w:t>
      </w:r>
    </w:p>
    <w:p>
      <w:r>
        <w:t>Eine erfolgreiche Anti-</w:t>
        <w:fldChar w:fldCharType="begin"/>
        <w:instrText xml:space="preserve">XE "Arthrose" \G </w:instrText>
        <w:fldChar w:fldCharType="end"/>
        <w:t>Arthrose-Strategie besteht aus mehreren Elementen, die miteinander kombiniert werden und die sich teilweise gegenseitig verstärken.</w:t>
      </w:r>
    </w:p>
    <w:p>
      <w:pPr>
        <w:pStyle w:val="para28"/>
        <w:numPr>
          <w:ilvl w:val="0"/>
          <w:numId w:val="7"/>
        </w:numPr>
        <w:ind w:left="567" w:hanging="379"/>
        <w:contextualSpacing w:val="0"/>
      </w:pPr>
      <w:r>
        <w:t>Bewegung regt den Stoffwechsel im Gelenk an und stärkt Muskeln und Bänder, die beispielsweise das Knie stabilisieren.</w:t>
      </w:r>
    </w:p>
    <w:p>
      <w:pPr>
        <w:pStyle w:val="para28"/>
        <w:numPr>
          <w:ilvl w:val="0"/>
          <w:numId w:val="7"/>
        </w:numPr>
        <w:ind w:left="567" w:hanging="379"/>
        <w:contextualSpacing w:val="0"/>
      </w:pPr>
      <w:r>
        <w:t>Eine Gewichtsreduktion entlastet Knie, Hüfte und Sprunggelenk. Überdies vermindert sie Bauchfett, dessen Zellen Hormone freisetzen, die niedriggradige Entzündungen hervorrufen.</w:t>
      </w:r>
    </w:p>
    <w:p>
      <w:pPr>
        <w:pStyle w:val="para28"/>
        <w:numPr>
          <w:ilvl w:val="0"/>
          <w:numId w:val="7"/>
        </w:numPr>
        <w:ind w:left="567" w:hanging="379"/>
        <w:contextualSpacing w:val="0"/>
      </w:pPr>
      <w:r>
        <w:t>Lebensmittel mit Anti-Entzündungs-Potenzial dämmen die Entzündung ein, die eine Hauptursache für Arthroseschmerzen und Knorpelabbau darstellt. Die meisten dieser Entzündungsprozesse haben ihre Ursache in einer falschen oder unausgewogenen Ernährung.</w:t>
      </w:r>
    </w:p>
    <w:p>
      <w:r>
        <w:t xml:space="preserve">Diese drei Bausteine bilden das Fundament, um Gelenke zu stärken und den Knorpel langfristig gesund und funktionsfähig zu halten. Weist der Gelenkpuffer jedoch bereits Defekte auf, was sich durch Schmerzen und Bewegungseinschränkungen bemerkbar macht, dann wird es Zeit, einen weiteren Trumpf auszuspielen - die Nährstoffmedizin. Die gezielte zusätzliche Einnahme der Wirkstoffe </w:t>
        <w:fldChar w:fldCharType="begin"/>
        <w:instrText xml:space="preserve">XE "Silizium" \G </w:instrText>
        <w:fldChar w:fldCharType="end"/>
        <w:t xml:space="preserve">Silizium, Glucosaminsulfat, Chondroitinsulfat sowie Kollagen-Hydrolysat, die wir Ihnen in diesem Kapitel vorstellen, bildet den Joker in der Ernährungstherapie der </w:t>
        <w:fldChar w:fldCharType="begin"/>
        <w:instrText xml:space="preserve">XE "Arthrose" \G </w:instrText>
        <w:fldChar w:fldCharType="end"/>
        <w:t>Arthrose. In ausreichend hoher Dosierung zugeführt, aktivieren diese vier Nährstoffe die Knorpelzellen, wieder mehr neues und originales Knorpelmaterial in Form von kollagenen Fasern und Knorpelgrundsubstanz zu bilden. So entsteht frischer, belastbarer Knochenüberzug - der Prozess des Knorpelabbaus wird umgekehrt, die Schmerzen in Knie oder Hüfte können endlich verschwinden.</w:t>
      </w:r>
    </w:p>
    <w:p>
      <w:pPr>
        <w:ind w:left="567" w:right="562"/>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r>
        <w:t xml:space="preserve">Wichtig zu wissen: Wenn Sie sich von </w:t>
        <w:fldChar w:fldCharType="begin"/>
        <w:instrText xml:space="preserve">XE "Arthrose" \G </w:instrText>
        <w:fldChar w:fldCharType="end"/>
        <w:t>Arthrose befreien wollen, sollten Sie das wertvolle Potenzial der Nährstoffmedizin von Anfang an ausschöpfen. Warten Sie nicht, bis Sie ein paar Kilo abgenommen haben oder bis die Ernährungsumstellung erste Ergebnisse zeigt. Die Nährstoffmedizin beschleunigt die Wirkung dieser Maßnahmen und erhöht den Effekt. Eine erfolgreiche Knorpelkur mit den Spezialnährstoffen ist langfristig angelegt und dauert sechs bis zwölf Monate.</w:t>
      </w:r>
    </w:p>
    <w:p>
      <w:pPr>
        <w:pStyle w:val="para4"/>
        <w:numPr>
          <w:ilvl w:val="3"/>
          <w:numId w:val="1"/>
        </w:numPr>
        <w:ind w:left="1077" w:hanging="1077"/>
      </w:pPr>
      <w:bookmarkStart w:id="261" w:name="_TOC000211"/>
      <w:r/>
      <w:bookmarkStart w:id="262" w:name="_TOC000166"/>
      <w:r/>
      <w:bookmarkStart w:id="263" w:name="_TOC000015"/>
      <w:r>
        <w:t xml:space="preserve">Das Geheimnis der </w:t>
        <w:fldChar w:fldCharType="begin"/>
        <w:instrText xml:space="preserve">XE "Knorpelregeneration" \G </w:instrText>
        <w:fldChar w:fldCharType="end"/>
        <w:t>Knorpelregeneration</w:t>
      </w:r>
      <w:bookmarkEnd w:id="262"/>
      <w:r/>
      <w:bookmarkEnd w:id="263"/>
      <w:r/>
      <w:bookmarkEnd w:id="261"/>
      <w:r/>
    </w:p>
    <w:p>
      <w:r>
        <w:t xml:space="preserve">Jeder Körper ist auf Selbstheilung gepolt, dieses Programm steckt tief in unseren Genen. Ob Schnittwunde, grippaler Infekt oder Knochenbruch: Stellt der Organismus einen Schaden fest, strebt er danach, den Defekt zu reparieren. Dieses Prinzip gilt auch für die </w:t>
        <w:fldChar w:fldCharType="begin"/>
        <w:instrText xml:space="preserve">XE "Knorpelregeneration" \G </w:instrText>
        <w:fldChar w:fldCharType="end"/>
        <w:t>Knorpelregeneration. Hier nutzt der Körper sogar eine raffinierte Doppelstrategie, mit der es ihm gelingt, selbst größere Knorpelschäden auszuheilen.</w:t>
      </w:r>
    </w:p>
    <w:p>
      <w:pPr>
        <w:rPr>
          <w:b/>
          <w:bCs/>
        </w:rPr>
      </w:pPr>
      <w:r>
        <w:rPr>
          <w:b/>
          <w:bCs/>
        </w:rPr>
        <w:t>Taktik Nr. 1</w:t>
      </w:r>
    </w:p>
    <w:p>
      <w:r>
        <w:t>Der erste Weg zur Selbstheilung besteht darin, die Durchblutung im erkrankten Gelenk zu erhöhen und dafür zu sorgen, dass neue Knorpelzellen an die richtige Stelle gelangen, wo sie für ihre untergegangenen Kollegen einspringen. Genau genommen handelt es sich bei diesen Helfern um Knorpelvorläuferzellen aus dem Knochenmark, sogenannte chondrogene Progenitorzellen. Am Unglücksort im Gelenk angekommen, streifen die Jungzellen die Windeln ab und verwandeln sich in richtigen, belastbaren Knorpel.</w:t>
      </w:r>
    </w:p>
    <w:p>
      <w:r>
        <w:t>Viele Lehrbücher beschreiben den neuen Puffer fälschlicherweise als Ersatz- oder Faserknorpel von minderer Qualität. Solches Zweiter-Klasse-Gewebe bildet sich aber nur in einem entzündeten Milieu. Ist jedoch die niederschwellige Entzündung im Gelenk erfolgreich beseitigt worden, rufen die Progenitorzellen ihr volles genetisches Potenzial ab und formen sich in 1a-Knorpel um. Das trifft auch auf die Nachbarzellen aus Taktik Nr. 2 zu.</w:t>
      </w:r>
    </w:p>
    <w:p>
      <w:pPr>
        <w:rPr>
          <w:b/>
          <w:bCs/>
        </w:rPr>
      </w:pPr>
      <w:r>
        <w:rPr>
          <w:b/>
          <w:bCs/>
        </w:rPr>
        <w:t>Taktik Nr. 2</w:t>
      </w:r>
    </w:p>
    <w:p>
      <w:r>
        <w:t>Ein weiterer Mechanismus der Selbstheilung läuft über diejenigen Knorpelzellen, die neben dem Gelenkschaden liegen. Diese Nachbarzellen breiten sich per Zellteilung aus und bilden neues hyalines Knorpelmaterial, das die Lücke füllt. Dadurch wird der Knorpelschaden vom Rand her »ausgeheilt«.</w:t>
      </w:r>
    </w:p>
    <w:p>
      <w:pPr>
        <w:ind w:left="567" w:right="562"/>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r>
        <w:t xml:space="preserve">Diese Doppelstrategie der </w:t>
        <w:fldChar w:fldCharType="begin"/>
        <w:instrText xml:space="preserve">XE "Knorpelregeneration" \G </w:instrText>
        <w:fldChar w:fldCharType="end"/>
        <w:t>Knorpelregeneration kann selbst größere Knorpelschäden ausheilen. Sie wird jedoch blockiert, wenn im Gelenk Entzündungsprozesse ablaufen. Deshalb ist das Zusammenspiel von Anti-Entzündungs-Kost, Bewegung, Gewichtsreduktion und Nährstoffkur so wichtig.</w:t>
      </w:r>
    </w:p>
    <w:p>
      <w:pPr>
        <w:pStyle w:val="para4"/>
        <w:numPr>
          <w:ilvl w:val="3"/>
          <w:numId w:val="1"/>
        </w:numPr>
        <w:ind w:left="1077" w:hanging="1077"/>
      </w:pPr>
      <w:bookmarkStart w:id="264" w:name="_TOC000167"/>
      <w:r>
        <w:fldChar w:fldCharType="begin"/>
        <w:instrText xml:space="preserve">XE "Knorpelregeneration" \G </w:instrText>
        <w:fldChar w:fldCharType="end"/>
        <w:t xml:space="preserve">Knorpelregeneration braucht </w:t>
      </w:r>
      <w:bookmarkEnd w:id="264"/>
      <w:r>
        <w:t>Unterstützung</w:t>
      </w:r>
    </w:p>
    <w:p>
      <w:r>
        <w:t>Damit die Knorpelzellen tüchtig Knorpelgrundmasse und kollagene Fasern bilden, sind sie auf bestimmte Bau- und Hilfsstoffe angewiesen. Nur wenn der Gelenkpuffer ausreichend mit den vier Nährstoffen Kieselsäure, Glucosamin, Chondroitin und Kollagen-Hydrolysat versorgt wird, kommt die körpereigene Selbstheilung in Gang.</w:t>
      </w:r>
    </w:p>
    <w:p>
      <w:pPr>
        <w:pStyle w:val="para4"/>
        <w:numPr>
          <w:ilvl w:val="3"/>
          <w:numId w:val="1"/>
        </w:numPr>
        <w:ind w:left="1077" w:hanging="1077"/>
      </w:pPr>
      <w:bookmarkStart w:id="265" w:name="_TOC000168"/>
      <w:r>
        <w:t xml:space="preserve">Knorpel-Baustein Nr. 1: </w:t>
        <w:fldChar w:fldCharType="begin"/>
        <w:instrText xml:space="preserve">XE "Silizium" \G </w:instrText>
        <w:fldChar w:fldCharType="end"/>
        <w:t>Silizium bzw. Kieselsäure</w:t>
      </w:r>
      <w:bookmarkEnd w:id="265"/>
      <w:r/>
    </w:p>
    <w:p>
      <w:r>
        <w:t xml:space="preserve">Der Chef-Nährstoff für einen stabilen Knorpel heißt </w:t>
        <w:fldChar w:fldCharType="begin"/>
        <w:instrText xml:space="preserve">XE "Silizium" \G </w:instrText>
        <w:fldChar w:fldCharType="end"/>
        <w:t xml:space="preserve">Silizium. Das Spurenelement steckt in beinahe jeder Körperzelle. Insgesamt 1 bis 1,5 Gramm trägt jeder Mensch in sich. Bei ausreichender Versorgung mit diesem Stoff produzieren die Knorpelzellen einerseits mehr kollagene Fasern, andererseits auch mehr Knorpelgrundsubstanz. So sorgt </w:t>
        <w:fldChar w:fldCharType="begin"/>
        <w:instrText xml:space="preserve">XE "Silizium" \G </w:instrText>
        <w:fldChar w:fldCharType="end"/>
        <w:t xml:space="preserve">Silizium gleichermaßen für Festigkeit und Elastizität des Knorpels. In der Natur kommt das Element in gebundener Form vor, etwa als Kieselsäure. Aufrecht wachsende Gräserarten, aber auch andere Pflanzen nehmen die Kieselsäure aus dem Boden auf und lagern das </w:t>
        <w:fldChar w:fldCharType="begin"/>
        <w:instrText xml:space="preserve">XE "Silizium" \G </w:instrText>
        <w:fldChar w:fldCharType="end"/>
        <w:t>Silizium in den Halmen ein, wo es den Stängeln Struktur und Biegsamkeit verleiht.</w:t>
      </w:r>
    </w:p>
    <w:p>
      <w:pPr>
        <w:rPr>
          <w:b/>
          <w:bCs/>
        </w:rPr>
      </w:pPr>
      <w:r/>
      <w:bookmarkStart w:id="266" w:name="_TOC000169"/>
      <w:r/>
      <w:r>
        <w:rPr>
          <w:b/>
          <w:bCs/>
        </w:rPr>
        <w:t>Topquellen für Kieselsäure</w:t>
      </w:r>
      <w:r/>
      <w:bookmarkEnd w:id="266"/>
      <w:r/>
      <w:r>
        <w:rPr>
          <w:b/>
          <w:bCs/>
        </w:rPr>
      </w:r>
    </w:p>
    <w:p>
      <w:pPr>
        <w:rPr>
          <w:b/>
          <w:bCs/>
        </w:rPr>
      </w:pPr>
      <w:r/>
      <w:bookmarkStart w:id="267" w:name="_TOC000170"/>
      <w:r/>
      <w:r>
        <w:rPr>
          <w:b/>
          <w:bCs/>
        </w:rPr>
        <w:t>Ackerschachtelhalm</w:t>
      </w:r>
      <w:r/>
      <w:bookmarkEnd w:id="267"/>
      <w:r/>
      <w:r>
        <w:rPr>
          <w:b/>
          <w:bCs/>
        </w:rPr>
      </w:r>
    </w:p>
    <w:p>
      <w:r>
        <w:t>Keine andere Pflanze enthält annähernd so viel Knorpelmedizin wie Ackerschachtelhalm. Fast 10 % seiner Trockenmasse besteht aus Kieselsäure. In die Ernährung lässt sich der Schachtelhalm unterschiedlich einbauen.</w:t>
      </w:r>
    </w:p>
    <w:p>
      <w:r>
        <w:t>Für einen Teeaufguss 1 Esslöffel getrocknetes Schachtelhalmkraut mit 1,5 Liter kochendem Wasser übergießen und mindestens 1 Stunde köcheln lassen, damit sich die Kieselsäure aus der Pflanze löst. Den Sud über Nacht ziehen lassen, dann auspressen und über den Tag verteilt trinken.</w:t>
      </w:r>
    </w:p>
    <w:p>
      <w:r>
        <w:t>Wer es einfacher mag, kräftigt den Knorpel mit fertigen Schachtelhalmzubereitungen: Beispielsweise täglich 1 Teelöffel flüssiges Teekonzentrat, 3 Kapseln Ackerschachtelhalmextrakt oder 3 Esslöffel frischer Presssaft.</w:t>
      </w:r>
    </w:p>
    <w:p>
      <w:r>
        <w:t>Wichtig: Schachtelhalm lässt sich in der Natur leicht mit dem giftigen Sumpf-Schachtelhalm verwechseln, deshalb besser nicht selbst sammeln.</w:t>
      </w:r>
    </w:p>
    <w:p>
      <w:pPr>
        <w:ind w:left="567" w:right="562"/>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r>
        <w:t>Handelsübliche Kieselsäure- oder Kieselerdepräparate (z. B. Tabletten, Kapseln, Pulver) werden vom Darm kaum verwertet; die Resorption beträgt weniger als 1 %. Flüssige Kieselsäuregels werden immerhin zu 30 % aufgenommen.</w:t>
      </w:r>
    </w:p>
    <w:p>
      <w:pPr>
        <w:rPr>
          <w:b/>
          <w:bCs/>
        </w:rPr>
      </w:pPr>
      <w:r/>
      <w:bookmarkStart w:id="268" w:name="_TOC000171"/>
      <w:r/>
      <w:r>
        <w:rPr>
          <w:b/>
          <w:bCs/>
        </w:rPr>
      </w:r>
    </w:p>
    <w:p>
      <w:pPr>
        <w:rPr>
          <w:b/>
          <w:bCs/>
        </w:rPr>
      </w:pPr>
      <w:r>
        <w:rPr>
          <w:b/>
          <w:bCs/>
        </w:rPr>
        <w:t>Brennnessel</w:t>
      </w:r>
      <w:r/>
      <w:bookmarkEnd w:id="268"/>
      <w:r/>
      <w:r>
        <w:rPr>
          <w:b/>
          <w:bCs/>
        </w:rPr>
      </w:r>
    </w:p>
    <w:p>
      <w:r>
        <w:t>Das Wildkraut birgt ebenfalls reichlich natürliche Kieselsäure. Wie beim Ackerschachtelhalm wird die Siliziumverbindung zu 95 % vom Darm resorbiert. Weitere Gemeinsamkeit: Neben gut verwertbarer Kieselsäure enthält die Brennnessel auch Quercetin und Kaempterol, zwei sekundäre Pflanzenstoffe mit nachweislich hohem Anti-Entzündungs-Potenzial.</w:t>
      </w:r>
    </w:p>
    <w:p>
      <w:r>
        <w:t>Für einen Teeaufguss 1 Esslöffel fein geschnittene Brennnesselblätter beziehungsweise Brennnesselkraut mit 1,5 Liter kochendem Wasser übergießen und mindestens 1 Stunde köcheln lassen. Den Sud über Nacht ziehen lassen, dann auspressen und über den Tag verteilt trinken.</w:t>
      </w:r>
    </w:p>
    <w:p>
      <w:r>
        <w:t>Alternative: täglich 400 bis 500 mg Brennnesselextrakt einnehmen.</w:t>
      </w:r>
    </w:p>
    <w:p>
      <w:pPr>
        <w:rPr>
          <w:b/>
          <w:bCs/>
        </w:rPr>
      </w:pPr>
      <w:r/>
      <w:bookmarkStart w:id="269" w:name="_TOC000172"/>
      <w:r/>
      <w:r>
        <w:rPr>
          <w:b/>
          <w:bCs/>
        </w:rPr>
        <w:t>Getreide</w:t>
      </w:r>
      <w:r/>
      <w:bookmarkEnd w:id="269"/>
      <w:r/>
      <w:r>
        <w:rPr>
          <w:b/>
          <w:bCs/>
        </w:rPr>
      </w:r>
    </w:p>
    <w:p>
      <w:r>
        <w:t>Haferflocken, Dinkelmehl, Gerste, Hirse und Naturreis enthalten nennenswert Kieselsäure, desgleichen die Schale von Kartoffeln. Wer Kartoffeln aus Bioanbau kauft und grüne Stellen mit dem Zellgift Solanin großzügig wegschneidet, nutzt eine wertvolle Siliziumquelle.</w:t>
      </w:r>
    </w:p>
    <w:p>
      <w:pPr>
        <w:rPr>
          <w:b/>
          <w:bCs/>
        </w:rPr>
      </w:pPr>
      <w:r/>
      <w:bookmarkStart w:id="270" w:name="_TOC000173"/>
      <w:r/>
      <w:r>
        <w:rPr>
          <w:b/>
          <w:bCs/>
        </w:rPr>
        <w:t>Dosierung</w:t>
      </w:r>
      <w:r/>
      <w:bookmarkEnd w:id="270"/>
      <w:r/>
      <w:r>
        <w:rPr>
          <w:b/>
          <w:bCs/>
        </w:rPr>
      </w:r>
    </w:p>
    <w:p>
      <w:r>
        <w:t xml:space="preserve">Für eine optimale </w:t>
        <w:fldChar w:fldCharType="begin"/>
        <w:instrText xml:space="preserve">XE "Knorpelregeneration" \G </w:instrText>
        <w:fldChar w:fldCharType="end"/>
        <w:t xml:space="preserve">Knorpelregeneration braucht der Körper </w:t>
        <w:fldChar w:fldCharType="begin"/>
        <w:instrText xml:space="preserve">XE "Silizium" \G </w:instrText>
        <w:fldChar w:fldCharType="end"/>
        <w:t>Silizium aus natürlicher Kieselsäure. Damit Sie genügend von dem Topnährstoff für den Knorpelaufbau abkriegen, sollten Sie Haferflocken und Bio-Kartoffeln mit Schale in den Speiseplan integrieren sowie täglich zu den konzentrierten Kieselsäurespendern Ackerschachtelhalm und Brennnessel greifen. Am einfachsten ist es, wenn Sie täglich 1 Teelöffel Ackerschachtelhalmkonzentrat in ein Glas Wasser einrühren und trinken und dazu 400 bis 500 mg Brennnesselkonzentrat einnehmen.</w:t>
      </w:r>
    </w:p>
    <w:p>
      <w:pPr>
        <w:pStyle w:val="para4"/>
        <w:numPr>
          <w:ilvl w:val="3"/>
          <w:numId w:val="1"/>
        </w:numPr>
        <w:ind w:left="1077" w:hanging="1077"/>
      </w:pPr>
      <w:bookmarkStart w:id="271" w:name="_TOC000174"/>
      <w:r>
        <w:t>Knorpel-Baustein Nr. 2: Glucosaminsulfat</w:t>
      </w:r>
      <w:bookmarkEnd w:id="271"/>
      <w:r/>
    </w:p>
    <w:p>
      <w:r>
        <w:t xml:space="preserve">Glucosamin ist ein körpereigener Eiweißzucker, der in stark strapazierten Geweben wie Knorpel, Gelenkkapsel und Sehnen vorkommt. Auch die Gelenkschmiere enthält diesen komplexen Baustein. Der Organismus stellt Glucosamin aus Zucker - </w:t>
        <w:fldChar w:fldCharType="begin"/>
        <w:instrText xml:space="preserve">XE "Glukose" \G </w:instrText>
        <w:fldChar w:fldCharType="end"/>
        <w:t>Glukose - selbst her, doch diese Fähigkeit kann bereits ab dem Alter von 30 Jahren schwinden. Wie Ackerschachtelhalm und Brennnessel ist der Naturstoff entzündungshemmend. Leider liefert die tägliche Nahrung kaum Nachschub an dem Aminozucker. Er steckt in Schalen von Krebstieren, im Knorpelskelett von Haien, aber auch in der Muttermilch - nichts davon steht in der Regel bei Erwachsenen auf dem Speiseplan.</w:t>
      </w:r>
    </w:p>
    <w:p>
      <w:r>
        <w:t xml:space="preserve">Wer mit </w:t>
        <w:fldChar w:fldCharType="begin"/>
        <w:instrText xml:space="preserve">XE "Arthrose" \G </w:instrText>
        <w:fldChar w:fldCharType="end"/>
        <w:t>Arthrose kämpft, sollte Glucosamin deshalb gezielt kurmäßig in Form eines Supplements einnehmen. Es wird in der Regel industriell aus den Chitinpanzern von Krabben- und Garnelenabfällen aus der Fischerei gewonnen.</w:t>
      </w:r>
    </w:p>
    <w:p>
      <w:r>
        <w:t>In den Nahrungsergänzungsmitteln liegt Glucosamin häufig als Glucosaminsulfat vor, das heißt als Salz bestehend aus zwei Molekülen Glucosamin und einer Schwefelgruppe. Inzwischen gibt es viele gute Studien, die zeigen, dass Glucosaminsulfat Schmerzen, Steifheit und Schwellungen im Gelenk mindestens ebenso gut reduziert wie ein Schmerzmittel - ohne dessen Nebenwirkungen. Außerdem konnte gezeigt werden, dass es den Prozess der Gelenkzerstörung verlangsamt, wenn nicht sogar stoppt.</w:t>
      </w:r>
    </w:p>
    <w:p>
      <w:pPr>
        <w:rPr>
          <w:b/>
          <w:bCs/>
        </w:rPr>
      </w:pPr>
      <w:r>
        <w:rPr>
          <w:b/>
          <w:bCs/>
        </w:rPr>
        <w:t>Dosierung</w:t>
      </w:r>
    </w:p>
    <w:p>
      <w:r>
        <w:t xml:space="preserve">Die wirksame Dosierung bei </w:t>
        <w:fldChar w:fldCharType="begin"/>
        <w:instrText xml:space="preserve">XE "Arthrose" \G </w:instrText>
        <w:fldChar w:fldCharType="end"/>
        <w:t>Arthrose oder rheumatoider Arthritis liegt bei täglich 1500 mg Glucosaminsulfat. Die Anwendung sollte mindestens sechs Monate lang dauern. Kurzfristige Nährstoffgaben oder niedrig dosierte Präparate im Bereich von (500 bis 1000 mg) reichen für einen erfolgreichen Knorpelaufbau nicht aus.</w:t>
      </w:r>
    </w:p>
    <w:p>
      <w:pPr>
        <w:pStyle w:val="para4"/>
        <w:numPr>
          <w:ilvl w:val="3"/>
          <w:numId w:val="1"/>
        </w:numPr>
        <w:ind w:left="1077" w:hanging="1077"/>
      </w:pPr>
      <w:bookmarkStart w:id="272" w:name="_TOC000175"/>
      <w:r>
        <w:t>Knorpel-Baustein Nr. 3: Chondroitinsulfat</w:t>
      </w:r>
      <w:bookmarkEnd w:id="272"/>
      <w:r/>
    </w:p>
    <w:p>
      <w:r>
        <w:t>Chondroitin stellt einen weiteren Hauptbestandteil der Knorpelmasse im Gelenk dar. Das Makromolekül wird von den Knorpelzellen selbst gebildet.</w:t>
      </w:r>
    </w:p>
    <w:p>
      <w:r>
        <w:t xml:space="preserve">Es speichert Wasser, verleiht dem Knorpel Struktur und macht ihn widerstandsfähig gegen Druck und Belastung. Ähnlich wie Glucosamin hat Chondroitin in klinischen Studien bewiesen, dass es die Gelenke stärkt. Es besitzt das Potenzial, die Gelenkbeweglichkeit zu verbessern und den Knorpelverlust bei </w:t>
        <w:fldChar w:fldCharType="begin"/>
        <w:instrText xml:space="preserve">XE "Arthrose" \G </w:instrText>
        <w:fldChar w:fldCharType="end"/>
        <w:t>Arthrose zu bremsen. Überdies hat sich gezeigt, dass Chondroitin Schmerzen bei rheumatoider Arthritis lindert.</w:t>
      </w:r>
    </w:p>
    <w:p>
      <w:pPr>
        <w:rPr>
          <w:b/>
          <w:bCs/>
        </w:rPr>
      </w:pPr>
      <w:r>
        <w:rPr>
          <w:b/>
          <w:bCs/>
        </w:rPr>
        <w:t>Dosierung</w:t>
      </w:r>
    </w:p>
    <w:p>
      <w:r>
        <w:t>Ebenso wie bei Glucosamin kommt es bei Chondroitinsulfat darauf an, das Gelenk mit ausreichend großen Mengen zu versorgen. In erfolgreichen Chondroitin-Studien lag die Dosierung zwischen 800 und 1500 mg täglich. Deshalb liegt die therapeutische Empfehlung bei mindestens 0,8 Gramm pro Tag. Es konnte auch gezeigt werden, dass es den anhaltenden Effekt von Chondroitin verstärkt, wenn das Supplement zweimal jährlich über je drei Monate eingenommen wird.</w:t>
      </w:r>
    </w:p>
    <w:p>
      <w:pPr>
        <w:pStyle w:val="para4"/>
        <w:numPr>
          <w:ilvl w:val="3"/>
          <w:numId w:val="1"/>
        </w:numPr>
        <w:ind w:left="1077" w:hanging="1077"/>
      </w:pPr>
      <w:bookmarkStart w:id="273" w:name="_TOC000212"/>
      <w:r/>
      <w:bookmarkStart w:id="274" w:name="_TOC000176"/>
      <w:r>
        <w:t>Knorpel-Baustein Nr. 4: Kollagen-Hydrolysat</w:t>
      </w:r>
      <w:bookmarkEnd w:id="274"/>
      <w:r/>
      <w:bookmarkEnd w:id="273"/>
      <w:r/>
    </w:p>
    <w:p>
      <w:r>
        <w:t>Beim vierten Pfeiler der Nährstoffkur handelt es sich um Gelatine, die durch einen enzymatischen Prozess aufgespalten wird. Das dabei entstandene Kollagen-Hydrolysat entspricht in seiner Zusammensetzung dem Kollagen der Knorpelgrundsubstanz. Kollagen ist ein Grundbaustein des Gelenksystems und sorgt im Knorpel für Stabilität und Zugfestigkeit. Durch die spezielle Verarbeitung werden die einzelnen Gelatinefragmente als ganze Bauteile in den Knorpel eingefügt, wie Studien gezeigt haben. Gleichzeitig regt das Kollagen-Hydrolysat die Knorpelzellen dazu an, verstärkt Kollagen zu bilden. Zellkulturversuche haben belegt: Eine gute Versorgung mit Kollagen-Hydrolysat steigert die Kollagenbildung der Knorpelzelle um 250 %!</w:t>
      </w:r>
    </w:p>
    <w:p>
      <w:pPr>
        <w:ind w:left="567" w:right="562"/>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rPr>
          <w:b/>
          <w:bCs/>
        </w:rPr>
      </w:pPr>
      <w:r>
        <w:rPr>
          <w:b/>
          <w:bCs/>
        </w:rPr>
        <w:t>1 +1 = 3</w:t>
      </w:r>
    </w:p>
    <w:p>
      <w:pPr>
        <w:ind w:left="567" w:right="562"/>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r>
        <w:t>Die beiden Gelenknährstoffe Chondroitin und Glucosamin besitzen synergetische Effekte. Nimmt man sie gemeinsam ein, wirken sie deutlich besser als die Einzelsubstanzen. Ein weiterer Benefit: Mit 1500 mg Glucosaminsulfat und 800 mg Chondroitinsulfat wird der Körper in die Lage versetzt, verstärkt Hyaluronsäure zu produzieren - den Hauptbestandteil der Gelenkschmiere. So müssen sich Arthrosegeplagte nicht mehr synthetisch hergestellte Hyaluronsäure vom Orthopäden etwa ins Knie spritzen lassen. Damit ersparen sie sich das Risiko einer Gelenkinfektion, das mit den Injektionen verbunden ist.</w:t>
      </w:r>
    </w:p>
    <w:p>
      <w:r/>
    </w:p>
    <w:p>
      <w:pPr>
        <w:rPr>
          <w:b/>
          <w:bCs/>
        </w:rPr>
      </w:pPr>
      <w:r>
        <w:br w:type="page"/>
      </w:r>
      <w:r>
        <w:rPr>
          <w:b/>
          <w:bCs/>
        </w:rPr>
        <w:t>Dosierung</w:t>
      </w:r>
    </w:p>
    <w:p>
      <w:r>
        <w:t>Aufgrund der Studienergebnisse raten Experten dazu, täglich 10 Gramm Kollagen-Hydrolysat einzunehmen. Bei dieser Dosis verbesserte sich die Gelenkbeweglichkeit, die Schmerzen nahmen ab. Bei niedrigeren Dosierungen ist der Erfolg unsicher.</w:t>
      </w:r>
    </w:p>
    <w:p>
      <w:pPr>
        <w:pStyle w:val="para3"/>
        <w:numPr>
          <w:ilvl w:val="2"/>
          <w:numId w:val="1"/>
        </w:numPr>
        <w:ind w:left="720" w:hanging="720"/>
      </w:pPr>
      <w:bookmarkStart w:id="275" w:name="_TOC000314"/>
      <w:r>
        <w:t>Mentaltraining und Heilung</w:t>
      </w:r>
      <w:bookmarkEnd w:id="275"/>
      <w:r/>
    </w:p>
    <w:p>
      <w:pPr>
        <w:rPr>
          <w:sz w:val="18"/>
          <w:szCs w:val="18"/>
        </w:rPr>
      </w:pPr>
      <w:r>
        <w:rPr>
          <w:sz w:val="18"/>
          <w:szCs w:val="18"/>
        </w:rPr>
        <w:t>Quelle: Rundmails von Dr. Feil im Rahmen der Knorpel- und Knochenkur</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rPr>
          <w:b/>
          <w:bCs/>
        </w:rPr>
        <w:t>Ich möchte Sie heute in die Welt der Kommunikation mitnehmen.</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Wir gehen „ganz tief rein“ ...</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bis auf die Zellebene!</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Forscher sind heute in der Lage, Frequenzmuster, die im Hirn erzeugt werden, bestimmten Gedanken zuzuordnen.</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Selbst Maschinen können heute – zumindest im Laborversuch – mithilfe von Gedanken gesteuert werden.</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Wenn Sie so wollen, sind Ihre Zellen ebenfalls kleine Maschinen, die gesteuert von (größtenteils unbewussten) Hirnfrequenzen ihre Arbeit verrichten.</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Die Zellmembranen und Chromosomen dienen dabei als eine Art Antennen.</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Sie nehmen die Schwingungen auf und übersetzen sie in einen „Arbeitsauftrag“.</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Wenn Sie also ständig Stress, Sorgen und Ängsten ausgesetzt sind, kann sich das auch auf die Arbeit Ihrer Zellen übertragen.</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Im Umkehrschluss funktioniert das aber natürlich genauso gut:</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Sie können durch ein positives Gedankenumfeld Ihre Selbstheilungskräfte aktivieren.</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Keine Sorge: Ich möchte nicht, dass Sie ab sofort nur noch positiv denken und dann ist alles gut.</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Das wäre zu einfach und zu kurz gedacht!</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Sie sollen vielmehr Ihrem Körper helfen, die biochemischen Prozesse, die wir mit der Ernährung, den Nährstoffen und der Bewegung anstoßen, in Gang zu halten.</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Dazu ist es hilfreich, wenn Sie sich Ihren Körper wieder als „voll funktionstüchtige Maschine“ vorstellen.</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Also so, wie er vor der Erkrankung war.</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Gesund und fit.</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Machen Sie dazu einfach täglich, wann immer es passt, die folgende Übung:</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Setzen Sie sich bequem hin</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 Sie dürfen auch liegen –</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und malen Sie sich vor Ihrem inneren Auge aus, wie Sie völlig ohne Schmerzen oder Bewegungseinschränkungen Ihrer Lieblingsbeschäftigung nachgehen.</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Erfreuen Sie sich daran, wie viel Spaß es macht!</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Fühlen Sie die Freude!</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Halten Sie dieses Gefühl so lange in Ihrem Bewusstsein, wie es geht, auch wenn Sie dann wieder die Augen öffnen und Ihrer täglichen Beschäftigung nachgehen.</w:t>
      </w:r>
    </w:p>
    <w:p>
      <w:pPr>
        <w:ind w:left="227" w:right="222"/>
        <w:spacing w:after="80" w:line="240" w:lineRule="auto"/>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Natürlich wird es nicht über Nacht eine Verbesserung geben.</w:t>
      </w:r>
    </w:p>
    <w:p>
      <w:pPr>
        <w:ind w:left="227" w:right="222"/>
        <w:spacing w:after="80" w:line="240" w:lineRule="auto"/>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Diese Übung erfordert ein wenig Geduld von Ihnen.</w:t>
      </w:r>
      <w:r>
        <w:rPr>
          <w:b/>
          <w:bCs/>
          <w:color w:val="007f7f"/>
        </w:rPr>
        <w:tab/>
      </w:r>
      <w:r>
        <w:rPr>
          <w:sz w:val="18"/>
          <w:szCs w:val="18"/>
        </w:rPr>
        <w:t xml:space="preserve">weiter </w:t>
      </w:r>
      <w:r/>
      <w:r>
        <w:rPr>
          <w:noProof/>
        </w:rPr>
        <w:drawing>
          <wp:inline distT="0" distB="0" distL="0" distR="0">
            <wp:extent cx="1562100" cy="101600"/>
            <wp:effectExtent l="0" t="0" r="0" b="0"/>
            <wp:docPr id="36" name="Grafik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Grafik151"/>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JBgAAB6IAAAAAAAAAAAAAAQAAAAAAAAAAAAAAAQAAAAAAAAAAAAAAnAkAAKAAAAAAAAAAAAAAAAAAAAAoAAAACAAAAAEAAAABAAAAMAAAABQAAAAAAAAAAAD//wAAAQAAAP//AAABAA=="/>
                        </a:ext>
                      </a:extLst>
                    </pic:cNvPicPr>
                  </pic:nvPicPr>
                  <pic:blipFill>
                    <a:blip r:embed="rId66"/>
                    <a:stretch>
                      <a:fillRect/>
                    </a:stretch>
                  </pic:blipFill>
                  <pic:spPr>
                    <a:xfrm>
                      <a:off x="0" y="0"/>
                      <a:ext cx="1562100" cy="101600"/>
                    </a:xfrm>
                    <a:prstGeom prst="rect">
                      <a:avLst/>
                    </a:prstGeom>
                    <a:noFill/>
                    <a:ln w="12700">
                      <a:noFill/>
                    </a:ln>
                  </pic:spPr>
                </pic:pic>
              </a:graphicData>
            </a:graphic>
          </wp:inline>
        </w:drawing>
      </w:r>
      <w:r/>
    </w:p>
    <w:p>
      <w:pPr>
        <w:ind w:left="227" w:right="222"/>
        <w:spacing w:after="80" w:line="240" w:lineRule="auto"/>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rPr>
          <w:b/>
          <w:bCs/>
        </w:rPr>
      </w:pPr>
      <w:r/>
      <w:bookmarkStart w:id="276" w:name="_TOC000253"/>
      <w:r/>
      <w:bookmarkStart w:id="277" w:name="_TOC000177"/>
      <w:r/>
      <w:bookmarkEnd w:id="277"/>
      <w:r/>
      <w:bookmarkStart w:id="278" w:name="_TOC000180"/>
      <w:r/>
      <w:r>
        <w:rPr>
          <w:b/>
          <w:bCs/>
        </w:rPr>
        <w:t>Wissens sie, was Sie denken?</w:t>
      </w:r>
      <w:r>
        <w:rPr>
          <w:b/>
          <w:bCs/>
        </w:rPr>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Zugegeben, der Einstieg heute ist etwas provokant ...</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Aber wissen Sie wirklich, was Sie den ganzen Tag denken?</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Ich sagte es gestern bereits:</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Sie sollen nicht ständig „positiv denken“ und alles wird gut.</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Ein klein wenig „Gedankenhygiene“ kann dennoch Wunder wirken.</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Neurologen haben längst bewiesen, dass die Art, wie wir mit uns selbst umgehen, Einfluss auf unser Leben hat.</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Sollten Sie also zu Sorgen oder Selbstvorwürfen neigen, möchte ich Sie einladen, diese Gedanken loszulassen.</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Dazu können Sie das Folgende ausprobieren:</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Schreiben Sie Ihre Ängste und Sorgen auf einen Zettel.</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Seien Sie dabei ruhig detailliert!</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Dann versehen Sie den Zettel mit dem aktuellen Datum und deponieren ihn an einem sicheren Ort.</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Warten Sie drei Monate und holen Sie dann den Zettel wieder hervor.</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Wir können natürlich nicht in die Zukunft schauen.</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Aus der Forschung wissen wir aber, dass sich gut über 90% (!) aller Sorgen und Ängste vollständig in Luft auflösen.</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Probieren Sie es gerne aus!</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Und achten Sie bitte nicht nur auf Ihre Gedanken, sondern auch auf Ihre Sprache.</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Viele Menschen haben sich Sprachmuster angeeignet, die alles andere als gesundheitsfördernd sind.</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Einen guten Freund würden Sie ja auch nicht dauernd beschimpfen.</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Wenn Sie ganz bewusst auf Ihre Worte achten, werden Sie feststellen, dass wir oft unbedacht Dinge sagen, die wir nicht so meinen.</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Im Sinne Ihrer Gesundheit sollten Sie auf eine gewisse „Sprachhygiene“ achten und „Kraftausdrücke“ und negative Sätze einfach weniger benutzen.</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Das gilt übrigens auch für Ihre Körpersprache.</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Schauen Sie hin und wieder mal in einen Spiegel und lächeln Sie sich an!</w:t>
      </w:r>
    </w:p>
    <w:p>
      <w:pPr>
        <w:ind w:left="170"/>
        <w:spacing/>
        <w:jc w:val="left"/>
        <w:pBdr>
          <w:top w:val="single" w:sz="48" w:space="3" w:color="007F7F" tmln="120, 20, 20, 0, 60"/>
          <w:left w:val="single" w:sz="48" w:space="3" w:color="007F7F" tmln="120, 20, 20, 0, 60"/>
          <w:bottom w:val="single" w:sz="48" w:space="3" w:color="007F7F" tmln="120, 20, 20, 0, 60"/>
          <w:right w:val="single" w:sz="48" w:space="3" w:color="007F7F" tmln="120, 20, 20, 0, 60"/>
          <w:between w:val="nil" w:sz="0" w:space="0" w:color="000000" tmln="20, 20, 20, 0, 0"/>
        </w:pBdr>
        <w:shd w:val="none"/>
      </w:pPr>
      <w:r>
        <w:t>Das wirkt positiv auf Ihre Stimmung und fällt auch anderen auf.</w:t>
      </w:r>
    </w:p>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sz w:val="18"/>
          <w:szCs w:val="20"/>
          <w:u w:color="auto" w:val="single"/>
        </w:rPr>
      </w:pPr>
      <w:hyperlink r:id="rId102" w:history="1">
        <w:r>
          <w:rPr>
            <w:rStyle w:val="char20"/>
            <w:rFonts w:eastAsia="Basic Roman"/>
            <w:kern w:val="1"/>
            <w:sz w:val="18"/>
            <w:szCs w:val="20"/>
          </w:rPr>
          <w:t>https://sportaerztezeitung.com/rubriken/therapie/16590/</w:t>
          <w:fldChar w:fldCharType="begin"/>
          <w:instrText xml:space="preserve">XE "Arthrose" \G </w:instrText>
          <w:fldChar w:fldCharType="end"/>
          <w:t>arthrose-ist-heilbar/</w:t>
        </w:r>
      </w:hyperlink>
    </w:p>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8"/>
          <w:szCs w:val="24"/>
        </w:rPr>
      </w:pPr>
      <w:r>
        <w:rPr>
          <w:color w:val="000000"/>
          <w:sz w:val="18"/>
          <w:szCs w:val="24"/>
        </w:rPr>
      </w:r>
    </w:p>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sz w:val="18"/>
          <w:szCs w:val="20"/>
          <w:u w:color="auto" w:val="single"/>
        </w:rPr>
      </w:pPr>
      <w:hyperlink r:id="rId103" w:history="1">
        <w:r>
          <w:rPr>
            <w:rStyle w:val="char20"/>
            <w:rFonts w:eastAsia="Basic Roman"/>
            <w:kern w:val="1"/>
            <w:sz w:val="18"/>
            <w:szCs w:val="20"/>
          </w:rPr>
          <w:t>https://sportaerztezeitung.com/rubriken/therapie/19614/neues-aus-der-arthroseforschung/</w:t>
        </w:r>
      </w:hyperlink>
    </w:p>
    <w:p>
      <w:pPr>
        <w:spacing w:after="0" w:line="240" w:lineRule="auto"/>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sz w:val="18"/>
          <w:szCs w:val="20"/>
          <w:u w:color="auto" w:val="single"/>
        </w:rPr>
      </w:pPr>
      <w:r>
        <w:rPr>
          <w:rFonts w:eastAsia="Basic Roman"/>
          <w:color w:val="0000ff"/>
          <w:kern w:val="1"/>
          <w:sz w:val="18"/>
          <w:szCs w:val="20"/>
          <w:u w:color="auto" w:val="single"/>
        </w:rPr>
      </w:r>
    </w:p>
    <w:p>
      <w:pPr>
        <w:spacing/>
        <w:jc w:val="left"/>
        <w:rPr>
          <w:rFonts w:ascii="Arial" w:hAnsi="Arial" w:eastAsia="Basic Roman"/>
          <w:color w:val="0000ff"/>
          <w:kern w:val="1"/>
          <w:sz w:val="24"/>
          <w:szCs w:val="20"/>
          <w:u w:color="auto" w:val="single"/>
        </w:rPr>
      </w:pPr>
      <w:r>
        <w:t xml:space="preserve">Interview mit Dr. Feil: „Knorpel wächst nach! Dr. Feil erklärt wie!“, ca. 1 Stunde: </w:t>
      </w:r>
      <w:hyperlink r:id="rId104" w:history="1">
        <w:r>
          <w:rPr>
            <w:rStyle w:val="char20"/>
            <w:rFonts w:ascii="Arial" w:hAnsi="Arial" w:eastAsia="Basic Roman"/>
            <w:kern w:val="1"/>
            <w:sz w:val="24"/>
            <w:szCs w:val="20"/>
          </w:rPr>
          <w:t>https://youtu.be/wA5KRtmmC3w</w:t>
        </w:r>
      </w:hyperlink>
    </w:p>
    <w:p>
      <w:r/>
    </w:p>
    <w:p>
      <w:pPr>
        <w:pStyle w:val="para2"/>
        <w:numPr>
          <w:ilvl w:val="1"/>
          <w:numId w:val="1"/>
        </w:numPr>
        <w:ind w:left="576" w:hanging="576"/>
      </w:pPr>
      <w:r>
        <w:br w:type="page"/>
      </w:r>
      <w:bookmarkStart w:id="279" w:name="_TOC000315"/>
      <w:r>
        <w:t xml:space="preserve">Ernährung bei </w:t>
        <w:fldChar w:fldCharType="begin"/>
        <w:instrText xml:space="preserve">XE "Gicht" \G </w:instrText>
        <w:fldChar w:fldCharType="end"/>
        <w:t xml:space="preserve">Gicht: Diese Kost dämmt die </w:t>
        <w:fldChar w:fldCharType="begin"/>
        <w:instrText xml:space="preserve">XE "Harnsäure" \G </w:instrText>
        <w:fldChar w:fldCharType="end"/>
        <w:t>Harnsäure ein</w:t>
      </w:r>
      <w:bookmarkEnd w:id="278"/>
      <w:r/>
      <w:bookmarkEnd w:id="276"/>
      <w:r/>
      <w:bookmarkEnd w:id="279"/>
      <w:r/>
    </w:p>
    <w:p>
      <w:r>
        <w:t xml:space="preserve">Wer </w:t>
        <w:fldChar w:fldCharType="begin"/>
        <w:instrText xml:space="preserve">XE "Gicht" \G </w:instrText>
        <w:fldChar w:fldCharType="end"/>
        <w:t xml:space="preserve">Gicht erfolgreich ausbremsen will, muss sein Augenmerk auf Nahrungspurine richten, die vor allem in Lebensmitteln wie Fleisch, Fisch und Meeresfrüchten stecken. Diese Zellbestandteile werden im Körper zu </w:t>
        <w:fldChar w:fldCharType="begin"/>
        <w:instrText xml:space="preserve">XE "Harnsäure" \G </w:instrText>
        <w:fldChar w:fldCharType="end"/>
        <w:t>Harnsäure verstoffwechselt. Steigt die Harnsäurekonzentration im Blut über einen bestimmten Wert, kann das bei Menschen mit Anfälligkeit Schmerzattacken in den Gelenken auslösen. Leider fehlen auf den Lebensmittelverpackungen Angaben zum Puringehalt.</w:t>
      </w:r>
    </w:p>
    <w:p>
      <w:r>
        <w:t>Betroffene tun sich deshalb oft schwer, sich zu schützen. Zudem zählt nicht nur die Menge an gichtfördernden Quälstoffen, die ein Nahrungsmittel enthält, sondern auch die Portionsgröße.</w:t>
      </w:r>
    </w:p>
    <w:p>
      <w:r>
        <w:t xml:space="preserve">Hinzu kommt: </w:t>
        <w:fldChar w:fldCharType="begin"/>
        <w:instrText xml:space="preserve">XE "Harnsäure" \G </w:instrText>
        <w:fldChar w:fldCharType="end"/>
        <w:t xml:space="preserve">Harnsäure entsteht aus vier Purinbasen (Adenin, Guanin, Hypoxanthin, Xanthin), deren Gehalt je nach Lebensmittel variiert. Am stärksten harnsäurebildend wirken Hypoxanthin und Adenin. Im Vergleich zu pflanzlichen Purinquellen wie etwa Hülsenfrüchten enthalten Fleisch und Fisch mehr von diesen beiden Purinbasen. Ohnehin sind die meisten pflanzlichen Lebensmittel purinfrei oder purinarm. Außerdem liefern sie </w:t>
        <w:fldChar w:fldCharType="begin"/>
        <w:instrText xml:space="preserve">XE "Antioxidantien" \G </w:instrText>
        <w:fldChar w:fldCharType="end"/>
        <w:t xml:space="preserve">Antioxidantien wie Vitamin C oder Betacarotin, die dazu beitragen, Entzündungen zu lindern. Wer eine Neigung zu </w:t>
        <w:fldChar w:fldCharType="begin"/>
        <w:instrText xml:space="preserve">XE "Gicht" \G </w:instrText>
        <w:fldChar w:fldCharType="end"/>
        <w:t xml:space="preserve">Gicht hat, sollte demnach bei Gemüse, Obst, Blattsalaten und Getreideprodukten tüchtig zugreifen. Ganz oben auf die Einkaufsliste gehören auch Milch, Käse oder Naturjoghurt sowie Eier. Die weitgehend purinfreien </w:t>
        <w:fldChar w:fldCharType="begin"/>
        <w:instrText xml:space="preserve">XE "Milchprodukte" \G </w:instrText>
        <w:fldChar w:fldCharType="end"/>
        <w:t xml:space="preserve">Milchprodukte punkten nicht nur mit wertvollem </w:t>
        <w:fldChar w:fldCharType="begin"/>
        <w:instrText xml:space="preserve">XE "Eiweiß" \G </w:instrText>
        <w:fldChar w:fldCharType="end"/>
        <w:t xml:space="preserve">Eiweiß, sie fördern sogar die Ausscheidung von </w:t>
        <w:fldChar w:fldCharType="begin"/>
        <w:instrText xml:space="preserve">XE "Harnsäure" \G </w:instrText>
        <w:fldChar w:fldCharType="end"/>
        <w:t>Harnsäure. In einer britischen Studie wiesen Veganer sogar höhere Harnsäurewerte im Blut auf als Fleischesser - vermutlich weil sie Milch und Käse verschmähen.</w:t>
      </w:r>
    </w:p>
    <w:p>
      <w:r>
        <w:t>Besonders viele Purine stecken in zellreichen Geweben wie Bries, Leber, Niere und anderen Innereien. Haut von Fisch, Geflügel oder Schwein enthält ebenfalls viele Quälstoffe. Leider besonders schmerzträchtig ist die Kombination von Schlemmerlebensmitteln und Alkohol, speziell von purinreichem Bier. Zudem hemmt der Alkohol die Harnsäureausscheidung durch die Nieren.</w:t>
      </w:r>
    </w:p>
    <w:p>
      <w:r>
        <w:t>Aber auch Menschen mit Gichtanfälligkeit müssen nicht völlig auf leckeres Hähnchencurry oder Calamari verzichten. Für Genuss ohne Reue hilft es schon, mageres Fleisch oder Meeresfrüchte nur gelegentlich aufzutischen, die Portionen überschaubar zu halten und den Großteil des Tellers für purinarme Sattmacher wie Salate, Zucchini oder Tomaten zu reservieren. Ist der Harnsäurewert unter Kontrolle, bereitet auch ein gelegentliches Gläschen Wein keine Probleme.</w:t>
      </w:r>
    </w:p>
    <w:p>
      <w:r>
        <w:t xml:space="preserve">Extrabenefit: Die purinarme Diät hält die Figur auf Linie und die Gelenke schmerzfrei - Übergewicht ist ein klassischer Risikofaktor für </w:t>
        <w:fldChar w:fldCharType="begin"/>
        <w:instrText xml:space="preserve">XE "Gicht" \G </w:instrText>
        <w:fldChar w:fldCharType="end"/>
        <w:t>Gicht.</w:t>
      </w:r>
    </w:p>
    <w:p>
      <w:bookmarkStart w:id="280" w:name="_TOC000181"/>
      <w:r/>
    </w:p>
    <w:p>
      <w:pPr>
        <w:pStyle w:val="para3"/>
        <w:numPr>
          <w:ilvl w:val="2"/>
          <w:numId w:val="1"/>
        </w:numPr>
        <w:ind w:left="720" w:hanging="720"/>
      </w:pPr>
      <w:r>
        <w:br w:type="page"/>
      </w:r>
      <w:bookmarkStart w:id="281" w:name="_TOC000017"/>
      <w:r>
        <w:t>Diese Lebensmittel dürfen Gichtkranke genießen</w:t>
      </w:r>
      <w:bookmarkEnd w:id="280"/>
      <w:r/>
      <w:bookmarkEnd w:id="281"/>
      <w:r/>
    </w:p>
    <w:p>
      <w:pPr>
        <w:pStyle w:val="para17"/>
        <w:numPr>
          <w:ilvl w:val="1"/>
          <w:numId w:val="2"/>
        </w:numPr>
        <w:ind w:left="397" w:hanging="197"/>
      </w:pPr>
      <w:r>
        <w:t>KAFFEE UND TEE</w:t>
      </w:r>
    </w:p>
    <w:p>
      <w:pPr>
        <w:ind w:left="397"/>
      </w:pPr>
      <w:r>
        <w:t xml:space="preserve">Die Purine in Kaffee und Tee werden nicht zu </w:t>
        <w:fldChar w:fldCharType="begin"/>
        <w:instrText xml:space="preserve">XE "Harnsäure" \G </w:instrText>
        <w:fldChar w:fldCharType="end"/>
        <w:t>Harnsäure abgebaut, daher sind diese Getränke harmlos.</w:t>
      </w:r>
    </w:p>
    <w:p>
      <w:pPr>
        <w:pStyle w:val="para17"/>
        <w:numPr>
          <w:ilvl w:val="1"/>
          <w:numId w:val="2"/>
        </w:numPr>
        <w:ind w:left="397" w:hanging="197"/>
      </w:pPr>
      <w:r>
        <w:fldChar w:fldCharType="begin"/>
        <w:instrText xml:space="preserve">XE "Milchprodukte" \G </w:instrText>
        <w:fldChar w:fldCharType="end"/>
        <w:t>MILCHPRODUKTE, EIER, GETREIDE</w:t>
      </w:r>
    </w:p>
    <w:p>
      <w:pPr>
        <w:ind w:left="397"/>
      </w:pPr>
      <w:r>
        <w:t xml:space="preserve">Milch, </w:t>
        <w:fldChar w:fldCharType="begin"/>
        <w:instrText xml:space="preserve">XE "Milchprodukte" \G </w:instrText>
        <w:fldChar w:fldCharType="end"/>
        <w:t>Milchprodukte, Eier und Getreideprodukte zählen zu den purinfreien oder purinarmen Lebensmitteln. Hier dürfen Sie bedenkenlos zugreifen.</w:t>
      </w:r>
    </w:p>
    <w:p>
      <w:pPr>
        <w:pStyle w:val="para17"/>
        <w:numPr>
          <w:ilvl w:val="1"/>
          <w:numId w:val="2"/>
        </w:numPr>
        <w:ind w:left="397" w:hanging="197"/>
      </w:pPr>
      <w:r>
        <w:t>GEMÜSE UND OBST</w:t>
      </w:r>
    </w:p>
    <w:p>
      <w:pPr>
        <w:ind w:left="397"/>
      </w:pPr>
      <w:r>
        <w:t xml:space="preserve">Manche Kohlgemüse wie Blumenkohl, Brokkoli, Rosenkohl und Spinat enthalten Purin, wenn auch weniger als Fleisch. Ob sie das Risiko für </w:t>
        <w:fldChar w:fldCharType="begin"/>
        <w:instrText xml:space="preserve">XE "Gicht" \G </w:instrText>
        <w:fldChar w:fldCharType="end"/>
        <w:t>Gicht tatsächlich erhöhen, ist umstritten. Bedenkenlos zugreifen dürfen Sie bei frischem Obst (außer Honigmelonen), Blattsalaten und Gemüse wie Kartoffeln, Paprika, Fenchel, Möhren, Tomaten, Zucchini, Auberginen, Weißkohl.</w:t>
      </w:r>
    </w:p>
    <w:p>
      <w:pPr>
        <w:pStyle w:val="para17"/>
        <w:numPr>
          <w:ilvl w:val="1"/>
          <w:numId w:val="2"/>
        </w:numPr>
        <w:ind w:left="397" w:hanging="197"/>
      </w:pPr>
      <w:r>
        <w:t>VIEL TRINKEN!</w:t>
      </w:r>
    </w:p>
    <w:p>
      <w:pPr>
        <w:ind w:left="397"/>
      </w:pPr>
      <w:r>
        <w:t xml:space="preserve">Wichtig für Gichtgefährdete: mindestens 2 Liter Flüssigkeit täglich trinken. Das hilft, die </w:t>
        <w:fldChar w:fldCharType="begin"/>
        <w:instrText xml:space="preserve">XE "Harnsäure" \G </w:instrText>
        <w:fldChar w:fldCharType="end"/>
        <w:t>Harnsäure auszuschwemmen. Im Akutfall dürfen es auch 3 Liter sein.</w:t>
      </w:r>
    </w:p>
    <w:p>
      <w:pPr>
        <w:pStyle w:val="para3"/>
        <w:numPr>
          <w:ilvl w:val="2"/>
          <w:numId w:val="1"/>
        </w:numPr>
        <w:ind w:left="720" w:hanging="720"/>
      </w:pPr>
      <w:bookmarkStart w:id="282" w:name="_TOC000182"/>
      <w:r>
        <w:t>Diese Lebensmittel sollten Gichtkranke möglichst meiden</w:t>
      </w:r>
      <w:bookmarkEnd w:id="282"/>
      <w:r/>
    </w:p>
    <w:p>
      <w:pPr>
        <w:pStyle w:val="para17"/>
        <w:numPr>
          <w:ilvl w:val="1"/>
          <w:numId w:val="2"/>
        </w:numPr>
        <w:ind w:left="397" w:hanging="197"/>
      </w:pPr>
      <w:r>
        <w:t>FLEISCH</w:t>
      </w:r>
    </w:p>
    <w:p>
      <w:pPr>
        <w:ind w:left="397"/>
      </w:pPr>
      <w:r>
        <w:t xml:space="preserve">Den Großteil der Purine, etwa 60 %, nehmen wir mit Erzeugnissen aus Rind, Schwein und Geflügel auf. (Deswegen sind Vegetarier mit </w:t>
        <w:fldChar w:fldCharType="begin"/>
        <w:instrText xml:space="preserve">XE "Gicht" \G </w:instrText>
        <w:fldChar w:fldCharType="end"/>
        <w:t>Gicht eine Seltenheit.) Besonders gichtfördernd sind Innereien. Am besten essen Sie nicht mehr als 100 Gramm Fleisch oder Wurst täglich.</w:t>
      </w:r>
    </w:p>
    <w:p>
      <w:pPr>
        <w:pStyle w:val="para17"/>
        <w:numPr>
          <w:ilvl w:val="1"/>
          <w:numId w:val="2"/>
        </w:numPr>
        <w:ind w:left="397" w:hanging="197"/>
      </w:pPr>
      <w:r>
        <w:t>FISCH UND MEERESFRÜCHTE</w:t>
      </w:r>
    </w:p>
    <w:p>
      <w:pPr>
        <w:ind w:left="397"/>
      </w:pPr>
      <w:r>
        <w:t xml:space="preserve">Fettfische wie Lachs, Hering und Sardelle sollten Sie bei </w:t>
        <w:fldChar w:fldCharType="begin"/>
        <w:instrText xml:space="preserve">XE "Gicht" \G </w:instrText>
        <w:fldChar w:fldCharType="end"/>
        <w:t>Gicht besser meiden. Auch Meeresfrüchte sollten nur in Ausnahmefällen auf den Tisch kommen.</w:t>
      </w:r>
    </w:p>
    <w:p>
      <w:pPr>
        <w:pStyle w:val="para17"/>
        <w:numPr>
          <w:ilvl w:val="1"/>
          <w:numId w:val="2"/>
        </w:numPr>
        <w:ind w:left="397" w:hanging="197"/>
      </w:pPr>
      <w:r>
        <w:t>HÜLSENFRÜCHTE</w:t>
      </w:r>
    </w:p>
    <w:p>
      <w:pPr>
        <w:ind w:left="397"/>
      </w:pPr>
      <w:r>
        <w:t>Bei einer purinarmen Kost gilt es, mit Linsen, Bohnen und Erbsen besser zu geizen. Lediglich bis zu 100 Gramm am Tag, Gewicht in gegartem Zustand, gelten als gut verträglich.</w:t>
      </w:r>
    </w:p>
    <w:p>
      <w:pPr>
        <w:pStyle w:val="para17"/>
        <w:numPr>
          <w:ilvl w:val="1"/>
          <w:numId w:val="2"/>
        </w:numPr>
        <w:ind w:left="397" w:hanging="197"/>
      </w:pPr>
      <w:r>
        <w:t>ALKOHOL</w:t>
      </w:r>
    </w:p>
    <w:p>
      <w:pPr>
        <w:ind w:left="397"/>
      </w:pPr>
      <w:r>
        <w:t xml:space="preserve">Alkohol hemmt die Ausscheidung von </w:t>
        <w:fldChar w:fldCharType="begin"/>
        <w:instrText xml:space="preserve">XE "Harnsäure" \G </w:instrText>
        <w:fldChar w:fldCharType="end"/>
        <w:t xml:space="preserve">Harnsäure und steigert das Risiko, </w:t>
        <w:fldChar w:fldCharType="begin"/>
        <w:instrText xml:space="preserve">XE "Gicht" \G </w:instrText>
        <w:fldChar w:fldCharType="end"/>
        <w:t>Gicht zu entwickeln, um das Zwei- bis Dreifache. Besonders gilt das für Bier, speziell Hefeweizen und ähnliche Sorten, die überdies noch viel Purin enthalten.</w:t>
      </w:r>
    </w:p>
    <w:p>
      <w:pPr>
        <w:pStyle w:val="para17"/>
        <w:numPr>
          <w:ilvl w:val="1"/>
          <w:numId w:val="2"/>
        </w:numPr>
        <w:ind w:left="397" w:hanging="197"/>
      </w:pPr>
      <w:r>
        <w:t>FRUCHTZUCKER</w:t>
      </w:r>
    </w:p>
    <w:p>
      <w:pPr>
        <w:ind w:left="397"/>
      </w:pPr>
      <w:r>
        <w:t xml:space="preserve">Fruktose erhöht den Harnsäurewert drastisch. Bereits ein einziger gesüßter Softdrink täglich steigert das Gichtrisiko bei Gesunden um 45 %. Fruchtzucker wird Limonaden, Süßwaren und Gebäck zugesetzt. Enorme Mengen stecken auch in Obstsäften und getrockneten Früchten. Obstsäfte und mit Fruktose gesüßte Softdrinks verdoppeln das Gichtrisiko, weil der Abbau von Fruktose die Purinbildung verstärkt. Gleichzeitig hemmt der Zucker die Ausscheidung der </w:t>
        <w:fldChar w:fldCharType="begin"/>
        <w:instrText xml:space="preserve">XE "Harnsäure" \G </w:instrText>
        <w:fldChar w:fldCharType="end"/>
        <w:t>Harnsäure über die Nieren.</w:t>
      </w:r>
    </w:p>
    <w:p>
      <w:r>
        <w:t xml:space="preserve">Genau genommen bildet der Organismus zwei Drittel der </w:t>
        <w:fldChar w:fldCharType="begin"/>
        <w:instrText xml:space="preserve">XE "Harnsäure" \G </w:instrText>
        <w:fldChar w:fldCharType="end"/>
        <w:t>Harnsäure selbst. Doch bei Menschen mit Gichtgenen produzieren purinreiche Lebensmittel den Tropfen, der das Harnsäurefass zum Überlaufen bringt.</w:t>
      </w:r>
    </w:p>
    <w:p>
      <w:pPr>
        <w:pStyle w:val="para3"/>
        <w:numPr>
          <w:ilvl w:val="2"/>
          <w:numId w:val="1"/>
        </w:numPr>
        <w:ind w:left="720" w:hanging="720"/>
      </w:pPr>
      <w:bookmarkStart w:id="283" w:name="_TOC000183"/>
      <w:r>
        <w:t>Purin in Lebensmitteln</w:t>
      </w:r>
      <w:bookmarkEnd w:id="283"/>
      <w:r/>
    </w:p>
    <w:p>
      <w:r>
        <w:t xml:space="preserve">Wer eine purinarme Diät hält, sollte nicht mehr als 500 mg </w:t>
        <w:fldChar w:fldCharType="begin"/>
        <w:instrText xml:space="preserve">XE "Harnsäure" \G </w:instrText>
        <w:fldChar w:fldCharType="end"/>
        <w:t xml:space="preserve">Harnsäure täglich oder maximal 3000 mg </w:t>
        <w:fldChar w:fldCharType="begin"/>
        <w:instrText xml:space="preserve">XE "Harnsäure" \G </w:instrText>
        <w:fldChar w:fldCharType="end"/>
        <w:t>Harnsäure pro Woche zu sich nehmen. Das entspricht rund 200 beziehungsweise 1250 mg Purin.</w:t>
      </w:r>
    </w:p>
    <w:p>
      <w:r>
        <w:t xml:space="preserve">Muss während eines akuten Gichtanfalls eine streng purinarme Kost eingehalten werden, liegt der Grenzwert bei maximal 300 mg </w:t>
        <w:fldChar w:fldCharType="begin"/>
        <w:instrText xml:space="preserve">XE "Harnsäure" \G </w:instrText>
        <w:fldChar w:fldCharType="end"/>
        <w:t>Harnsäure pro Tag beziehungsweise bei maximal 2000 mg pro Woche. Das entspricht etwa 120 beziehungsweise 830 mg Purin.</w:t>
      </w:r>
    </w:p>
    <w:p>
      <w:r>
        <w:t xml:space="preserve">In der folgenden Tabelle finden Sie eine Übersicht über den Puringehalt ausgewählter Lebensmittel. Zudem ist aufgeführt, wie viel </w:t>
        <w:fldChar w:fldCharType="begin"/>
        <w:instrText xml:space="preserve">XE "Harnsäure" \G </w:instrText>
        <w:fldChar w:fldCharType="end"/>
        <w:t xml:space="preserve">Harnsäure aus den Purinen jeweils gebildet wird: Aus 1 mg Purin entstehen etwa 2,4 mg </w:t>
        <w:fldChar w:fldCharType="begin"/>
        <w:instrText xml:space="preserve">XE "Harnsäure" \G </w:instrText>
        <w:fldChar w:fldCharType="end"/>
        <w:t>Harnsäure.</w:t>
      </w:r>
    </w:p>
    <w:p>
      <w:r/>
    </w:p>
    <w:tbl>
      <w:tblPr>
        <w:tblStyle w:val="TableGrid"/>
        <w:name w:val="Tabelle6"/>
        <w:tabOrder w:val="0"/>
        <w:jc w:val="left"/>
        <w:tblInd w:w="0" w:type="dxa"/>
        <w:tblW w:w="7015" w:type="dxa"/>
        <w:pPr>
          <w:spacing/>
          <w:jc w:val="left"/>
        </w:pPr>
        <w:tblLook w:val="04A0" w:firstRow="1" w:lastRow="0" w:firstColumn="1" w:lastColumn="0" w:noHBand="0" w:noVBand="1"/>
      </w:tblPr>
      <w:tblGrid>
        <w:gridCol w:w="3613"/>
        <w:gridCol w:w="1701"/>
        <w:gridCol w:w="1701"/>
      </w:tblGrid>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Lebensmittel (jeweils 100 Gramm)</w:t>
            </w:r>
          </w:p>
        </w:tc>
        <w:tc>
          <w:tcPr>
            <w:tcW w:w="1701" w:type="dxa"/>
            <w:tcMar>
              <w:top w:w="113" w:type="dxa"/>
              <w:left w:w="113" w:type="dxa"/>
              <w:bottom w:w="113" w:type="dxa"/>
              <w:right w:w="113" w:type="dxa"/>
            </w:tcMar>
            <w:tmTcPr id="1766737683" protected="0"/>
          </w:tcPr>
          <w:p>
            <w:pPr>
              <w:spacing/>
              <w:jc w:val="center"/>
            </w:pPr>
            <w:r>
              <w:t xml:space="preserve">Puringehalt </w:t>
              <w:br w:type="textWrapping"/>
              <w:t>(in mg)</w:t>
            </w:r>
          </w:p>
        </w:tc>
        <w:tc>
          <w:tcPr>
            <w:tcW w:w="1701" w:type="dxa"/>
            <w:tcMar>
              <w:top w:w="113" w:type="dxa"/>
              <w:left w:w="113" w:type="dxa"/>
              <w:bottom w:w="113" w:type="dxa"/>
              <w:right w:w="113" w:type="dxa"/>
            </w:tcMar>
            <w:tmTcPr id="1766737683" protected="0"/>
          </w:tcPr>
          <w:p>
            <w:pPr>
              <w:spacing/>
              <w:jc w:val="center"/>
            </w:pPr>
            <w:r>
              <w:t xml:space="preserve">gebildete </w:t>
              <w:fldChar w:fldCharType="begin"/>
              <w:instrText xml:space="preserve">XE "Harnsäure" \G </w:instrText>
              <w:fldChar w:fldCharType="end"/>
              <w:t xml:space="preserve">Harnsäure </w:t>
              <w:br w:type="textWrapping"/>
              <w:t>(in mg)</w:t>
            </w:r>
          </w:p>
        </w:tc>
      </w:tr>
      <w:tr>
        <w:trPr>
          <w:tblHeader w:val="0"/>
          <w:cantSplit w:val="0"/>
          <w:trHeight w:val="0" w:hRule="auto"/>
        </w:trPr>
        <w:tc>
          <w:tcPr>
            <w:tcW w:w="7015" w:type="dxa"/>
            <w:gridSpan w:val="3"/>
            <w:tcMar>
              <w:top w:w="113" w:type="dxa"/>
              <w:left w:w="113" w:type="dxa"/>
              <w:bottom w:w="113" w:type="dxa"/>
              <w:right w:w="113" w:type="dxa"/>
            </w:tcMar>
            <w:tmTcPr id="1766737683" protected="0"/>
          </w:tcPr>
          <w:p>
            <w:pPr>
              <w:spacing/>
              <w:jc w:val="center"/>
              <w:rPr>
                <w:b/>
                <w:bCs/>
              </w:rPr>
            </w:pPr>
            <w:r>
              <w:rPr>
                <w:b/>
                <w:bCs/>
              </w:rPr>
              <w:t>purinarm</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Milch, Quark, Joghurt</w:t>
            </w:r>
          </w:p>
        </w:tc>
        <w:tc>
          <w:tcPr>
            <w:tcW w:w="1701" w:type="dxa"/>
            <w:tcMar>
              <w:top w:w="113" w:type="dxa"/>
              <w:left w:w="113" w:type="dxa"/>
              <w:bottom w:w="113" w:type="dxa"/>
              <w:right w:w="113" w:type="dxa"/>
            </w:tcMar>
            <w:tmTcPr id="1766737683" protected="0"/>
          </w:tcPr>
          <w:p>
            <w:pPr>
              <w:spacing/>
              <w:jc w:val="center"/>
            </w:pPr>
            <w:r>
              <w:t>0</w:t>
            </w:r>
          </w:p>
        </w:tc>
        <w:tc>
          <w:tcPr>
            <w:tcW w:w="1701" w:type="dxa"/>
            <w:tcMar>
              <w:top w:w="113" w:type="dxa"/>
              <w:left w:w="113" w:type="dxa"/>
              <w:bottom w:w="113" w:type="dxa"/>
              <w:right w:w="113" w:type="dxa"/>
            </w:tcMar>
            <w:tmTcPr id="1766737683" protected="0"/>
          </w:tcPr>
          <w:p>
            <w:pPr>
              <w:spacing/>
              <w:jc w:val="center"/>
            </w:pPr>
            <w:r>
              <w:t>0</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Eier</w:t>
            </w:r>
          </w:p>
        </w:tc>
        <w:tc>
          <w:tcPr>
            <w:tcW w:w="1701" w:type="dxa"/>
            <w:tcMar>
              <w:top w:w="113" w:type="dxa"/>
              <w:left w:w="113" w:type="dxa"/>
              <w:bottom w:w="113" w:type="dxa"/>
              <w:right w:w="113" w:type="dxa"/>
            </w:tcMar>
            <w:tmTcPr id="1766737683" protected="0"/>
          </w:tcPr>
          <w:p>
            <w:pPr>
              <w:spacing/>
              <w:jc w:val="center"/>
            </w:pPr>
            <w:r>
              <w:t>2</w:t>
            </w:r>
          </w:p>
        </w:tc>
        <w:tc>
          <w:tcPr>
            <w:tcW w:w="1701" w:type="dxa"/>
            <w:tcMar>
              <w:top w:w="113" w:type="dxa"/>
              <w:left w:w="113" w:type="dxa"/>
              <w:bottom w:w="113" w:type="dxa"/>
              <w:right w:w="113" w:type="dxa"/>
            </w:tcMar>
            <w:tmTcPr id="1766737683" protected="0"/>
          </w:tcPr>
          <w:p>
            <w:pPr>
              <w:spacing/>
              <w:jc w:val="center"/>
            </w:pPr>
            <w:r>
              <w:t>5</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Bier</w:t>
            </w:r>
          </w:p>
        </w:tc>
        <w:tc>
          <w:tcPr>
            <w:tcW w:w="1701" w:type="dxa"/>
            <w:tcMar>
              <w:top w:w="113" w:type="dxa"/>
              <w:left w:w="113" w:type="dxa"/>
              <w:bottom w:w="113" w:type="dxa"/>
              <w:right w:w="113" w:type="dxa"/>
            </w:tcMar>
            <w:tmTcPr id="1766737683" protected="0"/>
          </w:tcPr>
          <w:p>
            <w:pPr>
              <w:spacing/>
              <w:jc w:val="center"/>
            </w:pPr>
            <w:r>
              <w:t>3-6</w:t>
            </w:r>
          </w:p>
        </w:tc>
        <w:tc>
          <w:tcPr>
            <w:tcW w:w="1701" w:type="dxa"/>
            <w:tcMar>
              <w:top w:w="113" w:type="dxa"/>
              <w:left w:w="113" w:type="dxa"/>
              <w:bottom w:w="113" w:type="dxa"/>
              <w:right w:w="113" w:type="dxa"/>
            </w:tcMar>
            <w:tmTcPr id="1766737683" protected="0"/>
          </w:tcPr>
          <w:p>
            <w:pPr>
              <w:spacing/>
              <w:jc w:val="center"/>
            </w:pPr>
            <w:r>
              <w:t>8-14</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Tomaten, Paprikaschoten, Salat</w:t>
            </w:r>
          </w:p>
        </w:tc>
        <w:tc>
          <w:tcPr>
            <w:tcW w:w="1701" w:type="dxa"/>
            <w:tcMar>
              <w:top w:w="113" w:type="dxa"/>
              <w:left w:w="113" w:type="dxa"/>
              <w:bottom w:w="113" w:type="dxa"/>
              <w:right w:w="113" w:type="dxa"/>
            </w:tcMar>
            <w:tmTcPr id="1766737683" protected="0"/>
          </w:tcPr>
          <w:p>
            <w:pPr>
              <w:spacing/>
              <w:jc w:val="center"/>
            </w:pPr>
            <w:r>
              <w:t>4</w:t>
            </w:r>
          </w:p>
        </w:tc>
        <w:tc>
          <w:tcPr>
            <w:tcW w:w="1701" w:type="dxa"/>
            <w:tcMar>
              <w:top w:w="113" w:type="dxa"/>
              <w:left w:w="113" w:type="dxa"/>
              <w:bottom w:w="113" w:type="dxa"/>
              <w:right w:w="113" w:type="dxa"/>
            </w:tcMar>
            <w:tmTcPr id="1766737683" protected="0"/>
          </w:tcPr>
          <w:p>
            <w:pPr>
              <w:spacing/>
              <w:jc w:val="center"/>
            </w:pPr>
            <w:r>
              <w:t>10</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Hartkäse</w:t>
            </w:r>
          </w:p>
        </w:tc>
        <w:tc>
          <w:tcPr>
            <w:tcW w:w="1701" w:type="dxa"/>
            <w:tcMar>
              <w:top w:w="113" w:type="dxa"/>
              <w:left w:w="113" w:type="dxa"/>
              <w:bottom w:w="113" w:type="dxa"/>
              <w:right w:w="113" w:type="dxa"/>
            </w:tcMar>
            <w:tmTcPr id="1766737683" protected="0"/>
          </w:tcPr>
          <w:p>
            <w:pPr>
              <w:spacing/>
              <w:jc w:val="center"/>
            </w:pPr>
            <w:r>
              <w:t>4-7</w:t>
            </w:r>
          </w:p>
        </w:tc>
        <w:tc>
          <w:tcPr>
            <w:tcW w:w="1701" w:type="dxa"/>
            <w:tcMar>
              <w:top w:w="113" w:type="dxa"/>
              <w:left w:w="113" w:type="dxa"/>
              <w:bottom w:w="113" w:type="dxa"/>
              <w:right w:w="113" w:type="dxa"/>
            </w:tcMar>
            <w:tmTcPr id="1766737683" protected="0"/>
          </w:tcPr>
          <w:p>
            <w:pPr>
              <w:spacing/>
              <w:jc w:val="center"/>
            </w:pPr>
            <w:r>
              <w:t>10-16</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Kartoffeln, Möhren</w:t>
            </w:r>
          </w:p>
        </w:tc>
        <w:tc>
          <w:tcPr>
            <w:tcW w:w="1701" w:type="dxa"/>
            <w:tcMar>
              <w:top w:w="113" w:type="dxa"/>
              <w:left w:w="113" w:type="dxa"/>
              <w:bottom w:w="113" w:type="dxa"/>
              <w:right w:w="113" w:type="dxa"/>
            </w:tcMar>
            <w:tmTcPr id="1766737683" protected="0"/>
          </w:tcPr>
          <w:p>
            <w:pPr>
              <w:spacing/>
              <w:jc w:val="center"/>
            </w:pPr>
            <w:r>
              <w:t>6</w:t>
            </w:r>
          </w:p>
        </w:tc>
        <w:tc>
          <w:tcPr>
            <w:tcW w:w="1701" w:type="dxa"/>
            <w:tcMar>
              <w:top w:w="113" w:type="dxa"/>
              <w:left w:w="113" w:type="dxa"/>
              <w:bottom w:w="113" w:type="dxa"/>
              <w:right w:w="113" w:type="dxa"/>
            </w:tcMar>
            <w:tmTcPr id="1766737683" protected="0"/>
          </w:tcPr>
          <w:p>
            <w:pPr>
              <w:spacing/>
              <w:jc w:val="center"/>
            </w:pPr>
            <w:r>
              <w:t>15</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Obst</w:t>
            </w:r>
          </w:p>
        </w:tc>
        <w:tc>
          <w:tcPr>
            <w:tcW w:w="1701" w:type="dxa"/>
            <w:tcMar>
              <w:top w:w="113" w:type="dxa"/>
              <w:left w:w="113" w:type="dxa"/>
              <w:bottom w:w="113" w:type="dxa"/>
              <w:right w:w="113" w:type="dxa"/>
            </w:tcMar>
            <w:tmTcPr id="1766737683" protected="0"/>
          </w:tcPr>
          <w:p>
            <w:pPr>
              <w:spacing/>
              <w:jc w:val="center"/>
            </w:pPr>
            <w:r>
              <w:t>6-13</w:t>
            </w:r>
          </w:p>
        </w:tc>
        <w:tc>
          <w:tcPr>
            <w:tcW w:w="1701" w:type="dxa"/>
            <w:tcMar>
              <w:top w:w="113" w:type="dxa"/>
              <w:left w:w="113" w:type="dxa"/>
              <w:bottom w:w="113" w:type="dxa"/>
              <w:right w:w="113" w:type="dxa"/>
            </w:tcMar>
            <w:tmTcPr id="1766737683" protected="0"/>
          </w:tcPr>
          <w:p>
            <w:pPr>
              <w:spacing/>
              <w:jc w:val="center"/>
            </w:pPr>
            <w:r>
              <w:t>15-30</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Nudeln, gekocht</w:t>
            </w:r>
          </w:p>
        </w:tc>
        <w:tc>
          <w:tcPr>
            <w:tcW w:w="1701" w:type="dxa"/>
            <w:tcMar>
              <w:top w:w="113" w:type="dxa"/>
              <w:left w:w="113" w:type="dxa"/>
              <w:bottom w:w="113" w:type="dxa"/>
              <w:right w:w="113" w:type="dxa"/>
            </w:tcMar>
            <w:tmTcPr id="1766737683" protected="0"/>
          </w:tcPr>
          <w:p>
            <w:pPr>
              <w:spacing/>
              <w:jc w:val="center"/>
            </w:pPr>
            <w:r>
              <w:t>9 - 14</w:t>
            </w:r>
          </w:p>
        </w:tc>
        <w:tc>
          <w:tcPr>
            <w:tcW w:w="1701" w:type="dxa"/>
            <w:tcMar>
              <w:top w:w="113" w:type="dxa"/>
              <w:left w:w="113" w:type="dxa"/>
              <w:bottom w:w="113" w:type="dxa"/>
              <w:right w:w="113" w:type="dxa"/>
            </w:tcMar>
            <w:tmTcPr id="1766737683" protected="0"/>
          </w:tcPr>
          <w:p>
            <w:pPr>
              <w:spacing/>
              <w:jc w:val="center"/>
            </w:pPr>
            <w:r>
              <w:t>21 - 34</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Walnüsse</w:t>
            </w:r>
          </w:p>
        </w:tc>
        <w:tc>
          <w:tcPr>
            <w:tcW w:w="1701" w:type="dxa"/>
            <w:tcMar>
              <w:top w:w="113" w:type="dxa"/>
              <w:left w:w="113" w:type="dxa"/>
              <w:bottom w:w="113" w:type="dxa"/>
              <w:right w:w="113" w:type="dxa"/>
            </w:tcMar>
            <w:tmTcPr id="1766737683" protected="0"/>
          </w:tcPr>
          <w:p>
            <w:pPr>
              <w:spacing/>
              <w:jc w:val="center"/>
            </w:pPr>
            <w:r>
              <w:t>10</w:t>
            </w:r>
          </w:p>
        </w:tc>
        <w:tc>
          <w:tcPr>
            <w:tcW w:w="1701" w:type="dxa"/>
            <w:tcMar>
              <w:top w:w="113" w:type="dxa"/>
              <w:left w:w="113" w:type="dxa"/>
              <w:bottom w:w="113" w:type="dxa"/>
              <w:right w:w="113" w:type="dxa"/>
            </w:tcMar>
            <w:tmTcPr id="1766737683" protected="0"/>
          </w:tcPr>
          <w:p>
            <w:pPr>
              <w:spacing/>
              <w:jc w:val="center"/>
            </w:pPr>
            <w:r>
              <w:t>25</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Reis, gegart</w:t>
            </w:r>
          </w:p>
        </w:tc>
        <w:tc>
          <w:tcPr>
            <w:tcW w:w="1701" w:type="dxa"/>
            <w:tcMar>
              <w:top w:w="113" w:type="dxa"/>
              <w:left w:w="113" w:type="dxa"/>
              <w:bottom w:w="113" w:type="dxa"/>
              <w:right w:w="113" w:type="dxa"/>
            </w:tcMar>
            <w:tmTcPr id="1766737683" protected="0"/>
          </w:tcPr>
          <w:p>
            <w:pPr>
              <w:spacing/>
              <w:jc w:val="center"/>
            </w:pPr>
            <w:r>
              <w:t>13</w:t>
            </w:r>
          </w:p>
        </w:tc>
        <w:tc>
          <w:tcPr>
            <w:tcW w:w="1701" w:type="dxa"/>
            <w:tcMar>
              <w:top w:w="113" w:type="dxa"/>
              <w:left w:w="113" w:type="dxa"/>
              <w:bottom w:w="113" w:type="dxa"/>
              <w:right w:w="113" w:type="dxa"/>
            </w:tcMar>
            <w:tmTcPr id="1766737683" protected="0"/>
          </w:tcPr>
          <w:p>
            <w:pPr>
              <w:spacing/>
              <w:jc w:val="center"/>
            </w:pPr>
            <w:r>
              <w:t>32</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Weizenmehl</w:t>
            </w:r>
          </w:p>
        </w:tc>
        <w:tc>
          <w:tcPr>
            <w:tcW w:w="1701" w:type="dxa"/>
            <w:tcMar>
              <w:top w:w="113" w:type="dxa"/>
              <w:left w:w="113" w:type="dxa"/>
              <w:bottom w:w="113" w:type="dxa"/>
              <w:right w:w="113" w:type="dxa"/>
            </w:tcMar>
            <w:tmTcPr id="1766737683" protected="0"/>
          </w:tcPr>
          <w:p>
            <w:pPr>
              <w:spacing/>
              <w:jc w:val="center"/>
            </w:pPr>
            <w:r>
              <w:t>17</w:t>
            </w:r>
          </w:p>
        </w:tc>
        <w:tc>
          <w:tcPr>
            <w:tcW w:w="1701" w:type="dxa"/>
            <w:tcMar>
              <w:top w:w="113" w:type="dxa"/>
              <w:left w:w="113" w:type="dxa"/>
              <w:bottom w:w="113" w:type="dxa"/>
              <w:right w:w="113" w:type="dxa"/>
            </w:tcMar>
            <w:tmTcPr id="1766737683" protected="0"/>
          </w:tcPr>
          <w:p>
            <w:pPr>
              <w:spacing/>
              <w:jc w:val="center"/>
            </w:pPr>
            <w:r>
              <w:t>40</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Kohlgemüse</w:t>
            </w:r>
          </w:p>
        </w:tc>
        <w:tc>
          <w:tcPr>
            <w:tcW w:w="1701" w:type="dxa"/>
            <w:tcMar>
              <w:top w:w="113" w:type="dxa"/>
              <w:left w:w="113" w:type="dxa"/>
              <w:bottom w:w="113" w:type="dxa"/>
              <w:right w:w="113" w:type="dxa"/>
            </w:tcMar>
            <w:tmTcPr id="1766737683" protected="0"/>
          </w:tcPr>
          <w:p>
            <w:pPr>
              <w:spacing/>
              <w:jc w:val="center"/>
            </w:pPr>
            <w:r>
              <w:t>17-21</w:t>
            </w:r>
          </w:p>
        </w:tc>
        <w:tc>
          <w:tcPr>
            <w:tcW w:w="1701" w:type="dxa"/>
            <w:tcMar>
              <w:top w:w="113" w:type="dxa"/>
              <w:left w:w="113" w:type="dxa"/>
              <w:bottom w:w="113" w:type="dxa"/>
              <w:right w:w="113" w:type="dxa"/>
            </w:tcMar>
            <w:tmTcPr id="1766737683" protected="0"/>
          </w:tcPr>
          <w:p>
            <w:pPr>
              <w:spacing/>
              <w:jc w:val="center"/>
            </w:pPr>
            <w:r>
              <w:t>40-50</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Weißbrot</w:t>
            </w:r>
          </w:p>
        </w:tc>
        <w:tc>
          <w:tcPr>
            <w:tcW w:w="1701" w:type="dxa"/>
            <w:tcMar>
              <w:top w:w="113" w:type="dxa"/>
              <w:left w:w="113" w:type="dxa"/>
              <w:bottom w:w="113" w:type="dxa"/>
              <w:right w:w="113" w:type="dxa"/>
            </w:tcMar>
            <w:tmTcPr id="1766737683" protected="0"/>
          </w:tcPr>
          <w:p>
            <w:pPr>
              <w:spacing/>
              <w:jc w:val="center"/>
            </w:pPr>
            <w:r>
              <w:t>18</w:t>
            </w:r>
          </w:p>
        </w:tc>
        <w:tc>
          <w:tcPr>
            <w:tcW w:w="1701" w:type="dxa"/>
            <w:tcMar>
              <w:top w:w="113" w:type="dxa"/>
              <w:left w:w="113" w:type="dxa"/>
              <w:bottom w:w="113" w:type="dxa"/>
              <w:right w:w="113" w:type="dxa"/>
            </w:tcMar>
            <w:tmTcPr id="1766737683" protected="0"/>
          </w:tcPr>
          <w:p>
            <w:pPr>
              <w:spacing/>
              <w:jc w:val="center"/>
            </w:pPr>
            <w:r>
              <w:t>42</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Äpfel, getrocknet</w:t>
            </w:r>
          </w:p>
        </w:tc>
        <w:tc>
          <w:tcPr>
            <w:tcW w:w="1701" w:type="dxa"/>
            <w:tcMar>
              <w:top w:w="113" w:type="dxa"/>
              <w:left w:w="113" w:type="dxa"/>
              <w:bottom w:w="113" w:type="dxa"/>
              <w:right w:w="113" w:type="dxa"/>
            </w:tcMar>
            <w:tmTcPr id="1766737683" protected="0"/>
          </w:tcPr>
          <w:p>
            <w:pPr>
              <w:spacing/>
              <w:jc w:val="center"/>
            </w:pPr>
            <w:r>
              <w:t>33</w:t>
            </w:r>
          </w:p>
        </w:tc>
        <w:tc>
          <w:tcPr>
            <w:tcW w:w="1701" w:type="dxa"/>
            <w:tcMar>
              <w:top w:w="113" w:type="dxa"/>
              <w:left w:w="113" w:type="dxa"/>
              <w:bottom w:w="113" w:type="dxa"/>
              <w:right w:w="113" w:type="dxa"/>
            </w:tcMar>
            <w:tmTcPr id="1766737683" protected="0"/>
          </w:tcPr>
          <w:p>
            <w:pPr>
              <w:spacing/>
              <w:jc w:val="center"/>
            </w:pPr>
            <w:r>
              <w:t>80</w:t>
            </w:r>
          </w:p>
        </w:tc>
      </w:tr>
    </w:tbl>
    <w:p>
      <w:r/>
    </w:p>
    <w:p>
      <w:r>
        <w:br w:type="page"/>
      </w:r>
    </w:p>
    <w:tbl>
      <w:tblPr>
        <w:tblStyle w:val="TableGrid"/>
        <w:name w:val="Tabelle7"/>
        <w:tabOrder w:val="0"/>
        <w:jc w:val="left"/>
        <w:tblInd w:w="0" w:type="dxa"/>
        <w:tblW w:w="7015" w:type="dxa"/>
        <w:pPr>
          <w:spacing/>
          <w:jc w:val="left"/>
        </w:pPr>
        <w:tblLook w:val="04A0" w:firstRow="1" w:lastRow="0" w:firstColumn="1" w:lastColumn="0" w:noHBand="0" w:noVBand="1"/>
      </w:tblPr>
      <w:tblGrid>
        <w:gridCol w:w="3613"/>
        <w:gridCol w:w="1701"/>
        <w:gridCol w:w="1701"/>
      </w:tblGrid>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Lebensmittel (jeweils 100 Gramm)</w:t>
            </w:r>
          </w:p>
        </w:tc>
        <w:tc>
          <w:tcPr>
            <w:tcW w:w="1701" w:type="dxa"/>
            <w:tcMar>
              <w:top w:w="113" w:type="dxa"/>
              <w:left w:w="113" w:type="dxa"/>
              <w:bottom w:w="113" w:type="dxa"/>
              <w:right w:w="113" w:type="dxa"/>
            </w:tcMar>
            <w:tmTcPr id="1766737683" protected="0"/>
          </w:tcPr>
          <w:p>
            <w:pPr>
              <w:spacing/>
              <w:jc w:val="center"/>
            </w:pPr>
            <w:r>
              <w:t xml:space="preserve">Puringehalt </w:t>
              <w:br w:type="textWrapping"/>
              <w:t>(in mg)</w:t>
            </w:r>
          </w:p>
        </w:tc>
        <w:tc>
          <w:tcPr>
            <w:tcW w:w="1701" w:type="dxa"/>
            <w:tcMar>
              <w:top w:w="113" w:type="dxa"/>
              <w:left w:w="113" w:type="dxa"/>
              <w:bottom w:w="113" w:type="dxa"/>
              <w:right w:w="113" w:type="dxa"/>
            </w:tcMar>
            <w:tmTcPr id="1766737683" protected="0"/>
          </w:tcPr>
          <w:p>
            <w:pPr>
              <w:spacing/>
              <w:jc w:val="center"/>
            </w:pPr>
            <w:r>
              <w:t xml:space="preserve">gebildete </w:t>
              <w:fldChar w:fldCharType="begin"/>
              <w:instrText xml:space="preserve">XE "Harnsäure" \G </w:instrText>
              <w:fldChar w:fldCharType="end"/>
              <w:t xml:space="preserve">Harnsäure </w:t>
              <w:br w:type="textWrapping"/>
              <w:t>(in mg)</w:t>
            </w:r>
          </w:p>
        </w:tc>
      </w:tr>
      <w:tr>
        <w:trPr>
          <w:tblHeader w:val="0"/>
          <w:cantSplit w:val="0"/>
          <w:trHeight w:val="0" w:hRule="auto"/>
        </w:trPr>
        <w:tc>
          <w:tcPr>
            <w:tcW w:w="7015" w:type="dxa"/>
            <w:gridSpan w:val="3"/>
            <w:tcMar>
              <w:top w:w="113" w:type="dxa"/>
              <w:left w:w="113" w:type="dxa"/>
              <w:bottom w:w="113" w:type="dxa"/>
              <w:right w:w="113" w:type="dxa"/>
            </w:tcMar>
            <w:tmTcPr id="1766737683" protected="0"/>
          </w:tcPr>
          <w:p>
            <w:pPr>
              <w:spacing/>
              <w:jc w:val="center"/>
            </w:pPr>
            <w:r>
              <w:rPr>
                <w:b/>
                <w:bCs/>
              </w:rPr>
              <w:t>mittlerer Puringehalt</w:t>
            </w:r>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Aprikosen, getrocknet</w:t>
            </w:r>
          </w:p>
        </w:tc>
        <w:tc>
          <w:tcPr>
            <w:tcW w:w="1701" w:type="dxa"/>
            <w:tcMar>
              <w:top w:w="113" w:type="dxa"/>
              <w:left w:w="113" w:type="dxa"/>
              <w:bottom w:w="113" w:type="dxa"/>
              <w:right w:w="113" w:type="dxa"/>
            </w:tcMar>
            <w:tmTcPr id="1766737683" protected="0"/>
          </w:tcPr>
          <w:p>
            <w:pPr>
              <w:spacing/>
              <w:jc w:val="center"/>
            </w:pPr>
            <w:r>
              <w:t>48</w:t>
            </w:r>
          </w:p>
        </w:tc>
        <w:tc>
          <w:tcPr>
            <w:tcW w:w="1701" w:type="dxa"/>
            <w:tcMar>
              <w:top w:w="113" w:type="dxa"/>
              <w:left w:w="113" w:type="dxa"/>
              <w:bottom w:w="113" w:type="dxa"/>
              <w:right w:w="113" w:type="dxa"/>
            </w:tcMar>
            <w:tmTcPr id="1766737683" protected="0"/>
          </w:tcPr>
          <w:p>
            <w:pPr>
              <w:spacing/>
              <w:jc w:val="center"/>
            </w:pPr>
            <w:r>
              <w:t>118</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Putenschnitzel</w:t>
            </w:r>
          </w:p>
        </w:tc>
        <w:tc>
          <w:tcPr>
            <w:tcW w:w="1701" w:type="dxa"/>
            <w:tcMar>
              <w:top w:w="113" w:type="dxa"/>
              <w:left w:w="113" w:type="dxa"/>
              <w:bottom w:w="113" w:type="dxa"/>
              <w:right w:w="113" w:type="dxa"/>
            </w:tcMar>
            <w:tmTcPr id="1766737683" protected="0"/>
          </w:tcPr>
          <w:p>
            <w:pPr>
              <w:spacing/>
              <w:jc w:val="center"/>
            </w:pPr>
            <w:r>
              <w:t>50</w:t>
            </w:r>
          </w:p>
        </w:tc>
        <w:tc>
          <w:tcPr>
            <w:tcW w:w="1701" w:type="dxa"/>
            <w:tcMar>
              <w:top w:w="113" w:type="dxa"/>
              <w:left w:w="113" w:type="dxa"/>
              <w:bottom w:w="113" w:type="dxa"/>
              <w:right w:w="113" w:type="dxa"/>
            </w:tcMar>
            <w:tmTcPr id="1766737683" protected="0"/>
          </w:tcPr>
          <w:p>
            <w:pPr>
              <w:spacing/>
              <w:jc w:val="center"/>
            </w:pPr>
            <w:r>
              <w:t>120</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Hähnchenbrustfilet, frisch</w:t>
            </w:r>
          </w:p>
        </w:tc>
        <w:tc>
          <w:tcPr>
            <w:tcW w:w="1701" w:type="dxa"/>
            <w:tcMar>
              <w:top w:w="113" w:type="dxa"/>
              <w:left w:w="113" w:type="dxa"/>
              <w:bottom w:w="113" w:type="dxa"/>
              <w:right w:w="113" w:type="dxa"/>
            </w:tcMar>
            <w:tmTcPr id="1766737683" protected="0"/>
          </w:tcPr>
          <w:p>
            <w:pPr>
              <w:spacing/>
              <w:jc w:val="center"/>
            </w:pPr>
            <w:r>
              <w:t>50</w:t>
            </w:r>
          </w:p>
        </w:tc>
        <w:tc>
          <w:tcPr>
            <w:tcW w:w="1701" w:type="dxa"/>
            <w:tcMar>
              <w:top w:w="113" w:type="dxa"/>
              <w:left w:w="113" w:type="dxa"/>
              <w:bottom w:w="113" w:type="dxa"/>
              <w:right w:w="113" w:type="dxa"/>
            </w:tcMar>
            <w:tmTcPr id="1766737683" protected="0"/>
          </w:tcPr>
          <w:p>
            <w:pPr>
              <w:spacing/>
              <w:jc w:val="center"/>
            </w:pPr>
            <w:r>
              <w:t>120</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Haferflocken</w:t>
            </w:r>
          </w:p>
        </w:tc>
        <w:tc>
          <w:tcPr>
            <w:tcW w:w="1701" w:type="dxa"/>
            <w:tcMar>
              <w:top w:w="113" w:type="dxa"/>
              <w:left w:w="113" w:type="dxa"/>
              <w:bottom w:w="113" w:type="dxa"/>
              <w:right w:w="113" w:type="dxa"/>
            </w:tcMar>
            <w:tmTcPr id="1766737683" protected="0"/>
          </w:tcPr>
          <w:p>
            <w:pPr>
              <w:spacing/>
              <w:jc w:val="center"/>
            </w:pPr>
            <w:r>
              <w:t>52</w:t>
            </w:r>
          </w:p>
        </w:tc>
        <w:tc>
          <w:tcPr>
            <w:tcW w:w="1701" w:type="dxa"/>
            <w:tcMar>
              <w:top w:w="113" w:type="dxa"/>
              <w:left w:w="113" w:type="dxa"/>
              <w:bottom w:w="113" w:type="dxa"/>
              <w:right w:w="113" w:type="dxa"/>
            </w:tcMar>
            <w:tmTcPr id="1766737683" protected="0"/>
          </w:tcPr>
          <w:p>
            <w:pPr>
              <w:spacing/>
              <w:jc w:val="center"/>
            </w:pPr>
            <w:r>
              <w:t>100</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Wurst (Aufschnitt)</w:t>
            </w:r>
          </w:p>
        </w:tc>
        <w:tc>
          <w:tcPr>
            <w:tcW w:w="1701" w:type="dxa"/>
            <w:tcMar>
              <w:top w:w="113" w:type="dxa"/>
              <w:left w:w="113" w:type="dxa"/>
              <w:bottom w:w="113" w:type="dxa"/>
              <w:right w:w="113" w:type="dxa"/>
            </w:tcMar>
            <w:tmTcPr id="1766737683" protected="0"/>
          </w:tcPr>
          <w:p>
            <w:pPr>
              <w:spacing/>
              <w:jc w:val="center"/>
            </w:pPr>
            <w:r>
              <w:t>52-54</w:t>
            </w:r>
          </w:p>
        </w:tc>
        <w:tc>
          <w:tcPr>
            <w:tcW w:w="1701" w:type="dxa"/>
            <w:tcMar>
              <w:top w:w="113" w:type="dxa"/>
              <w:left w:w="113" w:type="dxa"/>
              <w:bottom w:w="113" w:type="dxa"/>
              <w:right w:w="113" w:type="dxa"/>
            </w:tcMar>
            <w:tmTcPr id="1766737683" protected="0"/>
          </w:tcPr>
          <w:p>
            <w:pPr>
              <w:spacing/>
              <w:jc w:val="center"/>
            </w:pPr>
            <w:r>
              <w:t>100-130</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Kabeljau, Zander</w:t>
            </w:r>
          </w:p>
        </w:tc>
        <w:tc>
          <w:tcPr>
            <w:tcW w:w="1701" w:type="dxa"/>
            <w:tcMar>
              <w:top w:w="113" w:type="dxa"/>
              <w:left w:w="113" w:type="dxa"/>
              <w:bottom w:w="113" w:type="dxa"/>
              <w:right w:w="113" w:type="dxa"/>
            </w:tcMar>
            <w:tmTcPr id="1766737683" protected="0"/>
          </w:tcPr>
          <w:p>
            <w:pPr>
              <w:spacing/>
              <w:jc w:val="center"/>
            </w:pPr>
            <w:r>
              <w:t>53</w:t>
            </w:r>
          </w:p>
        </w:tc>
        <w:tc>
          <w:tcPr>
            <w:tcW w:w="1701" w:type="dxa"/>
            <w:tcMar>
              <w:top w:w="113" w:type="dxa"/>
              <w:left w:w="113" w:type="dxa"/>
              <w:bottom w:w="113" w:type="dxa"/>
              <w:right w:w="113" w:type="dxa"/>
            </w:tcMar>
            <w:tmTcPr id="1766737683" protected="0"/>
          </w:tcPr>
          <w:p>
            <w:pPr>
              <w:spacing/>
              <w:jc w:val="center"/>
            </w:pPr>
            <w:r>
              <w:t>128</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Bratwurst</w:t>
            </w:r>
          </w:p>
        </w:tc>
        <w:tc>
          <w:tcPr>
            <w:tcW w:w="1701" w:type="dxa"/>
            <w:tcMar>
              <w:top w:w="113" w:type="dxa"/>
              <w:left w:w="113" w:type="dxa"/>
              <w:bottom w:w="113" w:type="dxa"/>
              <w:right w:w="113" w:type="dxa"/>
            </w:tcMar>
            <w:tmTcPr id="1766737683" protected="0"/>
          </w:tcPr>
          <w:p>
            <w:pPr>
              <w:spacing/>
              <w:jc w:val="center"/>
            </w:pPr>
            <w:r>
              <w:t>54</w:t>
            </w:r>
          </w:p>
        </w:tc>
        <w:tc>
          <w:tcPr>
            <w:tcW w:w="1701" w:type="dxa"/>
            <w:tcMar>
              <w:top w:w="113" w:type="dxa"/>
              <w:left w:w="113" w:type="dxa"/>
              <w:bottom w:w="113" w:type="dxa"/>
              <w:right w:w="113" w:type="dxa"/>
            </w:tcMar>
            <w:tmTcPr id="1766737683" protected="0"/>
          </w:tcPr>
          <w:p>
            <w:pPr>
              <w:spacing/>
              <w:jc w:val="center"/>
            </w:pPr>
            <w:r>
              <w:t>130</w:t>
            </w:r>
          </w:p>
        </w:tc>
      </w:tr>
      <w:tr>
        <w:trPr>
          <w:tblHeader w:val="0"/>
          <w:cantSplit w:val="0"/>
          <w:trHeight w:val="0" w:hRule="auto"/>
        </w:trPr>
        <w:tc>
          <w:tcPr>
            <w:tcW w:w="7015" w:type="dxa"/>
            <w:gridSpan w:val="3"/>
            <w:tcMar>
              <w:top w:w="113" w:type="dxa"/>
              <w:left w:w="113" w:type="dxa"/>
              <w:bottom w:w="113" w:type="dxa"/>
              <w:right w:w="113" w:type="dxa"/>
            </w:tcMar>
            <w:tmTcPr id="1766737683" protected="0"/>
          </w:tcPr>
          <w:p>
            <w:pPr>
              <w:spacing/>
              <w:jc w:val="center"/>
              <w:rPr>
                <w:b/>
                <w:bCs/>
              </w:rPr>
            </w:pPr>
            <w:r>
              <w:rPr>
                <w:b/>
                <w:bCs/>
              </w:rPr>
              <w:t>purinreich</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Fleisch (Schwein, Rind, Kalb), mager, frisch</w:t>
            </w:r>
          </w:p>
        </w:tc>
        <w:tc>
          <w:tcPr>
            <w:tcW w:w="1701" w:type="dxa"/>
            <w:tcMar>
              <w:top w:w="113" w:type="dxa"/>
              <w:left w:w="113" w:type="dxa"/>
              <w:bottom w:w="113" w:type="dxa"/>
              <w:right w:w="113" w:type="dxa"/>
            </w:tcMar>
            <w:tmTcPr id="1766737683" protected="0"/>
          </w:tcPr>
          <w:p>
            <w:pPr>
              <w:spacing/>
              <w:jc w:val="center"/>
            </w:pPr>
            <w:r>
              <w:t>63</w:t>
            </w:r>
          </w:p>
        </w:tc>
        <w:tc>
          <w:tcPr>
            <w:tcW w:w="1701" w:type="dxa"/>
            <w:tcMar>
              <w:top w:w="113" w:type="dxa"/>
              <w:left w:w="113" w:type="dxa"/>
              <w:bottom w:w="113" w:type="dxa"/>
              <w:right w:w="113" w:type="dxa"/>
            </w:tcMar>
            <w:tmTcPr id="1766737683" protected="0"/>
          </w:tcPr>
          <w:p>
            <w:pPr>
              <w:spacing/>
              <w:jc w:val="center"/>
            </w:pPr>
            <w:r>
              <w:t>150</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Makrele</w:t>
            </w:r>
          </w:p>
        </w:tc>
        <w:tc>
          <w:tcPr>
            <w:tcW w:w="1701" w:type="dxa"/>
            <w:tcMar>
              <w:top w:w="113" w:type="dxa"/>
              <w:left w:w="113" w:type="dxa"/>
              <w:bottom w:w="113" w:type="dxa"/>
              <w:right w:w="113" w:type="dxa"/>
            </w:tcMar>
            <w:tmTcPr id="1766737683" protected="0"/>
          </w:tcPr>
          <w:p>
            <w:pPr>
              <w:spacing/>
              <w:jc w:val="center"/>
            </w:pPr>
            <w:r>
              <w:t>68</w:t>
            </w:r>
          </w:p>
        </w:tc>
        <w:tc>
          <w:tcPr>
            <w:tcW w:w="1701" w:type="dxa"/>
            <w:tcMar>
              <w:top w:w="113" w:type="dxa"/>
              <w:left w:w="113" w:type="dxa"/>
              <w:bottom w:w="113" w:type="dxa"/>
              <w:right w:w="113" w:type="dxa"/>
            </w:tcMar>
            <w:tmTcPr id="1766737683" protected="0"/>
          </w:tcPr>
          <w:p>
            <w:pPr>
              <w:spacing/>
              <w:jc w:val="center"/>
            </w:pPr>
            <w:r>
              <w:t>164</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Lachs</w:t>
            </w:r>
          </w:p>
        </w:tc>
        <w:tc>
          <w:tcPr>
            <w:tcW w:w="1701" w:type="dxa"/>
            <w:tcMar>
              <w:top w:w="113" w:type="dxa"/>
              <w:left w:w="113" w:type="dxa"/>
              <w:bottom w:w="113" w:type="dxa"/>
              <w:right w:w="113" w:type="dxa"/>
            </w:tcMar>
            <w:tmTcPr id="1766737683" protected="0"/>
          </w:tcPr>
          <w:p>
            <w:pPr>
              <w:spacing/>
              <w:jc w:val="center"/>
            </w:pPr>
            <w:r>
              <w:t>75</w:t>
            </w:r>
          </w:p>
        </w:tc>
        <w:tc>
          <w:tcPr>
            <w:tcW w:w="1701" w:type="dxa"/>
            <w:tcMar>
              <w:top w:w="113" w:type="dxa"/>
              <w:left w:w="113" w:type="dxa"/>
              <w:bottom w:w="113" w:type="dxa"/>
              <w:right w:w="113" w:type="dxa"/>
            </w:tcMar>
            <w:tmTcPr id="1766737683" protected="0"/>
          </w:tcPr>
          <w:p>
            <w:pPr>
              <w:spacing/>
              <w:jc w:val="center"/>
            </w:pPr>
            <w:r>
              <w:t>180</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Linsen</w:t>
            </w:r>
          </w:p>
        </w:tc>
        <w:tc>
          <w:tcPr>
            <w:tcW w:w="1701" w:type="dxa"/>
            <w:tcMar>
              <w:top w:w="113" w:type="dxa"/>
              <w:left w:w="113" w:type="dxa"/>
              <w:bottom w:w="113" w:type="dxa"/>
              <w:right w:w="113" w:type="dxa"/>
            </w:tcMar>
            <w:tmTcPr id="1766737683" protected="0"/>
          </w:tcPr>
          <w:p>
            <w:pPr>
              <w:spacing/>
              <w:jc w:val="center"/>
            </w:pPr>
            <w:r>
              <w:t>84</w:t>
            </w:r>
          </w:p>
        </w:tc>
        <w:tc>
          <w:tcPr>
            <w:tcW w:w="1701" w:type="dxa"/>
            <w:tcMar>
              <w:top w:w="113" w:type="dxa"/>
              <w:left w:w="113" w:type="dxa"/>
              <w:bottom w:w="113" w:type="dxa"/>
              <w:right w:w="113" w:type="dxa"/>
            </w:tcMar>
            <w:tmTcPr id="1766737683" protected="0"/>
          </w:tcPr>
          <w:p>
            <w:pPr>
              <w:spacing/>
              <w:jc w:val="center"/>
            </w:pPr>
            <w:r>
              <w:t>200</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Schinken</w:t>
            </w:r>
          </w:p>
        </w:tc>
        <w:tc>
          <w:tcPr>
            <w:tcW w:w="1701" w:type="dxa"/>
            <w:tcMar>
              <w:top w:w="113" w:type="dxa"/>
              <w:left w:w="113" w:type="dxa"/>
              <w:bottom w:w="113" w:type="dxa"/>
              <w:right w:w="113" w:type="dxa"/>
            </w:tcMar>
            <w:tmTcPr id="1766737683" protected="0"/>
          </w:tcPr>
          <w:p>
            <w:pPr>
              <w:spacing/>
              <w:jc w:val="center"/>
            </w:pPr>
            <w:r>
              <w:t>84</w:t>
            </w:r>
          </w:p>
        </w:tc>
        <w:tc>
          <w:tcPr>
            <w:tcW w:w="1701" w:type="dxa"/>
            <w:tcMar>
              <w:top w:w="113" w:type="dxa"/>
              <w:left w:w="113" w:type="dxa"/>
              <w:bottom w:w="113" w:type="dxa"/>
              <w:right w:w="113" w:type="dxa"/>
            </w:tcMar>
            <w:tmTcPr id="1766737683" protected="0"/>
          </w:tcPr>
          <w:p>
            <w:pPr>
              <w:spacing/>
              <w:jc w:val="center"/>
            </w:pPr>
            <w:r>
              <w:t>200</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Hering</w:t>
            </w:r>
          </w:p>
        </w:tc>
        <w:tc>
          <w:tcPr>
            <w:tcW w:w="1701" w:type="dxa"/>
            <w:tcMar>
              <w:top w:w="113" w:type="dxa"/>
              <w:left w:w="113" w:type="dxa"/>
              <w:bottom w:w="113" w:type="dxa"/>
              <w:right w:w="113" w:type="dxa"/>
            </w:tcMar>
            <w:tmTcPr id="1766737683" protected="0"/>
          </w:tcPr>
          <w:p>
            <w:pPr>
              <w:spacing/>
              <w:jc w:val="center"/>
            </w:pPr>
            <w:r>
              <w:t>99</w:t>
            </w:r>
          </w:p>
        </w:tc>
        <w:tc>
          <w:tcPr>
            <w:tcW w:w="1701" w:type="dxa"/>
            <w:tcMar>
              <w:top w:w="113" w:type="dxa"/>
              <w:left w:w="113" w:type="dxa"/>
              <w:bottom w:w="113" w:type="dxa"/>
              <w:right w:w="113" w:type="dxa"/>
            </w:tcMar>
            <w:tmTcPr id="1766737683" protected="0"/>
          </w:tcPr>
          <w:p>
            <w:pPr>
              <w:spacing/>
              <w:jc w:val="center"/>
            </w:pPr>
            <w:r>
              <w:t>237</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Ölsardinen</w:t>
            </w:r>
          </w:p>
        </w:tc>
        <w:tc>
          <w:tcPr>
            <w:tcW w:w="1701" w:type="dxa"/>
            <w:tcMar>
              <w:top w:w="113" w:type="dxa"/>
              <w:left w:w="113" w:type="dxa"/>
              <w:bottom w:w="113" w:type="dxa"/>
              <w:right w:w="113" w:type="dxa"/>
            </w:tcMar>
            <w:tmTcPr id="1766737683" protected="0"/>
          </w:tcPr>
          <w:p>
            <w:pPr>
              <w:spacing/>
              <w:jc w:val="center"/>
            </w:pPr>
            <w:r>
              <w:t>133</w:t>
            </w:r>
          </w:p>
        </w:tc>
        <w:tc>
          <w:tcPr>
            <w:tcW w:w="1701" w:type="dxa"/>
            <w:tcMar>
              <w:top w:w="113" w:type="dxa"/>
              <w:left w:w="113" w:type="dxa"/>
              <w:bottom w:w="113" w:type="dxa"/>
              <w:right w:w="113" w:type="dxa"/>
            </w:tcMar>
            <w:tmTcPr id="1766737683" protected="0"/>
          </w:tcPr>
          <w:p>
            <w:pPr>
              <w:spacing/>
              <w:jc w:val="center"/>
            </w:pPr>
            <w:r>
              <w:t>319</w:t>
            </w:r>
          </w:p>
        </w:tc>
      </w:tr>
      <w:tr>
        <w:trPr>
          <w:tblHeader w:val="0"/>
          <w:cantSplit w:val="0"/>
          <w:trHeight w:val="0" w:hRule="auto"/>
        </w:trPr>
        <w:tc>
          <w:tcPr>
            <w:tcW w:w="3613" w:type="dxa"/>
            <w:tcMar>
              <w:top w:w="113" w:type="dxa"/>
              <w:left w:w="113" w:type="dxa"/>
              <w:bottom w:w="113" w:type="dxa"/>
              <w:right w:w="113" w:type="dxa"/>
            </w:tcMar>
            <w:tmTcPr id="1766737683" protected="0"/>
          </w:tcPr>
          <w:p>
            <w:pPr>
              <w:spacing/>
              <w:jc w:val="left"/>
            </w:pPr>
            <w:r>
              <w:t>Hefe</w:t>
            </w:r>
          </w:p>
        </w:tc>
        <w:tc>
          <w:tcPr>
            <w:tcW w:w="1701" w:type="dxa"/>
            <w:tcMar>
              <w:top w:w="113" w:type="dxa"/>
              <w:left w:w="113" w:type="dxa"/>
              <w:bottom w:w="113" w:type="dxa"/>
              <w:right w:w="113" w:type="dxa"/>
            </w:tcMar>
            <w:tmTcPr id="1766737683" protected="0"/>
          </w:tcPr>
          <w:p>
            <w:pPr>
              <w:spacing/>
              <w:jc w:val="center"/>
            </w:pPr>
            <w:r>
              <w:t>283</w:t>
            </w:r>
          </w:p>
        </w:tc>
        <w:tc>
          <w:tcPr>
            <w:tcW w:w="1701" w:type="dxa"/>
            <w:tcMar>
              <w:top w:w="113" w:type="dxa"/>
              <w:left w:w="113" w:type="dxa"/>
              <w:bottom w:w="113" w:type="dxa"/>
              <w:right w:w="113" w:type="dxa"/>
            </w:tcMar>
            <w:tmTcPr id="1766737683" protected="0"/>
          </w:tcPr>
          <w:p>
            <w:pPr>
              <w:spacing/>
              <w:jc w:val="center"/>
            </w:pPr>
            <w:r>
              <w:t>680</w:t>
            </w:r>
          </w:p>
        </w:tc>
      </w:tr>
    </w:tbl>
    <w:p>
      <w:r/>
    </w:p>
    <w:p>
      <w:r/>
    </w:p>
    <w:p>
      <w:pPr>
        <w:pStyle w:val="para1"/>
        <w:numPr>
          <w:ilvl w:val="0"/>
          <w:numId w:val="1"/>
        </w:numPr>
        <w:ind w:left="432" w:hanging="432"/>
      </w:pPr>
      <w:r>
        <w:br w:type="page"/>
      </w:r>
      <w:bookmarkStart w:id="284" w:name="_TOC000071"/>
      <w:r/>
      <w:bookmarkEnd w:id="284"/>
      <w:r/>
      <w:bookmarkStart w:id="285" w:name="_TOC000249"/>
      <w:r>
        <w:t>Die tägliche Salzzufuhr und der Blutdruck</w:t>
      </w:r>
      <w:bookmarkEnd w:id="285"/>
      <w:r/>
    </w:p>
    <w:p>
      <w:pPr>
        <w:rPr>
          <w:sz w:val="18"/>
          <w:szCs w:val="18"/>
        </w:rPr>
      </w:pPr>
      <w:r>
        <w:rPr>
          <w:sz w:val="18"/>
          <w:szCs w:val="18"/>
        </w:rPr>
        <w:t>Quelle: James DiNicolantonio, Der Salz-Irrtum, VAK 2019</w:t>
      </w:r>
    </w:p>
    <w:p>
      <w:r>
        <w:t>Die Salz-Blutdruck-Hypothese wird zwei französischen Wissenschaftlern zugeschrieben, Ambard und Beauchard. Sie entwickelten diese 1904 auf der Grundlage von nur 6 ihrer Patienten.</w:t>
      </w:r>
      <w:r>
        <w:rPr>
          <w:rFonts w:eastAsia="Tahoma" w:cs="Tahoma"/>
          <w:vertAlign w:val="superscript"/>
          <w:lang w:eastAsia="de-de" w:bidi="de-de"/>
        </w:rPr>
      </w:r>
      <w:r>
        <w:rPr>
          <w:rFonts w:eastAsia="Tahoma" w:cs="Tahoma"/>
          <w:vertAlign w:val="superscript"/>
          <w:lang w:eastAsia="de-de" w:bidi="de-de"/>
        </w:rPr>
        <w:footnoteReference w:id="287"/>
      </w:r>
      <w:r>
        <w:t xml:space="preserve"> Als die Wissenschaftler diesen Patienten mehr Salz gaben, stieg deren Blutdruck tendenziell.</w:t>
      </w:r>
    </w:p>
    <w:p>
      <w:r>
        <w:t>Die Hypothese war: Wenn wir Salz essen, bekommen wir auch Durst. Deshalb trinken wir mehr Wasser. Dies führt dazu, dass der Körper das zusätzlich aufgenommene Wasser zurückhält, um die Salzkonzentration im Blut zu verdünnen. Das daraus resultierende höhere Blutvolumen führt dann automatisch zu höherem Blutdruck.</w:t>
      </w:r>
    </w:p>
    <w:p>
      <w:r>
        <w:t>In der medizinischen Literatur gibt es Hinweise, wonach 80 % der Menschen mit normalem Blutdruck (niedriger als 120/80 mm Hg) überhaupt nicht empfindlich auf die blutdrucksteigernde Wirkung von Salz reagieren. Von den Personen mit Prähypertonie (einem Vorläufer von Bluthochdruck) sind ungefähr 75 % nicht salzsensitiv. Und selbst von Personen mit ausgeprägtem Bluthochdruck sind rund 55 % völlig immun gegen die Auswirkungen von Salz auf den Blutdruck.</w:t>
      </w:r>
      <w:r>
        <w:rPr>
          <w:rFonts w:eastAsia="Tahoma" w:cs="Tahoma"/>
          <w:vertAlign w:val="superscript"/>
          <w:lang w:eastAsia="de-de" w:bidi="de-de"/>
        </w:rPr>
      </w:r>
      <w:r>
        <w:rPr>
          <w:rFonts w:eastAsia="Tahoma" w:cs="Tahoma"/>
          <w:vertAlign w:val="superscript"/>
          <w:lang w:eastAsia="de-de" w:bidi="de-de"/>
        </w:rPr>
        <w:footnoteReference w:id="288"/>
      </w:r>
      <w:r/>
    </w:p>
    <w:p>
      <w:r>
        <w:t>Kochsalz besteht aus Natrium und Chlor, Natriumchlorid, NaCl. Eine der negativen Auswirkungen einer Salzreduktion auf die Körperfunktionen betrifft das Blutvolumen. Bei stark eingeschränkter Natriumaufnahme kann das Blutvolumen um 10 bis 15 % zurückgehen.</w:t>
      </w:r>
      <w:r>
        <w:rPr>
          <w:rFonts w:eastAsia="Tahoma" w:cs="Tahoma"/>
          <w:vertAlign w:val="superscript"/>
          <w:lang w:eastAsia="de-de" w:bidi="de-de"/>
        </w:rPr>
      </w:r>
      <w:r>
        <w:rPr>
          <w:rFonts w:eastAsia="Tahoma" w:cs="Tahoma"/>
          <w:vertAlign w:val="superscript"/>
          <w:lang w:eastAsia="de-de" w:bidi="de-de"/>
        </w:rPr>
        <w:footnoteReference w:id="289"/>
      </w:r>
      <w:r>
        <w:t xml:space="preserve"> Diese Veränderung weist auf Stress für den Körper aufgrund von Flüssigkeitsmangel hin. An diesem Punkt befindet sich der Körper in einer Notsituation und schüttet als allerletzte Maßnahme salzretinierende, also das Salz zurückhaltende Hormone aus, um so die Homöostase im Körper aufrechtzuerhalten - um ein starkes Absinken des Blutdrucks zu verhindern.</w:t>
      </w:r>
    </w:p>
    <w:p>
      <w:r>
        <w:t>Mit anderen Worten, eine salzarme Ernährung markiert für den Körper eine Krise, kein Rezept für eine optimale Gesundheit. Wer 3000 bis 5000 mg Natrium pro Tag konsumiert, schüttet genau diese salzretinierenden Hormone nicht aus.</w:t>
      </w:r>
      <w:r>
        <w:rPr>
          <w:rFonts w:eastAsia="Tahoma" w:cs="Tahoma"/>
          <w:vertAlign w:val="superscript"/>
          <w:lang w:eastAsia="de-de" w:bidi="de-de"/>
        </w:rPr>
      </w:r>
      <w:r>
        <w:rPr>
          <w:rFonts w:eastAsia="Tahoma" w:cs="Tahoma"/>
          <w:vertAlign w:val="superscript"/>
          <w:lang w:eastAsia="de-de" w:bidi="de-de"/>
        </w:rPr>
        <w:footnoteReference w:id="290"/>
      </w:r>
      <w:r/>
    </w:p>
    <w:p>
      <w:pPr>
        <w:spacing w:after="120"/>
        <w:rPr>
          <w:rFonts w:eastAsia="Tahoma" w:cs="Tahoma"/>
        </w:rPr>
      </w:pPr>
      <w:r>
        <w:rPr>
          <w:rFonts w:eastAsia="Tahoma" w:cs="Tahoma"/>
        </w:rPr>
        <w:t>Die Forschung liefert Hinweise darauf, dass ein chronischer Salzmangel ein Faktor sein kann bei der „</w:t>
      </w:r>
      <w:r>
        <w:rPr>
          <w:rFonts w:eastAsia="Tahoma" w:cs="Tahoma"/>
          <w:lang w:val="en-gb" w:eastAsia="en-gb" w:bidi="en-gb"/>
        </w:rPr>
        <w:t>internal starvation</w:t>
      </w:r>
      <w:r>
        <w:rPr>
          <w:rFonts w:eastAsia="Tahoma" w:cs="Tahoma"/>
        </w:rPr>
        <w:t xml:space="preserve">“, dem innerlichen Verhungern, wie Endokrinologen diesen Zustand nennen. Der Körper wird alles tun, um am Salz festzuhalten. Er schüttet Hormone aus, die das Salz zurückhalten (wie Renin, Angiotensin und Aldosteron). Die Nebenwirkung dieser Hormone ist, dass die Fettspeicherung zunimmt. Der Insulinspiegel wird erhöht. Insulin hilft den Nieren, mehr Natrium zurückzuhalten. Es verhindert auch, dass gespeichertes </w:t>
        <w:fldChar w:fldCharType="begin"/>
        <w:instrText xml:space="preserve">XE "Fett" \G </w:instrText>
        <w:fldChar w:fldCharType="end"/>
        <w:t xml:space="preserve">Fett zur Energiegewinnung genutzt werden kann. Bei einem erhöhten Insulinspiegel kann man als einzigen Makronährstoff </w:t>
        <w:fldChar w:fldCharType="begin"/>
        <w:instrText xml:space="preserve">XE "Kohlenhydrate" \G </w:instrText>
        <w:fldChar w:fldCharType="end"/>
        <w:t>Kohlenhydrate für die Energiegewinnung nutzen.</w:t>
      </w:r>
      <w:r>
        <w:rPr>
          <w:rStyle w:val="char19"/>
          <w:rFonts w:eastAsia="Tahoma" w:cs="Tahoma"/>
        </w:rPr>
      </w:r>
      <w:r>
        <w:rPr>
          <w:rStyle w:val="char19"/>
          <w:rFonts w:eastAsia="Tahoma" w:cs="Tahoma"/>
        </w:rPr>
        <w:footnoteReference w:id="291"/>
      </w:r>
      <w:r>
        <w:rPr>
          <w:rFonts w:eastAsia="Tahoma" w:cs="Tahoma"/>
        </w:rPr>
      </w:r>
    </w:p>
    <w:p>
      <w:r>
        <w:t xml:space="preserve">Die Folge ist, man entwickelt einen extremen Heißhunger auf Zucker und raffinierte </w:t>
        <w:fldChar w:fldCharType="begin"/>
        <w:instrText xml:space="preserve">XE "Kohlenhydrate" \G </w:instrText>
        <w:fldChar w:fldCharType="end"/>
        <w:t xml:space="preserve">Kohlenhydrate, weil der Körper </w:t>
        <w:fldChar w:fldCharType="begin"/>
        <w:instrText xml:space="preserve">XE "Kohlenhydrate" \G </w:instrText>
        <w:fldChar w:fldCharType="end"/>
        <w:t xml:space="preserve">Kohlenhydrate für die einzige brauchbare Energiequelle hält. Je mehr </w:t>
        <w:fldChar w:fldCharType="begin"/>
        <w:instrText xml:space="preserve">XE "Kohlenhydrate" \G </w:instrText>
        <w:fldChar w:fldCharType="end"/>
        <w:t>Kohlenhydrate man isst, desto stärker nimmt der Heißhunger darauf zu. Dies führt zu einer Anhäufung von Fettzellen, Gewichtszunahme, Insulinresistenz und letztlich Typ-2-Diabetes.</w:t>
      </w:r>
    </w:p>
    <w:p>
      <w:pPr>
        <w:spacing w:after="120"/>
        <w:rPr>
          <w:rFonts w:eastAsia="Tahoma" w:cs="Tahoma"/>
        </w:rPr>
      </w:pPr>
      <w:r>
        <w:rPr>
          <w:rFonts w:eastAsia="Tahoma" w:cs="Tahoma"/>
        </w:rPr>
        <w:t>Dies ist die Folge von Salzmangel.</w:t>
      </w:r>
      <w:r>
        <w:rPr>
          <w:rStyle w:val="char19"/>
          <w:rFonts w:eastAsia="Tahoma" w:cs="Tahoma"/>
        </w:rPr>
      </w:r>
      <w:r>
        <w:rPr>
          <w:rStyle w:val="char19"/>
          <w:rFonts w:eastAsia="Tahoma" w:cs="Tahoma"/>
        </w:rPr>
        <w:footnoteReference w:id="292"/>
      </w:r>
      <w:r>
        <w:rPr>
          <w:rFonts w:eastAsia="Tahoma" w:cs="Tahoma"/>
        </w:rPr>
      </w:r>
    </w:p>
    <w:p>
      <w:pPr>
        <w:spacing w:after="120"/>
        <w:rPr>
          <w:rFonts w:eastAsia="Tahoma" w:cs="Tahoma"/>
        </w:rPr>
      </w:pPr>
      <w:r>
        <w:rPr>
          <w:rFonts w:eastAsia="Tahoma" w:cs="Tahoma"/>
        </w:rPr>
        <w:t>Die Hypothese von Ambard und Beauchard beruht auf der scheinbar logischen und einfachen Gleichung:</w:t>
      </w:r>
    </w:p>
    <w:p>
      <w:pPr>
        <w:spacing w:after="120"/>
        <w:jc w:val="center"/>
        <w:rPr>
          <w:rFonts w:eastAsia="Tahoma" w:cs="Tahoma"/>
        </w:rPr>
      </w:pPr>
      <w:r>
        <w:rPr>
          <w:rFonts w:eastAsia="Tahoma" w:cs="Tahoma"/>
        </w:rPr>
        <w:t>Salz + vermehrter Durst + Wasserzurückhaltung im Körper</w:t>
      </w:r>
    </w:p>
    <w:p>
      <w:pPr>
        <w:spacing w:after="120"/>
        <w:jc w:val="center"/>
        <w:rPr>
          <w:rFonts w:ascii="Cambria" w:hAnsi="Cambria"/>
          <w:sz w:val="24"/>
          <w:szCs w:val="24"/>
        </w:rPr>
      </w:pPr>
      <w:r/>
      <w:r>
        <w:rPr>
          <w:noProof/>
        </w:rPr>
        <w:drawing>
          <wp:inline distT="0" distB="0" distL="0" distR="0">
            <wp:extent cx="228600" cy="228600"/>
            <wp:effectExtent l="0" t="0" r="0" b="0"/>
            <wp:docPr id="37" name="Grafik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Grafik88"/>
                    <pic:cNvPicPr>
                      <a:picLocks noChangeAspect="1"/>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IQDAACEAwAAhAMAAIQD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cBgAAB6IAAAAAAAAAAAAAAQAAAAAAAACLKAAAAQAAAAAAAAAoCwAAaAEAAGgBAABFAAMAiygAACgLAAAoAAAACAAAAAEAAAABAAAAMAAAABQAAAAAAAAAAAD//wAAAQAAAP//AAABAA=="/>
                        </a:ext>
                      </a:extLst>
                    </pic:cNvPicPr>
                  </pic:nvPicPr>
                  <pic:blipFill>
                    <a:blip r:embed="rId106"/>
                    <a:stretch>
                      <a:fillRect/>
                    </a:stretch>
                  </pic:blipFill>
                  <pic:spPr>
                    <a:xfrm rot="16200016">
                      <a:off x="0" y="0"/>
                      <a:ext cx="228600" cy="228600"/>
                    </a:xfrm>
                    <a:prstGeom prst="rect">
                      <a:avLst/>
                    </a:prstGeom>
                    <a:noFill/>
                    <a:ln w="12700">
                      <a:noFill/>
                    </a:ln>
                  </pic:spPr>
                </pic:pic>
              </a:graphicData>
            </a:graphic>
          </wp:inline>
        </w:drawing>
      </w:r>
      <w:r/>
      <w:r>
        <w:rPr>
          <w:rFonts w:ascii="Cambria" w:hAnsi="Cambria"/>
          <w:sz w:val="24"/>
          <w:szCs w:val="24"/>
        </w:rPr>
      </w:r>
    </w:p>
    <w:p>
      <w:pPr>
        <w:spacing w:after="120"/>
        <w:jc w:val="center"/>
        <w:rPr>
          <w:rFonts w:eastAsia="Tahoma" w:cs="Tahoma"/>
        </w:rPr>
      </w:pPr>
      <w:r>
        <w:rPr>
          <w:rFonts w:eastAsia="Tahoma" w:cs="Tahoma"/>
        </w:rPr>
        <w:t>erhöhtes Blutvolumen</w:t>
      </w:r>
    </w:p>
    <w:p>
      <w:pPr>
        <w:spacing w:after="120"/>
        <w:jc w:val="center"/>
        <w:rPr>
          <w:rFonts w:eastAsia="Tahoma" w:cs="Tahoma"/>
        </w:rPr>
      </w:pPr>
      <w:r/>
      <w:r>
        <w:rPr>
          <w:noProof/>
        </w:rPr>
        <w:drawing>
          <wp:inline distT="0" distB="0" distL="0" distR="0">
            <wp:extent cx="228600" cy="228600"/>
            <wp:effectExtent l="0" t="0" r="0" b="0"/>
            <wp:docPr id="38" name="Grafik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Grafik89"/>
                    <pic:cNvPicPr>
                      <a:picLocks noChangeAspect="1"/>
                      <a:codePr string="" type="0" text="0"/>
                      <a:extLst>
                        <a:ext uri="sm">
                          <sm:smNativeData xmlns:sm="sm" val="SMDATA_17_E0dOa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IQDAACEAwAAhAMAAIQD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eBgAAB6IAAAAAAAAAAAAAAQAAAAAAAADzKQAAAQAAAAAAAAD+BwAAaAEAAGgBAABFAAMA8ykAAP4HAAAoAAAACAAAAAEAAAABAAAAMAAAABQAAAAAAAAAAAD//wAAAQAAAP//AAABAA=="/>
                        </a:ext>
                      </a:extLst>
                    </pic:cNvPicPr>
                  </pic:nvPicPr>
                  <pic:blipFill>
                    <a:blip r:embed="rId106"/>
                    <a:stretch>
                      <a:fillRect/>
                    </a:stretch>
                  </pic:blipFill>
                  <pic:spPr>
                    <a:xfrm rot="16200000">
                      <a:off x="0" y="0"/>
                      <a:ext cx="228600" cy="228600"/>
                    </a:xfrm>
                    <a:prstGeom prst="rect">
                      <a:avLst/>
                    </a:prstGeom>
                    <a:noFill/>
                    <a:ln w="12700">
                      <a:noFill/>
                    </a:ln>
                  </pic:spPr>
                </pic:pic>
              </a:graphicData>
            </a:graphic>
          </wp:inline>
        </w:drawing>
      </w:r>
      <w:r/>
      <w:r>
        <w:rPr>
          <w:rFonts w:eastAsia="Tahoma" w:cs="Tahoma"/>
        </w:rPr>
      </w:r>
    </w:p>
    <w:p>
      <w:pPr>
        <w:spacing w:after="120"/>
        <w:jc w:val="center"/>
        <w:rPr>
          <w:rFonts w:eastAsia="Tahoma" w:cs="Tahoma"/>
        </w:rPr>
      </w:pPr>
      <w:r>
        <w:rPr>
          <w:rFonts w:eastAsia="Tahoma" w:cs="Tahoma"/>
        </w:rPr>
        <w:t>erhöhter Blutdruck</w:t>
      </w:r>
    </w:p>
    <w:p>
      <w:pPr>
        <w:spacing w:after="120"/>
        <w:rPr>
          <w:rFonts w:eastAsia="Tahoma" w:cs="Tahoma"/>
        </w:rPr>
      </w:pPr>
      <w:r>
        <w:rPr>
          <w:rFonts w:eastAsia="Tahoma" w:cs="Tahoma"/>
        </w:rPr>
        <w:t>Studien ergaben, dass eine Volumenerhöhung bei den meisten Menschen, die sich salzreich ernähren, unabhängig vom Blutdruckstatus nicht festzustellen war. Nun wurde das Augenmerk vom Blutvolumen auf den Gefäßwiderstand geleitet. Forscher argumentierten, eine erhöhte Salzzufuhr würde in der Peripherie den Gefäßwiderstand erhöhen und somit die Blutgefäße verengen (siehe Fußnote 3).</w:t>
      </w:r>
    </w:p>
    <w:p>
      <w:pPr>
        <w:spacing w:after="120"/>
        <w:rPr>
          <w:rFonts w:eastAsia="Tahoma" w:cs="Tahoma"/>
        </w:rPr>
      </w:pPr>
      <w:r>
        <w:rPr>
          <w:rFonts w:eastAsia="Tahoma" w:cs="Tahoma"/>
        </w:rPr>
        <w:t>In späteren Studien wurde festgestellt, dass eine höhere Salzaufnahme den Gefäßwiderstand senkt, während eine salzarme Ernährung ihn erhöht.</w:t>
      </w:r>
      <w:r>
        <w:rPr>
          <w:rStyle w:val="char19"/>
          <w:rFonts w:eastAsia="Tahoma" w:cs="Tahoma"/>
        </w:rPr>
      </w:r>
      <w:r>
        <w:rPr>
          <w:rStyle w:val="char19"/>
          <w:rFonts w:eastAsia="Tahoma" w:cs="Tahoma"/>
        </w:rPr>
        <w:footnoteReference w:id="293"/>
      </w:r>
      <w:r>
        <w:rPr>
          <w:rFonts w:eastAsia="Tahoma" w:cs="Tahoma"/>
        </w:rPr>
        <w:t xml:space="preserve"> Eine Folge der Erhöhung des Gefäßwiderstands ist die Erhöhung der Herzfrequenz.</w:t>
      </w:r>
      <w:r>
        <w:rPr>
          <w:rStyle w:val="char19"/>
          <w:rFonts w:eastAsia="Tahoma" w:cs="Tahoma"/>
        </w:rPr>
      </w:r>
      <w:r>
        <w:rPr>
          <w:rStyle w:val="char19"/>
          <w:rFonts w:eastAsia="Tahoma" w:cs="Tahoma"/>
        </w:rPr>
        <w:footnoteReference w:id="294"/>
      </w:r>
      <w:r>
        <w:rPr>
          <w:rFonts w:eastAsia="Tahoma" w:cs="Tahoma"/>
        </w:rPr>
        <w:t xml:space="preserve"> Das heißt: Eine salzarme Ernährung belastet Herz und Arterien insgesamt stärker und vergrößert damit das Risiko für Bluthochdruck und Herzschwäche.</w:t>
      </w:r>
      <w:r>
        <w:rPr>
          <w:rFonts w:eastAsia="Tahoma" w:cs="Tahoma"/>
        </w:rPr>
      </w:r>
    </w:p>
    <w:p>
      <w:pPr>
        <w:spacing w:after="120"/>
        <w:rPr>
          <w:rFonts w:eastAsia="Tahoma" w:cs="Tahoma"/>
        </w:rPr>
      </w:pPr>
      <w:r>
        <w:rPr>
          <w:rFonts w:eastAsia="Tahoma" w:cs="Tahoma"/>
        </w:rPr>
        <w:t>Eine salzarme Ernährung erhöht das Risiko eines Flüssigkeitsmangels und damit zu einer zellulären Dehydrierung. Gut hydrierte Zellen arbeiten viel effizienter und brauchen weniger Energie als dehydrierte Zellen.</w:t>
      </w:r>
      <w:r>
        <w:rPr>
          <w:rStyle w:val="char19"/>
          <w:rFonts w:eastAsia="Tahoma" w:cs="Tahoma"/>
        </w:rPr>
      </w:r>
      <w:r>
        <w:rPr>
          <w:rStyle w:val="char19"/>
          <w:rFonts w:eastAsia="Tahoma" w:cs="Tahoma"/>
        </w:rPr>
        <w:footnoteReference w:id="295"/>
      </w:r>
      <w:r>
        <w:rPr>
          <w:rFonts w:eastAsia="Tahoma" w:cs="Tahoma"/>
        </w:rPr>
        <w:t xml:space="preserve"> Je weniger Energie dem Körper zur Verfügung steht, desto ausgeprägter ist das innerliche Verhungern und desto mehr Kalorien werden verlangt. Eine Gewichtszunahme kann als Ursache eine salzarme Ernährung haben. Der Körper speichert also mehr </w:t>
        <w:fldChar w:fldCharType="begin"/>
        <w:instrText xml:space="preserve">XE "Fett" \G </w:instrText>
        <w:fldChar w:fldCharType="end"/>
        <w:t xml:space="preserve">Fett, als viszerales </w:t>
        <w:fldChar w:fldCharType="begin"/>
        <w:instrText xml:space="preserve">XE "Fett" \G </w:instrText>
        <w:fldChar w:fldCharType="end"/>
        <w:t xml:space="preserve">Fett oder als Fettgewebe am Bauch, wo es am schädlichsten ist. </w:t>
        <w:fldChar w:fldCharType="begin"/>
        <w:instrText xml:space="preserve">XE "Fett" \G </w:instrText>
        <w:fldChar w:fldCharType="end"/>
        <w:t>Fett kann sich auch in den Organen oder um sie herum ansammeln und es kann sich eine Insulinresistenz und ein metabolisches Syndrom entwickeln. Dabei handelt es sich um eine Gruppe von Krankheiten, die u. A. mit hohem Blutdruck, hohen Triglyceridwerten und niedrigem HDL-Cholesterin einhergehen.</w:t>
      </w:r>
      <w:r>
        <w:rPr>
          <w:rFonts w:eastAsia="Tahoma" w:cs="Tahoma"/>
        </w:rPr>
      </w:r>
    </w:p>
    <w:p>
      <w:pPr>
        <w:spacing w:after="120"/>
        <w:rPr>
          <w:rFonts w:eastAsia="Tahoma" w:cs="Tahoma"/>
        </w:rPr>
      </w:pPr>
      <w:r>
        <w:rPr>
          <w:rFonts w:eastAsia="Tahoma" w:cs="Tahoma"/>
        </w:rPr>
        <w:t>Der Normbereich von Natrium im Blut liegt zwischen 137 und 142 mmol/l. Ein Wert von 125 mmol/l kann tödlich sein.</w:t>
      </w:r>
    </w:p>
    <w:p>
      <w:pPr>
        <w:spacing w:after="120"/>
        <w:rPr>
          <w:rFonts w:eastAsia="Tahoma" w:cs="Tahoma"/>
        </w:rPr>
      </w:pPr>
      <w:r>
        <w:rPr>
          <w:rFonts w:eastAsia="Tahoma" w:cs="Tahoma"/>
        </w:rPr>
        <w:t>Einige Studienergebnisse zum Salzkonsum:</w:t>
      </w:r>
    </w:p>
    <w:p>
      <w:pPr>
        <w:spacing w:after="120"/>
        <w:rPr>
          <w:rFonts w:eastAsia="Tahoma" w:cs="Tahoma"/>
        </w:rPr>
      </w:pPr>
      <w:r>
        <w:rPr>
          <w:rFonts w:eastAsia="Tahoma" w:cs="Tahoma"/>
        </w:rPr>
        <w:t>Bei der PURE-Studie (</w:t>
      </w:r>
      <w:r>
        <w:rPr>
          <w:rFonts w:eastAsia="Tahoma" w:cs="Tahoma"/>
          <w:lang w:val="en-gb" w:eastAsia="en-gb" w:bidi="en-gb"/>
        </w:rPr>
        <w:t>Prospective Urban Rural Epidemiology</w:t>
      </w:r>
      <w:r>
        <w:rPr>
          <w:rFonts w:eastAsia="Tahoma" w:cs="Tahoma"/>
        </w:rPr>
        <w:t>) wurden mehr als 100.000 Menschen in 17 Ländern untersucht. Wie man dabei feststellte, hatten diejenigen das niedrigste Sterberisiko, oder Risiko für Herz-Kreislauf-Ereignisse, die täglich zwischen 3000 und 6000 mg Natrium zu sich nahmen.</w:t>
      </w:r>
      <w:r>
        <w:rPr>
          <w:rStyle w:val="char19"/>
          <w:rFonts w:eastAsia="Tahoma" w:cs="Tahoma"/>
        </w:rPr>
      </w:r>
      <w:r>
        <w:rPr>
          <w:rStyle w:val="char19"/>
          <w:rFonts w:eastAsia="Tahoma" w:cs="Tahoma"/>
        </w:rPr>
        <w:footnoteReference w:id="296"/>
      </w:r>
      <w:r>
        <w:rPr>
          <w:rFonts w:eastAsia="Tahoma" w:cs="Tahoma"/>
        </w:rPr>
        <w:t xml:space="preserve"> Die Gruppe, die weniger als 3000 mg Natrium am Tag zu sich nahm, war am stärksten gefährdet.</w:t>
      </w:r>
      <w:r>
        <w:rPr>
          <w:rFonts w:eastAsia="Tahoma" w:cs="Tahoma"/>
        </w:rPr>
      </w:r>
    </w:p>
    <w:p>
      <w:pPr>
        <w:spacing w:after="120"/>
        <w:rPr>
          <w:rFonts w:eastAsia="Tahoma" w:cs="Tahoma"/>
        </w:rPr>
      </w:pPr>
      <w:r>
        <w:rPr>
          <w:rFonts w:eastAsia="Tahoma" w:cs="Tahoma"/>
        </w:rPr>
        <w:t>Graudal und Kollegen führten eine Metaanalyse mit fast 275.000 Patienten durch</w:t>
      </w:r>
      <w:r>
        <w:rPr>
          <w:rStyle w:val="char19"/>
          <w:rFonts w:eastAsia="Tahoma" w:cs="Tahoma"/>
        </w:rPr>
      </w:r>
      <w:r>
        <w:rPr>
          <w:rStyle w:val="char19"/>
          <w:rFonts w:eastAsia="Tahoma" w:cs="Tahoma"/>
        </w:rPr>
        <w:footnoteReference w:id="297"/>
      </w:r>
      <w:r>
        <w:rPr>
          <w:rFonts w:eastAsia="Tahoma" w:cs="Tahoma"/>
        </w:rPr>
        <w:t xml:space="preserve"> und fanden heraus, dass die Aufnahme von 2645 bis 4945 mg Natrium pro Tag mit dem niedrigsten Sterberisiko und dem niedrigsten Risiko für Herz-Kreislauf-Erkrankungen einherging. Nachdem andere Störfaktoren herausgerechnet waren, hatte nur die Gruppe, die weniger als 2645 mg Natrium pro Tag aufnahm, eine signifikant höhere Gesamtsterblichkeit; diese wurde nicht bei Personen festgestellt, die täglich mehr als 4945 mg Natrium konsumierten.</w:t>
      </w:r>
      <w:r>
        <w:rPr>
          <w:rFonts w:eastAsia="Tahoma" w:cs="Tahoma"/>
        </w:rPr>
      </w:r>
    </w:p>
    <w:p>
      <w:pPr>
        <w:spacing w:after="120"/>
        <w:rPr>
          <w:rFonts w:eastAsia="Tahoma" w:cs="Tahoma"/>
        </w:rPr>
      </w:pPr>
      <w:r>
        <w:rPr>
          <w:rFonts w:eastAsia="Tahoma" w:cs="Tahoma"/>
        </w:rPr>
        <w:t>Auf der Grundlage dieser Daten ist wahrscheinlich eine Natriumzufuhr zwischen 3 und 6 g pro Tag für die meisten Menschen die optimale Menge. Weniger als 2,3 g pro Tag oder mehr als 6 g täglich wird mit einem höheren Sterberisiko und einem höheren Risiko für Herz-Kreislauf-Ereignisse assoziiert. Doch das Risiko liegt bei einem niedrigen Salzkonsum höher als beim Verzehr hoher Salzmengen.</w:t>
      </w:r>
    </w:p>
    <w:p>
      <w:pPr>
        <w:spacing w:after="120"/>
        <w:rPr>
          <w:rFonts w:eastAsia="Tahoma" w:cs="Tahoma"/>
        </w:rPr>
      </w:pPr>
      <w:r>
        <w:rPr>
          <w:rFonts w:eastAsia="Tahoma" w:cs="Tahoma"/>
        </w:rPr>
        <w:t>3 g Natrium sind in 7,6 g Kochsalz enthalten, 6 g Natrium in 15,2 g Kochsalz.</w:t>
      </w:r>
    </w:p>
    <w:p>
      <w:r/>
    </w:p>
    <w:p>
      <w:pPr>
        <w:pStyle w:val="para1"/>
        <w:numPr>
          <w:ilvl w:val="0"/>
          <w:numId w:val="1"/>
        </w:numPr>
        <w:ind w:left="432" w:hanging="432"/>
      </w:pPr>
      <w:r>
        <w:br w:type="page"/>
      </w:r>
      <w:bookmarkStart w:id="297" w:name="_TOC000073"/>
      <w:r/>
      <w:bookmarkEnd w:id="297"/>
      <w:r/>
      <w:bookmarkStart w:id="298" w:name="_TOC000113"/>
      <w:r>
        <w:t>Rezepte von Dr. Feil</w:t>
      </w:r>
      <w:bookmarkEnd w:id="298"/>
      <w:r/>
    </w:p>
    <w:p>
      <w:pPr>
        <w:pStyle w:val="para2"/>
        <w:numPr>
          <w:ilvl w:val="1"/>
          <w:numId w:val="1"/>
        </w:numPr>
        <w:ind w:left="576" w:hanging="576"/>
      </w:pPr>
      <w:bookmarkStart w:id="299" w:name="_TOC000114"/>
      <w:r/>
      <w:bookmarkStart w:id="300" w:name="_TOC000120"/>
      <w:r>
        <w:t>Selbstgemachtes Müsli (ohne Getreide)</w:t>
      </w:r>
      <w:bookmarkEnd w:id="300"/>
      <w:r/>
      <w:bookmarkEnd w:id="299"/>
      <w:r/>
    </w:p>
    <w:p>
      <w:pPr>
        <w:spacing/>
        <w:jc w:val="left"/>
        <w:rPr>
          <w:color w:val="0000ff"/>
          <w:u w:color="auto" w:val="single"/>
        </w:rPr>
      </w:pPr>
      <w:r>
        <w:t xml:space="preserve">Quelle: </w:t>
      </w:r>
      <w:hyperlink r:id="rId107" w:history="1">
        <w:r>
          <w:rPr>
            <w:rStyle w:val="char20"/>
          </w:rPr>
          <w:fldChar w:fldCharType="begin"/>
          <w:instrText xml:space="preserve">XE "Arthrose" \G </w:instrText>
          <w:fldChar w:fldCharType="end"/>
          <w:t>Arthrose und Gelenkschmerzen überwinden</w:t>
        </w:r>
      </w:hyperlink>
    </w:p>
    <w:p>
      <w:pPr>
        <w:spacing/>
        <w:jc w:val="left"/>
      </w:pPr>
      <w:r/>
    </w:p>
    <w:p>
      <w:pPr>
        <w:spacing/>
        <w:jc w:val="left"/>
        <w:rPr>
          <w:b/>
          <w:bCs/>
        </w:rPr>
      </w:pPr>
      <w:r>
        <w:rPr>
          <w:b/>
          <w:bCs/>
        </w:rPr>
        <w:t>Zutaten (für 8 Portionen)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200 g Nüsse (125 g Walnüsse, 75 g Paranüsse)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200 g ungesüßtes Trockenobst (Datteln, Pflaumen, Cranberrys, Aprikosen)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100 g Kokosraspel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 g Sonnenblumenkerne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75 g Leinsamen (aufgespalten/geschrotet)</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 g Honig</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Zerkleinern Sie die Nüsse und geben Sie sie mit den Sonnenblumenkernen und den Kokosraspeln auf ein Backblech. Rösten Sie diese Nuss­Samenmischung im Backofen bei 150 °C für 10 min.</w:t>
      </w:r>
    </w:p>
    <w:p>
      <w:pPr>
        <w:numPr>
          <w:ilvl w:val="0"/>
          <w:numId w:val="24"/>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Schneiden Sie das Trockenobst ebenfalls in kleine Stückchen.</w:t>
      </w:r>
    </w:p>
    <w:p>
      <w:pPr>
        <w:numPr>
          <w:ilvl w:val="0"/>
          <w:numId w:val="24"/>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Vermengen Sie das Trockenobst und den Leinsamen mit der gerösteten Nuss­Samenmischung in einer großen Porzellanschüssel.</w:t>
      </w:r>
    </w:p>
    <w:p>
      <w:pPr>
        <w:numPr>
          <w:ilvl w:val="0"/>
          <w:numId w:val="24"/>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Fügen Sie zum Schluss den Honig dazu und verrühren Sie alle Zutaten gut.</w:t>
      </w:r>
    </w:p>
    <w:p>
      <w:pPr>
        <w:numPr>
          <w:ilvl w:val="0"/>
          <w:numId w:val="24"/>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Bevor Sie das Müsli in eine Box füllen, sollten Sie warten, bis es komplett abgekühlt ist. Das Müsli kann mehrere Wochen gelagert werden.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Und so machen Sie daraus ein lecker-knackiges Frühstück für 2 Personen: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140–160 g selbst gemachtes Müsli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500 g Gewürzquark</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200 g frische Beeren oder 1 Banane</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w:t>
      </w:r>
    </w:p>
    <w:p>
      <w:pPr>
        <w:numPr>
          <w:ilvl w:val="0"/>
          <w:numId w:val="25"/>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Mischen Sie sich Ihren Gewürzquark, fügen Sie dann das Müsli und die frischen Beeren oder die Banane hinzu. Vergessen Sie nicht, einen Teebeutel Hagebuttentee darüber zu streuen!</w:t>
      </w:r>
    </w:p>
    <w:p>
      <w:r/>
    </w:p>
    <w:p>
      <w:pPr>
        <w:pStyle w:val="para2"/>
        <w:numPr>
          <w:ilvl w:val="1"/>
          <w:numId w:val="1"/>
        </w:numPr>
        <w:ind w:left="576" w:hanging="576"/>
      </w:pPr>
      <w:r>
        <w:br w:type="page"/>
      </w:r>
      <w:bookmarkStart w:id="301" w:name="_TOC000082"/>
      <w:r>
        <w:t>Porridge in Joghurt und Banane </w:t>
      </w:r>
      <w:bookmarkEnd w:id="301"/>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sz w:val="24"/>
          <w:szCs w:val="20"/>
          <w:u w:color="auto" w:val="single"/>
        </w:rPr>
      </w:pPr>
      <w:r>
        <w:rPr>
          <w:rFonts w:eastAsia="Basic Roman"/>
          <w:color w:val="000000"/>
          <w:kern w:val="1"/>
          <w:sz w:val="24"/>
          <w:szCs w:val="20"/>
        </w:rPr>
        <w:t xml:space="preserve">Quelle: Buch </w:t>
      </w:r>
      <w:hyperlink r:id="rId108" w:history="1">
        <w:r>
          <w:rPr>
            <w:rStyle w:val="char20"/>
            <w:rFonts w:eastAsia="Basic Roman"/>
            <w:kern w:val="1"/>
            <w:sz w:val="24"/>
            <w:szCs w:val="20"/>
          </w:rPr>
          <w:t>Die Große Lauf-Diät</w:t>
        </w:r>
      </w:hyperlink>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Zutaten für 2 Personen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4 EL Mandelmehl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6 EL Haferflocken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300 g Naturjoghurt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Bananen, mit einer Gabel zerdrückt und etwas aufgeschlagen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150 g Erdbeeren oder Himbeeren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2 cm frischer </w:t>
        <w:fldChar w:fldCharType="begin"/>
        <w:instrText xml:space="preserve">XE "Ingwer" \G </w:instrText>
        <w:fldChar w:fldCharType="end"/>
        <w:t>Ingwer, geschält und gerieben</w:t>
      </w:r>
    </w:p>
    <w:p>
      <w:pPr>
        <w:numPr>
          <w:ilvl w:val="0"/>
          <w:numId w:val="2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1/2 TL </w:t>
        <w:fldChar w:fldCharType="begin"/>
        <w:instrText xml:space="preserve">XE "Zimt" \G </w:instrText>
        <w:fldChar w:fldCharType="end"/>
        <w:t>Zimt</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Zubereitung:</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Alle Zutaten in eine Schüssel geben und miteinander vermengen.</w:t>
      </w:r>
    </w:p>
    <w:p>
      <w:r/>
    </w:p>
    <w:p>
      <w:pPr>
        <w:pStyle w:val="para2"/>
        <w:numPr>
          <w:ilvl w:val="1"/>
          <w:numId w:val="1"/>
        </w:numPr>
        <w:ind w:left="576" w:hanging="576"/>
      </w:pPr>
      <w:r>
        <w:br w:type="page"/>
      </w:r>
      <w:bookmarkStart w:id="302" w:name="_TOC000255"/>
      <w:r>
        <w:t>Minestrone</w:t>
      </w:r>
      <w:bookmarkEnd w:id="302"/>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u w:color="auto" w:val="single"/>
        </w:rPr>
      </w:pPr>
      <w:r>
        <w:rPr>
          <w:rFonts w:eastAsia="Basic Roman"/>
          <w:color w:val="000000"/>
          <w:kern w:val="1"/>
        </w:rPr>
        <w:t xml:space="preserve">Quelle: </w:t>
      </w:r>
      <w:hyperlink r:id="rId109" w:history="1">
        <w:r>
          <w:rPr>
            <w:rStyle w:val="char20"/>
            <w:rFonts w:eastAsia="Basic Roman"/>
            <w:kern w:val="1"/>
          </w:rPr>
          <w:t>Dr. Food</w:t>
        </w:r>
      </w:hyperlink>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Zutaten für 2 Portionen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w:t>
        <w:fldChar w:fldCharType="begin"/>
        <w:instrText xml:space="preserve">XE "Zwiebel" \G </w:instrText>
        <w:fldChar w:fldCharType="end"/>
        <w:t>Zwiebel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Stange Staudensellerie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Möhre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3 Tomaten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Brokkoli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200 g Kartoffeln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3 EL </w:t>
        <w:fldChar w:fldCharType="begin"/>
        <w:instrText xml:space="preserve">XE "Olivenöl" \G </w:instrText>
        <w:fldChar w:fldCharType="end"/>
        <w:t>Olivenöl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TL Tomatenmark</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750 ml Gemüsebrühe ohne Hefeextrakt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Stängel Basilikum</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100 g TK-Dicke-Bohnen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 g kurze Nudeln (z. B. Hörnchen)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Salz</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fldChar w:fldCharType="begin"/>
        <w:instrText xml:space="preserve">XE "Pfeffer" \G </w:instrText>
        <w:fldChar w:fldCharType="end"/>
        <w:t>Pfeffer</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30 g Parmesan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 ~50 Minuten</w:t>
      </w:r>
    </w:p>
    <w:p>
      <w:pPr>
        <w:numPr>
          <w:ilvl w:val="0"/>
          <w:numId w:val="1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fldChar w:fldCharType="begin"/>
        <w:instrText xml:space="preserve">XE "Zwiebel" \G </w:instrText>
        <w:fldChar w:fldCharType="end"/>
        <w:t>Zwiebel schälen und in kleine Würfel schneiden.</w:t>
      </w:r>
    </w:p>
    <w:p>
      <w:pPr>
        <w:numPr>
          <w:ilvl w:val="0"/>
          <w:numId w:val="1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Sellerie putzen, waschen und ebenfalls klein würfeln.</w:t>
      </w:r>
    </w:p>
    <w:p>
      <w:pPr>
        <w:numPr>
          <w:ilvl w:val="0"/>
          <w:numId w:val="1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Möhre putzen, schälen und in dünne Scheiben schneiden.</w:t>
      </w:r>
    </w:p>
    <w:p>
      <w:pPr>
        <w:numPr>
          <w:ilvl w:val="0"/>
          <w:numId w:val="1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Tomaten halbieren und ohne Stielansätze grob würfeln.</w:t>
      </w:r>
    </w:p>
    <w:p>
      <w:pPr>
        <w:numPr>
          <w:ilvl w:val="0"/>
          <w:numId w:val="1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Brokkoli in kleine Röschen teilen, den Stiel schälen und würfeln.</w:t>
      </w:r>
    </w:p>
    <w:p>
      <w:pPr>
        <w:numPr>
          <w:ilvl w:val="0"/>
          <w:numId w:val="1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Kartoffeln schälen und ebenfalls würfeln.</w:t>
      </w:r>
    </w:p>
    <w:p>
      <w:pPr>
        <w:numPr>
          <w:ilvl w:val="0"/>
          <w:numId w:val="1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Das </w:t>
        <w:fldChar w:fldCharType="begin"/>
        <w:instrText xml:space="preserve">XE "Olivenöl" \G </w:instrText>
        <w:fldChar w:fldCharType="end"/>
        <w:t>Olivenöl in einem Topf erhitzen.</w:t>
      </w:r>
    </w:p>
    <w:p>
      <w:pPr>
        <w:numPr>
          <w:ilvl w:val="0"/>
          <w:numId w:val="1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fldChar w:fldCharType="begin"/>
        <w:instrText xml:space="preserve">XE "Zwiebel" \G </w:instrText>
        <w:fldChar w:fldCharType="end"/>
        <w:t>Zwiebel und Sellerie darin bei mittlerer Hitze ca. 3 Min. anschwitzen.</w:t>
      </w:r>
    </w:p>
    <w:p>
      <w:pPr>
        <w:numPr>
          <w:ilvl w:val="0"/>
          <w:numId w:val="1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Möhre, Tomaten und Kartoffeln zufügen, unter Rühren 5 Min. anbraten, dann das Tomatenmark einrühren und die Gemüsebrühe abgießen.</w:t>
      </w:r>
    </w:p>
    <w:p>
      <w:pPr>
        <w:numPr>
          <w:ilvl w:val="0"/>
          <w:numId w:val="1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Alles aufkochen und bei kleiner Hitze zugedeckt ca. 15 Min. köcheln lassen, bis die Kartoffelstücke gar und die Tomaten zerfallen sind.</w:t>
      </w:r>
    </w:p>
    <w:p>
      <w:pPr>
        <w:numPr>
          <w:ilvl w:val="0"/>
          <w:numId w:val="1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In der Zwischenzeit das Basilikum waschen, trocken schütteln und die Blätter nach Belieben etwas kleiner zupfen.</w:t>
      </w:r>
    </w:p>
    <w:p>
      <w:pPr>
        <w:numPr>
          <w:ilvl w:val="0"/>
          <w:numId w:val="1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Brokkoli, gefrorene Dicke Bohnen und Nudeln zur Suppe geben, alles erneut zum Kochen bringen und noch einmal 7 Min. garen, bis die Nudeln weich sind. Die Suppe mit Salz und </w:t>
        <w:fldChar w:fldCharType="begin"/>
        <w:instrText xml:space="preserve">XE "Pfeffer" \G </w:instrText>
        <w:fldChar w:fldCharType="end"/>
        <w:t>Pfeffer abschmecken.</w:t>
      </w:r>
    </w:p>
    <w:p>
      <w:pPr>
        <w:numPr>
          <w:ilvl w:val="0"/>
          <w:numId w:val="1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Parmesan reiben und jede Portion mit etwas Parmesan und Basilikum bestreuen.</w:t>
      </w:r>
    </w:p>
    <w:p>
      <w:pPr>
        <w:pStyle w:val="para2"/>
        <w:numPr>
          <w:ilvl w:val="1"/>
          <w:numId w:val="1"/>
        </w:numPr>
        <w:ind w:left="576" w:hanging="576"/>
      </w:pPr>
      <w:r>
        <w:br w:type="page"/>
      </w:r>
      <w:bookmarkStart w:id="303" w:name="_TOC000115"/>
      <w:r/>
      <w:bookmarkStart w:id="304" w:name="_TOC000117"/>
      <w:r>
        <w:t>Radicchio-Pilz-Salat mit Maronen</w:t>
      </w:r>
      <w:bookmarkEnd w:id="304"/>
      <w:r/>
      <w:bookmarkEnd w:id="303"/>
      <w:r/>
    </w:p>
    <w:p>
      <w:pPr>
        <w:rPr>
          <w:color w:val="0000ff"/>
          <w:u w:color="auto" w:val="single"/>
        </w:rPr>
      </w:pPr>
      <w:r>
        <w:t xml:space="preserve">Quelle: </w:t>
      </w:r>
      <w:hyperlink r:id="rId109" w:history="1">
        <w:r>
          <w:rPr>
            <w:rStyle w:val="char20"/>
          </w:rPr>
          <w:t>Dr. Food</w:t>
        </w:r>
      </w:hyperlink>
    </w:p>
    <w:p>
      <w:pPr>
        <w:spacing/>
        <w:jc w:val="left"/>
      </w:pPr>
      <w:r/>
    </w:p>
    <w:p>
      <w:pPr>
        <w:spacing/>
        <w:jc w:val="left"/>
        <w:rPr>
          <w:b/>
          <w:bCs/>
        </w:rPr>
      </w:pPr>
      <w:r>
        <w:rPr>
          <w:b/>
          <w:bCs/>
        </w:rPr>
        <w:t>Zutaten für 2 Portionen</w:t>
      </w:r>
    </w:p>
    <w:p>
      <w:pPr>
        <w:spacing/>
        <w:jc w:val="left"/>
        <w:rPr>
          <w:rFonts w:eastAsia="Basic Roman"/>
          <w:color w:val="000000"/>
          <w:kern w:val="1"/>
        </w:rPr>
      </w:pPr>
      <w:r>
        <w:rPr>
          <w:rFonts w:eastAsia="Basic Roman"/>
          <w:color w:val="000000"/>
          <w:kern w:val="1"/>
        </w:rPr>
        <w:t>100 g gegarte Maronen (vakuumverpackt)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Salz</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fldChar w:fldCharType="begin"/>
        <w:instrText xml:space="preserve">XE "Pfeffer" \G </w:instrText>
        <w:fldChar w:fldCharType="end"/>
        <w:t>Pfeffer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edelsüßes Paprikapulver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Radicchio</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einige Blätter Eichblattsalat (ersatzweise anderer Blattsalat)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80 g Champignons</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4–5 Stiele Petersilie (ersatzweise Schnittlauch)</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Saft von 1/2 Zitrone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TL Ahornsirup</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½ TL geriebener </w:t>
        <w:fldChar w:fldCharType="begin"/>
        <w:instrText xml:space="preserve">XE "Meerrettich" \G </w:instrText>
        <w:fldChar w:fldCharType="end"/>
        <w:t>Meerrettich (Glas)</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EL Walnussöl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EL </w:t>
        <w:fldChar w:fldCharType="begin"/>
        <w:instrText xml:space="preserve">XE "Olivenöl" \G </w:instrText>
        <w:fldChar w:fldCharType="end"/>
        <w:t>Olivenöl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EL Orangensaft</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 g Schweinebratenaufschnitt (in dünnen Scheiben)</w:t>
      </w:r>
    </w:p>
    <w:p>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 ~ 20 Minuten</w:t>
      </w:r>
    </w:p>
    <w:p>
      <w:pPr>
        <w:numPr>
          <w:ilvl w:val="0"/>
          <w:numId w:val="21"/>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Maronen halbieren und in einer Pfanne ohne </w:t>
        <w:fldChar w:fldCharType="begin"/>
        <w:instrText xml:space="preserve">XE "Fett" \G </w:instrText>
        <w:fldChar w:fldCharType="end"/>
        <w:t xml:space="preserve">Fett bei mittlerer bis starker Hitze rösten, dabei ab und zu wenden. Mit Salz, </w:t>
        <w:fldChar w:fldCharType="begin"/>
        <w:instrText xml:space="preserve">XE "Pfeffer" \G </w:instrText>
        <w:fldChar w:fldCharType="end"/>
        <w:t>Pfeffer und 1 Prise Paprikapulver würzen, herausnehmen und abkühlen lassen.</w:t>
      </w:r>
    </w:p>
    <w:p>
      <w:pPr>
        <w:numPr>
          <w:ilvl w:val="0"/>
          <w:numId w:val="21"/>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Radicchio und Eichblattsalat putzen, waschen und trocken schleudern. Beide Salate in Streifen schneiden. Champignons putzen und mit einem Tuch abreiben, dann in Scheiben schneiden. Petersilie waschen, trocken tupfen und hacken.</w:t>
      </w:r>
    </w:p>
    <w:p>
      <w:pPr>
        <w:numPr>
          <w:ilvl w:val="0"/>
          <w:numId w:val="21"/>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Für das Dressing Zitronensaft mit Ahornsirup, Salz, </w:t>
        <w:fldChar w:fldCharType="begin"/>
        <w:instrText xml:space="preserve">XE "Pfeffer" \G </w:instrText>
        <w:fldChar w:fldCharType="end"/>
        <w:t xml:space="preserve">Pfeffer und </w:t>
        <w:fldChar w:fldCharType="begin"/>
        <w:instrText xml:space="preserve">XE "Meerrettich" \G </w:instrText>
        <w:fldChar w:fldCharType="end"/>
        <w:t xml:space="preserve">Meerrettich verrühren. Walnussöl und </w:t>
        <w:fldChar w:fldCharType="begin"/>
        <w:instrText xml:space="preserve">XE "Olivenöl" \G </w:instrText>
        <w:fldChar w:fldCharType="end"/>
        <w:t>Olivenöl unterschlagen und zuletzt den Orangensaft unterrühren.</w:t>
      </w:r>
    </w:p>
    <w:p>
      <w:pPr>
        <w:numPr>
          <w:ilvl w:val="0"/>
          <w:numId w:val="21"/>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Die Salate auf zwei Teller verteilen, Champignons, geröstete Maronen und Aufschnitt dazusetzen, das Dressing darüberträufeln und alles mit Petersilie bestreuen.</w:t>
      </w:r>
    </w:p>
    <w:p>
      <w:r/>
    </w:p>
    <w:p>
      <w:pPr>
        <w:pStyle w:val="para2"/>
        <w:numPr>
          <w:ilvl w:val="1"/>
          <w:numId w:val="1"/>
        </w:numPr>
        <w:ind w:left="576" w:hanging="576"/>
      </w:pPr>
      <w:r>
        <w:br w:type="page"/>
      </w:r>
      <w:bookmarkStart w:id="305" w:name="_TOC000267"/>
      <w:r>
        <w:t>Buchweizen-Bratlinge mit Kräuterquark</w:t>
      </w:r>
      <w:bookmarkEnd w:id="305"/>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u w:color="auto" w:val="single"/>
        </w:rPr>
      </w:pPr>
      <w:r>
        <w:rPr>
          <w:rFonts w:eastAsia="Basic Roman"/>
          <w:color w:val="000000"/>
          <w:kern w:val="1"/>
        </w:rPr>
        <w:t xml:space="preserve">Quelle: Buch </w:t>
      </w:r>
      <w:hyperlink r:id="rId110" w:history="1">
        <w:r>
          <w:rPr>
            <w:rStyle w:val="char20"/>
            <w:rFonts w:eastAsia="Basic Roman"/>
            <w:kern w:val="1"/>
          </w:rPr>
          <w:t>Lauf Dich Gesund</w:t>
        </w:r>
      </w:hyperlink>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Zutaten für 2 Personen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Buchweizen-Bratlinge</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125 g Buchweizen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250 ml Wasser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kleine </w:t>
        <w:fldChar w:fldCharType="begin"/>
        <w:instrText xml:space="preserve">XE "Zwiebel" \G </w:instrText>
        <w:fldChar w:fldCharType="end"/>
        <w:t>Zwiebel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3 Eier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kleine Karotten</w:t>
      </w:r>
    </w:p>
    <w:p>
      <w:pPr>
        <w:numPr>
          <w:ilvl w:val="0"/>
          <w:numId w:val="5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EL Emmer oder Dinkelmehl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Salz, </w:t>
        <w:fldChar w:fldCharType="begin"/>
        <w:instrText xml:space="preserve">XE "Pfeffer" \G </w:instrText>
        <w:fldChar w:fldCharType="end"/>
        <w:t>Pfeffer, Paprika</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4 EL Sesam</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 g Cashewnüsse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½ Bund Petersilie</w:t>
      </w:r>
    </w:p>
    <w:p>
      <w:pPr>
        <w:numPr>
          <w:ilvl w:val="0"/>
          <w:numId w:val="5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Butterschmalz/</w:t>
        <w:fldChar w:fldCharType="begin"/>
        <w:instrText xml:space="preserve">XE "Kokosöl" \G </w:instrText>
        <w:fldChar w:fldCharType="end"/>
        <w:t>Kokosöl zum Anbraten</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Kräuterquark</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500 g Quark (20 %)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Etwas Wasser</w:t>
      </w:r>
    </w:p>
    <w:p>
      <w:pPr>
        <w:numPr>
          <w:ilvl w:val="0"/>
          <w:numId w:val="5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1–2 Zehen </w:t>
        <w:fldChar w:fldCharType="begin"/>
        <w:instrText xml:space="preserve">XE "Knoblauch" \G </w:instrText>
        <w:fldChar w:fldCharType="end"/>
        <w:t>Knoblauch (gepresst)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60 g TK-Kräuter gemischt</w:t>
      </w:r>
    </w:p>
    <w:p>
      <w:pPr>
        <w:numPr>
          <w:ilvl w:val="0"/>
          <w:numId w:val="5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EL Speiseleinöl</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b/>
          <w:color w:val="000000"/>
          <w:kern w:val="1"/>
        </w:rPr>
        <w:t>Interessant:</w:t>
      </w:r>
      <w:r>
        <w:rPr>
          <w:rFonts w:eastAsia="Basic Roman"/>
          <w:color w:val="000000"/>
          <w:kern w:val="1"/>
        </w:rPr>
        <w:t xml:space="preserve"> Sesamsamen stärken die Knochen und senken den Blutdruck auf natürliche Weise durch ihren hohen Kalzium- und Magnesiumgehalt.</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w:t>
      </w:r>
    </w:p>
    <w:p>
      <w:pPr>
        <w:numPr>
          <w:ilvl w:val="0"/>
          <w:numId w:val="5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Bringen Sie den Buchweizen mit dem Wasser und etwas Salz in einem Topf zum Kochen, reduzieren Sie dann die Hitze. Sobald das Wasser verkocht ist, stellen Sie den Topf beiseite und lassen Sie den Buchweizen mindestens 10 Minuten quellen.</w:t>
      </w:r>
    </w:p>
    <w:p>
      <w:pPr>
        <w:numPr>
          <w:ilvl w:val="0"/>
          <w:numId w:val="5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Schneiden Sie die Zwiebeln in kleine Würfel und lassen Sie sie mindestens 5 Minuten stehen. Raspeln Sie die Karotten fein. Hacken Sie die Cashewnüsse und die Petersilie klein.</w:t>
      </w:r>
    </w:p>
    <w:p>
      <w:pPr>
        <w:numPr>
          <w:ilvl w:val="0"/>
          <w:numId w:val="5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Geben Sie nun alle Zutaten für die Bratlinge in eine große Schüssel und würzen Sie mit Salz, </w:t>
        <w:fldChar w:fldCharType="begin"/>
        <w:instrText xml:space="preserve">XE "Pfeffer" \G </w:instrText>
        <w:fldChar w:fldCharType="end"/>
        <w:t>Pfeffer und Paprika.</w:t>
      </w:r>
    </w:p>
    <w:p>
      <w:pPr>
        <w:numPr>
          <w:ilvl w:val="0"/>
          <w:numId w:val="5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Erhitzen Sie das Butterschmalz oder </w:t>
        <w:fldChar w:fldCharType="begin"/>
        <w:instrText xml:space="preserve">XE "Kokosöl" \G </w:instrText>
        <w:fldChar w:fldCharType="end"/>
        <w:t>Kokosöl in einer Pfanne. Formen Sie mit den Händen kleine Kugeln aus der Masse, drücken Sie sie gut zusammen und geben Sie sie dann in die Pfanne.</w:t>
      </w:r>
    </w:p>
    <w:p>
      <w:pPr>
        <w:numPr>
          <w:ilvl w:val="0"/>
          <w:numId w:val="5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Braten Sie die Bratlinge von jeder Seite etwa 4 Minuten an oder so lange, bis sie lecker aussehen.</w:t>
      </w:r>
    </w:p>
    <w:p>
      <w:pPr>
        <w:numPr>
          <w:ilvl w:val="0"/>
          <w:numId w:val="5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Während die Bratlinge vor sich hin braten, mischen Sie aus den angegebenen Zutaten den Kräuterquark.</w:t>
      </w:r>
    </w:p>
    <w:p>
      <w:pPr>
        <w:numPr>
          <w:ilvl w:val="0"/>
          <w:numId w:val="5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Servieren Sie die Bratlinge mit dem Kräuterquark.</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pStyle w:val="para2"/>
        <w:numPr>
          <w:ilvl w:val="1"/>
          <w:numId w:val="1"/>
        </w:numPr>
        <w:ind w:left="576" w:hanging="576"/>
      </w:pPr>
      <w:r>
        <w:br w:type="page"/>
      </w:r>
      <w:bookmarkStart w:id="306" w:name="_TOC000256"/>
      <w:r>
        <w:t>Gefüllte Gewürzpfannkuchen mit Shrimps und Schinken</w:t>
      </w:r>
      <w:bookmarkEnd w:id="306"/>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u w:color="auto" w:val="single"/>
        </w:rPr>
      </w:pPr>
      <w:r>
        <w:rPr>
          <w:rFonts w:eastAsia="Basic Roman"/>
          <w:color w:val="000000"/>
          <w:kern w:val="1"/>
        </w:rPr>
        <w:t xml:space="preserve">Quelle: Buch </w:t>
      </w:r>
      <w:hyperlink r:id="rId110" w:history="1">
        <w:r>
          <w:rPr>
            <w:rStyle w:val="char20"/>
            <w:rFonts w:eastAsia="Basic Roman"/>
            <w:kern w:val="1"/>
          </w:rPr>
          <w:t>Lauf Dich Gesund</w:t>
        </w:r>
      </w:hyperlink>
    </w:p>
    <w:p>
      <w:r>
        <w:t>Wenn Sie nicht viel Zeit haben, um immer frisch zu kochen, werden Sie die Pfannkuchen lieben.</w:t>
      </w:r>
    </w:p>
    <w:p>
      <w:r>
        <w:t>Der Teig ist schnell angerührt und ebenso schnell zubereitet – Guten Appetit!</w:t>
      </w:r>
    </w:p>
    <w:p>
      <w:r/>
    </w:p>
    <w:p>
      <w:pPr>
        <w:rPr>
          <w:b/>
          <w:bCs/>
        </w:rPr>
      </w:pPr>
      <w:r>
        <w:rPr>
          <w:b/>
          <w:bCs/>
        </w:rPr>
        <w:t>Zutaten für 2 Personen</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rPr>
          <w:b/>
          <w:bCs/>
        </w:rPr>
      </w:pPr>
      <w:r>
        <w:rPr>
          <w:b/>
          <w:bCs/>
        </w:rPr>
        <w:t>Pfannkuchen</w:t>
      </w:r>
    </w:p>
    <w:p>
      <w:pPr>
        <w:pStyle w:val="para17"/>
        <w:numPr>
          <w:ilvl w:val="1"/>
          <w:numId w:val="2"/>
        </w:numPr>
        <w:ind w:left="794" w:hanging="197"/>
      </w:pPr>
      <w:r>
        <w:t>100 g Emmermehl</w:t>
      </w:r>
    </w:p>
    <w:p>
      <w:pPr>
        <w:pStyle w:val="para17"/>
        <w:numPr>
          <w:ilvl w:val="1"/>
          <w:numId w:val="2"/>
        </w:numPr>
        <w:ind w:left="794" w:hanging="197"/>
      </w:pPr>
      <w:r>
        <w:t>50 g Mandelmehl</w:t>
      </w:r>
    </w:p>
    <w:p>
      <w:pPr>
        <w:pStyle w:val="para17"/>
        <w:numPr>
          <w:ilvl w:val="1"/>
          <w:numId w:val="2"/>
        </w:numPr>
        <w:ind w:left="794" w:hanging="197"/>
      </w:pPr>
      <w:r>
        <w:t>3 Eier</w:t>
      </w:r>
    </w:p>
    <w:p>
      <w:pPr>
        <w:pStyle w:val="para17"/>
        <w:numPr>
          <w:ilvl w:val="1"/>
          <w:numId w:val="2"/>
        </w:numPr>
        <w:ind w:left="794" w:hanging="197"/>
      </w:pPr>
      <w:r>
        <w:t>200 ml Milch</w:t>
      </w:r>
    </w:p>
    <w:p>
      <w:pPr>
        <w:pStyle w:val="para17"/>
        <w:numPr>
          <w:ilvl w:val="1"/>
          <w:numId w:val="2"/>
        </w:numPr>
        <w:ind w:left="794" w:hanging="197"/>
      </w:pPr>
      <w:r>
        <w:t xml:space="preserve">3 TL </w:t>
        <w:fldChar w:fldCharType="begin"/>
        <w:instrText xml:space="preserve">XE "Kurkuma" \G </w:instrText>
        <w:fldChar w:fldCharType="end"/>
        <w:t>Kurkuma</w:t>
      </w:r>
    </w:p>
    <w:p>
      <w:r/>
    </w:p>
    <w:p>
      <w:pPr>
        <w:pStyle w:val="para17"/>
        <w:numPr>
          <w:ilvl w:val="1"/>
          <w:numId w:val="2"/>
        </w:numPr>
        <w:ind w:left="397" w:hanging="197"/>
      </w:pPr>
      <w:r>
        <w:br w:type="column"/>
      </w:r>
      <w:r>
        <w:t xml:space="preserve">¼ TL Salz </w:t>
        <w:fldChar w:fldCharType="begin"/>
        <w:instrText xml:space="preserve">XE "Pfeffer" \G </w:instrText>
        <w:fldChar w:fldCharType="end"/>
        <w:t>Pfeffer</w:t>
      </w:r>
    </w:p>
    <w:p>
      <w:pPr>
        <w:pStyle w:val="para17"/>
        <w:numPr>
          <w:ilvl w:val="1"/>
          <w:numId w:val="2"/>
        </w:numPr>
        <w:ind w:left="397" w:hanging="197"/>
      </w:pPr>
      <w:r>
        <w:t>100 g Shrimps</w:t>
      </w:r>
    </w:p>
    <w:p>
      <w:pPr>
        <w:pStyle w:val="para17"/>
        <w:numPr>
          <w:ilvl w:val="1"/>
          <w:numId w:val="2"/>
        </w:numPr>
        <w:ind w:left="397" w:hanging="197"/>
      </w:pPr>
      <w:r>
        <w:t>60 g Speck oder geräucherter Schinken</w:t>
      </w:r>
    </w:p>
    <w:p>
      <w:pPr>
        <w:pStyle w:val="para17"/>
        <w:numPr>
          <w:ilvl w:val="1"/>
          <w:numId w:val="2"/>
        </w:numPr>
        <w:ind w:left="397" w:hanging="197"/>
      </w:pPr>
      <w:r>
        <w:t>50 g Frühlingszwiebeln (2 Stück)</w:t>
      </w:r>
    </w:p>
    <w:p>
      <w:pPr>
        <w:pStyle w:val="para17"/>
        <w:numPr>
          <w:ilvl w:val="1"/>
          <w:numId w:val="2"/>
        </w:numPr>
        <w:ind w:left="397" w:hanging="197"/>
      </w:pPr>
      <w:r>
        <w:t>Zum Ausbacken: Butter</w:t>
      </w:r>
    </w:p>
    <w:p>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rPr>
          <w:b/>
          <w:bCs/>
        </w:rPr>
      </w:pPr>
      <w:r>
        <w:rPr>
          <w:b/>
          <w:bCs/>
        </w:rPr>
        <w:t>Füllung</w:t>
      </w:r>
    </w:p>
    <w:p>
      <w:pPr>
        <w:pStyle w:val="para17"/>
        <w:numPr>
          <w:ilvl w:val="1"/>
          <w:numId w:val="2"/>
        </w:numPr>
        <w:ind w:left="794" w:hanging="197"/>
      </w:pPr>
      <w:r>
        <w:t>200 g Rucola, Sprossen, Salatblätter</w:t>
      </w:r>
    </w:p>
    <w:p>
      <w:r/>
    </w:p>
    <w:p>
      <w:r>
        <w:rPr>
          <w:b/>
          <w:bCs/>
        </w:rPr>
        <w:t>Interessant:</w:t>
      </w:r>
      <w:r>
        <w:t xml:space="preserve"> Sprossen sind Vitaminbomben und aktivieren Ihren Stoffwechsel: Durch den Keimvorgang erhöhen sich die Vitamingehalte der Samenkörner um mehrere 100 %, ebenso steigt der Enzymgehalt deutlich an.</w:t>
      </w:r>
    </w:p>
    <w:p>
      <w:r/>
    </w:p>
    <w:p>
      <w:pPr>
        <w:rPr>
          <w:b/>
          <w:bCs/>
        </w:rPr>
      </w:pPr>
      <w:r>
        <w:rPr>
          <w:b/>
          <w:bCs/>
        </w:rPr>
        <w:t>Zubereitung:</w:t>
      </w:r>
    </w:p>
    <w:p>
      <w:pPr>
        <w:numPr>
          <w:ilvl w:val="0"/>
          <w:numId w:val="77"/>
        </w:numPr>
        <w:ind w:left="360" w:hanging="360"/>
      </w:pPr>
      <w:r>
        <w:t>Schneiden Sie zunächst die Frühlingszwiebeln, die Shrimps und den Speck in sehr kleine Würfelchen und stellen Sie diese zur Seite.</w:t>
      </w:r>
    </w:p>
    <w:p>
      <w:pPr>
        <w:numPr>
          <w:ilvl w:val="0"/>
          <w:numId w:val="77"/>
        </w:numPr>
        <w:ind w:left="360" w:hanging="360"/>
      </w:pPr>
      <w:r>
        <w:t>Bereiten Sie aus Mehl, Eiern, Milch und Gewürzen einen Pfannkuchenteig. Wenn der Teig zu fest ist, geben Sie noch etwas Wasser oder Milch hinzu.</w:t>
      </w:r>
    </w:p>
    <w:p>
      <w:pPr>
        <w:numPr>
          <w:ilvl w:val="0"/>
          <w:numId w:val="77"/>
        </w:numPr>
        <w:ind w:left="360" w:hanging="360"/>
      </w:pPr>
      <w:r>
        <w:t>Geben Sie zum Schluss Zwiebeln, Shrimps und den geräucherten Schinken in den Teig.</w:t>
      </w:r>
    </w:p>
    <w:p>
      <w:pPr>
        <w:numPr>
          <w:ilvl w:val="0"/>
          <w:numId w:val="77"/>
        </w:numPr>
        <w:ind w:left="360" w:hanging="360"/>
      </w:pPr>
      <w:r>
        <w:t>Erhitzen Sie 1 TL Butter in der Pfanne, geben Sie einen Schöpflöffel Teig hinein, wenden Sie den Pfannkuchen einmal, nehmen Sie ihn heraus und füllen Sie ihn mit Rucola, Sprossen und Salatblättern.</w:t>
      </w:r>
    </w:p>
    <w:p>
      <w:r/>
    </w:p>
    <w:p>
      <w:pPr>
        <w:rPr>
          <w:b/>
          <w:bCs/>
        </w:rPr>
      </w:pPr>
      <w:r>
        <w:rPr>
          <w:b/>
          <w:bCs/>
        </w:rPr>
        <w:t xml:space="preserve">Mein Tipp: </w:t>
      </w:r>
    </w:p>
    <w:p>
      <w:r>
        <w:t>Auch ein Löffel Schmand oder Joghurt passt noch sehr lecker in den Pfannkuchen.</w:t>
      </w:r>
    </w:p>
    <w:p>
      <w:r/>
    </w:p>
    <w:p>
      <w:pPr>
        <w:pStyle w:val="para2"/>
        <w:numPr>
          <w:ilvl w:val="1"/>
          <w:numId w:val="1"/>
        </w:numPr>
        <w:ind w:left="576" w:hanging="576"/>
      </w:pPr>
      <w:r>
        <w:br w:type="page"/>
      </w:r>
      <w:bookmarkStart w:id="307" w:name="_TOC000339"/>
      <w:r>
        <w:t>Gemüse mit selbst gemachtem Pesto</w:t>
      </w:r>
      <w:bookmarkEnd w:id="307"/>
      <w:r/>
    </w:p>
    <w:p>
      <w:pPr>
        <w:rPr>
          <w:color w:val="0000ff"/>
          <w:u w:color="auto" w:val="single"/>
        </w:rPr>
      </w:pPr>
      <w:r>
        <w:t xml:space="preserve">Quelle: </w:t>
      </w:r>
      <w:hyperlink r:id="rId107" w:history="1">
        <w:r>
          <w:rPr>
            <w:rStyle w:val="char20"/>
          </w:rPr>
          <w:fldChar w:fldCharType="begin"/>
          <w:instrText xml:space="preserve">XE "Arthrose" \G </w:instrText>
          <w:fldChar w:fldCharType="end"/>
          <w:t>Arthrose und Gelenkschmerzen überwinden</w:t>
        </w:r>
      </w:hyperlink>
    </w:p>
    <w:p>
      <w:r/>
    </w:p>
    <w:p>
      <w:pPr>
        <w:rPr>
          <w:b/>
          <w:bCs/>
        </w:rPr>
      </w:pPr>
      <w:r>
        <w:rPr>
          <w:b/>
          <w:bCs/>
        </w:rPr>
        <w:t>Zutaten</w:t>
      </w:r>
    </w:p>
    <w:p>
      <w:r>
        <w:t>Gemüse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400–600 g gemischtes Gemüse (Karotten, Brokkoli, Kohlrabi, Erbsen, Blumenkohl)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150 g Mozzarella oder Schafsfrischkäse </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3–6 EL (100 g) selbst gemachtes Pesto</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Für ein Glas Pesto (10 Portionen)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250 g Bärlauch oder Basilikum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50 g </w:t>
        <w:fldChar w:fldCharType="begin"/>
        <w:instrText xml:space="preserve">XE "Olivenöl" \G </w:instrText>
        <w:fldChar w:fldCharType="end"/>
        <w:t>Olivenöl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 g Salz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50–70 g Walnüsse oder Pinienkerne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100 g Parmesan </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optional: 4 Zehen </w:t>
        <w:fldChar w:fldCharType="begin"/>
        <w:instrText xml:space="preserve">XE "Knoblauch" \G </w:instrText>
        <w:fldChar w:fldCharType="end"/>
        <w:t>Knoblauch (nur für Basilikum)</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 Gemüse</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Schneiden Sie das Gemüse in kleine Stückchen und dämpfen Sie es.</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Schneiden Sie den Mozzarella in kleine Stücke oder zerbröckeln Sie den Schafsfrischkäse.</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 Pesto</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numPr>
          <w:ilvl w:val="0"/>
          <w:numId w:val="1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Schneiden Sie den Parmesan in kleine Stücke, pressen Sie gegebenenfalls den </w:t>
        <w:fldChar w:fldCharType="begin"/>
        <w:instrText xml:space="preserve">XE "Knoblauch" \G </w:instrText>
        <w:fldChar w:fldCharType="end"/>
        <w:t>Knoblauch und lassen Sie diesen für 5 min. ruhen.</w:t>
      </w:r>
    </w:p>
    <w:p>
      <w:pPr>
        <w:numPr>
          <w:ilvl w:val="0"/>
          <w:numId w:val="1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Geben Sie alle Zutaten in einen Mixer und mixen alles, bis ein cremiges Pesto entsteht (ca. 2 min.).</w:t>
      </w:r>
    </w:p>
    <w:p>
      <w:pPr>
        <w:numPr>
          <w:ilvl w:val="0"/>
          <w:numId w:val="1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Vermengen Sie das Gemüse mit mindestens 3 EL selbst gemachtem Pesto und geben Sie den Käse über das Gemüse.</w:t>
      </w:r>
    </w:p>
    <w:p>
      <w:r/>
    </w:p>
    <w:p>
      <w:pPr>
        <w:pStyle w:val="para2"/>
        <w:numPr>
          <w:ilvl w:val="1"/>
          <w:numId w:val="1"/>
        </w:numPr>
        <w:ind w:left="576" w:hanging="576"/>
      </w:pPr>
      <w:r>
        <w:br w:type="page"/>
      </w:r>
      <w:bookmarkStart w:id="308" w:name="_TOC000116"/>
      <w:r/>
      <w:bookmarkStart w:id="309" w:name="_TOC000246"/>
      <w:r>
        <w:t>Avocadodip mit Gemüsesticks</w:t>
      </w:r>
      <w:bookmarkEnd w:id="309"/>
      <w:r/>
      <w:bookmarkEnd w:id="308"/>
      <w:r/>
    </w:p>
    <w:p>
      <w:p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sz w:val="24"/>
          <w:szCs w:val="20"/>
          <w:u w:color="auto" w:val="single"/>
        </w:rPr>
      </w:pPr>
      <w:r>
        <w:rPr>
          <w:rFonts w:eastAsia="Basic Roman"/>
          <w:color w:val="000000"/>
          <w:kern w:val="1"/>
          <w:sz w:val="24"/>
          <w:szCs w:val="20"/>
        </w:rPr>
        <w:t>Quelle: Buch </w:t>
      </w:r>
      <w:hyperlink r:id="rId108" w:history="1">
        <w:r>
          <w:rPr>
            <w:rStyle w:val="char20"/>
            <w:rFonts w:eastAsia="Basic Roman"/>
            <w:kern w:val="1"/>
            <w:sz w:val="24"/>
            <w:szCs w:val="20"/>
          </w:rPr>
          <w:t>Die Große Lauf-Diät</w:t>
        </w:r>
      </w:hyperlink>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 xml:space="preserve">Interessant: Die Avocado enthält mit Ihrem Fettgehalt nicht nur fettschlaues </w:t>
        <w:fldChar w:fldCharType="begin"/>
        <w:instrText xml:space="preserve">XE "Fett" \G </w:instrText>
        <w:fldChar w:fldCharType="end"/>
        <w:t>Fett sondern mit ihren unverseifbaren Bestandteilen (das sind die Stoffe die der Avocado die Farbe, Aroma und Geschmack verleihen) auch Stoffe die nachweislich den Knorpelabbau hemmen und die Regeneration fördern können.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r>
    </w:p>
    <w:p>
      <w:p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Zutaten für 2 Personen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reife Avocado, geschält und entkernt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3 EL Naturjoghurt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TL </w:t>
        <w:fldChar w:fldCharType="begin"/>
        <w:instrText xml:space="preserve">XE "Senf" \G </w:instrText>
        <w:fldChar w:fldCharType="end"/>
        <w:t>Senf</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Knoblauchzehen, durchgepresst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Saft von 1/2 Zitrone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1/2 Bund Petersilie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große Messerspitze </w:t>
        <w:fldChar w:fldCharType="begin"/>
        <w:instrText xml:space="preserve">XE "Pfeffer" \G </w:instrText>
        <w:fldChar w:fldCharType="end"/>
        <w:t>Pfeffer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TL gekörnte Brühe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TL Chilipulver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TL Speiseleinöl</w:t>
      </w:r>
    </w:p>
    <w:p>
      <w:pPr>
        <w:numPr>
          <w:ilvl w:val="0"/>
          <w:numId w:val="2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Je 1 Salatgurke, 1 Karotte, 1 Kohlrabi und 1 rote Paprikaschote</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Zubereitungszeit: ca. 10 Minuten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 xml:space="preserve">Avocadofleisch, Joghurt, </w:t>
        <w:fldChar w:fldCharType="begin"/>
        <w:instrText xml:space="preserve">XE "Senf" \G </w:instrText>
        <w:fldChar w:fldCharType="end"/>
        <w:t xml:space="preserve">Senf, den </w:t>
        <w:fldChar w:fldCharType="begin"/>
        <w:instrText xml:space="preserve">XE "Knoblauch" \G </w:instrText>
        <w:fldChar w:fldCharType="end"/>
        <w:t>Knoblauch, Zitronensaft und gehackte Petersilie in eine Schüssel geben und alles mit dem Stabmixer pürieren.</w:t>
      </w:r>
    </w:p>
    <w:p>
      <w:pPr>
        <w:numPr>
          <w:ilvl w:val="0"/>
          <w:numId w:val="4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fldChar w:fldCharType="begin"/>
        <w:instrText xml:space="preserve">XE "Pfeffer" \G </w:instrText>
        <w:fldChar w:fldCharType="end"/>
        <w:t>Pfeffer, gekörnte Brühe, Chilipulver und Öl dazugeben und gründlich untermengen.</w:t>
      </w:r>
    </w:p>
    <w:p>
      <w:pPr>
        <w:numPr>
          <w:ilvl w:val="0"/>
          <w:numId w:val="4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Das Gemüse in Stifte schneiden und mit dem Dip genießen.</w:t>
      </w:r>
    </w:p>
    <w:p>
      <w:r/>
    </w:p>
    <w:p>
      <w:pPr>
        <w:pStyle w:val="para2"/>
        <w:numPr>
          <w:ilvl w:val="1"/>
          <w:numId w:val="1"/>
        </w:numPr>
        <w:ind w:left="576" w:hanging="576"/>
      </w:pPr>
      <w:r>
        <w:br w:type="page"/>
      </w:r>
      <w:bookmarkStart w:id="310" w:name="_TOC000257"/>
      <w:r>
        <w:t>Wildlachs an Mandelbrokkoli mit Limettensauce</w:t>
      </w:r>
      <w:bookmarkEnd w:id="310"/>
      <w:r/>
    </w:p>
    <w:p>
      <w:pPr>
        <w:rPr>
          <w:color w:val="0000ff"/>
          <w:u w:color="auto" w:val="single"/>
        </w:rPr>
      </w:pPr>
      <w:r>
        <w:t xml:space="preserve">Quelle: </w:t>
      </w:r>
      <w:hyperlink r:id="rId111" w:history="1">
        <w:r>
          <w:rPr>
            <w:rStyle w:val="char20"/>
          </w:rPr>
          <w:t>Lauf Dich gesund</w:t>
        </w:r>
      </w:hyperlink>
    </w:p>
    <w:p>
      <w:r/>
    </w:p>
    <w:p>
      <w:r>
        <w:t>Zutaten: Für 2 Personen:</w:t>
      </w:r>
    </w:p>
    <w:p>
      <w:pPr>
        <w:rPr>
          <w:b/>
          <w:bCs/>
        </w:rPr>
      </w:pPr>
      <w:r>
        <w:rPr>
          <w:b/>
          <w:bCs/>
        </w:rPr>
        <w:t>Lachs</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Lachsfilets à 200–250 g</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EL Mandelmehl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½ TL Honig</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Frischer </w:t>
        <w:fldChar w:fldCharType="begin"/>
        <w:instrText xml:space="preserve">XE "Pfeffer" \G </w:instrText>
        <w:fldChar w:fldCharType="end"/>
        <w:t>Pfeffer und Salz</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TL Limettensaft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TL </w:t>
        <w:fldChar w:fldCharType="begin"/>
        <w:instrText xml:space="preserve">XE "Kokosöl" \G </w:instrText>
        <w:fldChar w:fldCharType="end"/>
        <w:t>Kokosöl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Brokkoli</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15 g Butter</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30 g Mandeln in Scheiben</w:t>
      </w:r>
    </w:p>
    <w:p>
      <w:pPr>
        <w:rPr>
          <w:b/>
          <w:bCs/>
        </w:rPr>
      </w:pPr>
      <w:r>
        <w:rPr>
          <w:b/>
          <w:bCs/>
        </w:rPr>
      </w:r>
    </w:p>
    <w:p>
      <w:pPr>
        <w:rPr>
          <w:b/>
          <w:bCs/>
        </w:rPr>
      </w:pPr>
      <w:r>
        <w:rPr>
          <w:b/>
          <w:bCs/>
        </w:rPr>
        <w:t>Limettensauce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Saft von einer Limette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Knoblauchzehe gepresst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TL Honig</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35 g Butter </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TL getrockneter Estragon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w:t>
      </w:r>
    </w:p>
    <w:p>
      <w:pPr>
        <w:numPr>
          <w:ilvl w:val="0"/>
          <w:numId w:val="20"/>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Waschen Sie den Brokkoli, zerteilen Sie ihn in Röschen, schneiden Sie den Stiel in dünne Scheiben.</w:t>
      </w:r>
    </w:p>
    <w:p>
      <w:pPr>
        <w:numPr>
          <w:ilvl w:val="0"/>
          <w:numId w:val="20"/>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Dämpfen Sie den Brokkoli kurz, so dass er noch leicht bissfest ist.</w:t>
      </w:r>
    </w:p>
    <w:p>
      <w:pPr>
        <w:numPr>
          <w:ilvl w:val="0"/>
          <w:numId w:val="20"/>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Während der Brokkoli dämpft, erwärmen Sie für die Limettensauce Butter in einem kleinen Topf, geben Sie </w:t>
        <w:fldChar w:fldCharType="begin"/>
        <w:instrText xml:space="preserve">XE "Knoblauch" \G </w:instrText>
        <w:fldChar w:fldCharType="end"/>
        <w:t xml:space="preserve">Knoblauch, Honig, Limettensaft (1 TL aufheben für den Lachs) und Estragon dazu und schmecken Sie die Soße mit </w:t>
        <w:fldChar w:fldCharType="begin"/>
        <w:instrText xml:space="preserve">XE "Pfeffer" \G </w:instrText>
        <w:fldChar w:fldCharType="end"/>
        <w:t>Pfeffer und Salz ab.</w:t>
      </w:r>
    </w:p>
    <w:p>
      <w:pPr>
        <w:numPr>
          <w:ilvl w:val="0"/>
          <w:numId w:val="20"/>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Rösten Sie die Mandeln in einer Pfanne ohne </w:t>
        <w:fldChar w:fldCharType="begin"/>
        <w:instrText xml:space="preserve">XE "Fett" \G </w:instrText>
        <w:fldChar w:fldCharType="end"/>
        <w:t>Fett.</w:t>
      </w:r>
    </w:p>
    <w:p>
      <w:pPr>
        <w:numPr>
          <w:ilvl w:val="0"/>
          <w:numId w:val="20"/>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Beträufeln Sie den Lachs mit Limettensaft, würzen Sie ihn mit Salz und </w:t>
        <w:fldChar w:fldCharType="begin"/>
        <w:instrText xml:space="preserve">XE "Pfeffer" \G </w:instrText>
        <w:fldChar w:fldCharType="end"/>
        <w:t>Pfeffer, bestreichen Sie ihn mit etwas Honig und geben Sie dann das Mandelmehl darüber (hält durch den Honig).</w:t>
      </w:r>
    </w:p>
    <w:p>
      <w:pPr>
        <w:numPr>
          <w:ilvl w:val="0"/>
          <w:numId w:val="20"/>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Nehmen Sie die gerösteten Mandeln aus der Pfanne und stellen Sie sie kurz zur Seite.</w:t>
      </w:r>
    </w:p>
    <w:p>
      <w:pPr>
        <w:numPr>
          <w:ilvl w:val="0"/>
          <w:numId w:val="20"/>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Geben Sie </w:t>
        <w:fldChar w:fldCharType="begin"/>
        <w:instrText xml:space="preserve">XE "Kokosöl" \G </w:instrText>
        <w:fldChar w:fldCharType="end"/>
        <w:t>Kokosöl in die Pfanne und braten Sie den Lachs darin an. Nehmen Sie dann den Lachs aus der Pfanne und legen Sie ihn auf einen gewärmten Teller.</w:t>
      </w:r>
    </w:p>
    <w:p>
      <w:pPr>
        <w:numPr>
          <w:ilvl w:val="0"/>
          <w:numId w:val="20"/>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Geben Sie etwas Butter zusätzlich in die Pfanne schwenken Sie den Brokkoli kurz darin, schmecken Sie ihn mit Salz und </w:t>
        <w:fldChar w:fldCharType="begin"/>
        <w:instrText xml:space="preserve">XE "Pfeffer" \G </w:instrText>
        <w:fldChar w:fldCharType="end"/>
        <w:t>Pfeffer ab, streuen Sie die gerösteten Mandelblättchen darüber und servieren Sie ihn mit dem Lachs und der Limettensauce.</w:t>
      </w:r>
    </w:p>
    <w:p>
      <w:r/>
    </w:p>
    <w:p>
      <w:pPr>
        <w:pStyle w:val="para2"/>
        <w:numPr>
          <w:ilvl w:val="1"/>
          <w:numId w:val="1"/>
        </w:numPr>
        <w:ind w:left="576" w:hanging="576"/>
      </w:pPr>
      <w:r>
        <w:br w:type="page"/>
      </w:r>
      <w:bookmarkStart w:id="311" w:name="_TOC000122"/>
      <w:r>
        <w:t>Eingelegter Hering mit Zwiebeln, Äpfeln und Essiggurken</w:t>
      </w:r>
      <w:bookmarkEnd w:id="311"/>
      <w:r/>
    </w:p>
    <w:p>
      <w:pPr>
        <w:spacing/>
        <w:jc w:val="left"/>
        <w:rPr>
          <w:rFonts w:eastAsia="Basic Roman"/>
          <w:color w:val="0000ff"/>
          <w:kern w:val="1"/>
          <w:u w:color="auto" w:val="single"/>
        </w:rPr>
      </w:pPr>
      <w:r>
        <w:rPr>
          <w:rFonts w:eastAsia="Basic Roman"/>
          <w:color w:val="000000"/>
          <w:kern w:val="1"/>
        </w:rPr>
        <w:t xml:space="preserve">Quelle: Buch </w:t>
      </w:r>
      <w:hyperlink r:id="rId112" w:history="1">
        <w:r>
          <w:rPr>
            <w:rStyle w:val="char20"/>
            <w:rFonts w:eastAsia="Basic Roman"/>
            <w:kern w:val="1"/>
          </w:rPr>
          <w:fldChar w:fldCharType="begin"/>
          <w:instrText xml:space="preserve">XE "Arthrose" \G </w:instrText>
          <w:fldChar w:fldCharType="end"/>
          <w:t>Arthrose und Gelenkschmerzen überwinden</w:t>
        </w:r>
      </w:hyperlink>
    </w:p>
    <w:p>
      <w:pPr>
        <w:spacing/>
        <w:jc w:val="left"/>
      </w:pPr>
      <w:r/>
    </w:p>
    <w:p>
      <w:pPr>
        <w:spacing/>
        <w:jc w:val="left"/>
        <w:rPr>
          <w:rFonts w:eastAsia="Basic Roman"/>
          <w:color w:val="000000"/>
          <w:kern w:val="1"/>
        </w:rPr>
      </w:pPr>
      <w:r>
        <w:rPr>
          <w:rFonts w:eastAsia="Basic Roman"/>
          <w:color w:val="000000"/>
          <w:kern w:val="1"/>
        </w:rPr>
        <w:t>Kaltwasserfische wie Hering, Heilbutt, Forelle, Kabeljau, Scholle oder Krabben sind voller entzündungshemmender Omega-3-</w:t>
        <w:fldChar w:fldCharType="begin"/>
        <w:instrText xml:space="preserve">XE "Fettsäuren" \G </w:instrText>
        <w:fldChar w:fldCharType="end"/>
        <w:t>Fettsäuren.</w:t>
      </w:r>
    </w:p>
    <w:p>
      <w:pPr>
        <w:spacing/>
        <w:jc w:val="left"/>
        <w:rPr>
          <w:rFonts w:eastAsia="Basic Roman"/>
          <w:color w:val="000000"/>
          <w:kern w:val="1"/>
        </w:rPr>
      </w:pPr>
      <w:r>
        <w:rPr>
          <w:rFonts w:eastAsia="Basic Roman"/>
          <w:color w:val="000000"/>
          <w:kern w:val="1"/>
        </w:rPr>
        <w:t xml:space="preserve">Außerdem minimiert das im Fisch enthaltene </w:t>
        <w:fldChar w:fldCharType="begin"/>
        <w:instrText xml:space="preserve">XE "Selen" \G </w:instrText>
        <w:fldChar w:fldCharType="end"/>
        <w:t xml:space="preserve">Selen Entzündungen und Gelenkschmerzen bei </w:t>
        <w:fldChar w:fldCharType="begin"/>
        <w:instrText xml:space="preserve">XE "Arthrose" \G </w:instrText>
        <w:fldChar w:fldCharType="end"/>
        <w:t>Arthrose.</w:t>
      </w:r>
    </w:p>
    <w:p>
      <w:pPr>
        <w:spacing/>
        <w:jc w:val="left"/>
        <w:rPr>
          <w:rFonts w:eastAsia="Basic Roman"/>
          <w:color w:val="000000"/>
          <w:kern w:val="1"/>
        </w:rPr>
      </w:pPr>
      <w:r>
        <w:rPr>
          <w:rFonts w:eastAsia="Basic Roman"/>
          <w:color w:val="000000"/>
          <w:kern w:val="1"/>
        </w:rPr>
      </w:r>
    </w:p>
    <w:p>
      <w:pPr>
        <w:spacing/>
        <w:jc w:val="left"/>
        <w:rPr>
          <w:b/>
        </w:rPr>
      </w:pPr>
      <w:r>
        <w:rPr>
          <w:b/>
        </w:rPr>
        <w:t>Zutaten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250 g Heringsfilets</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180 g Essiggurken (Abtropfgewicht)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250 g Naturjoghurt (3,5 % </w:t>
        <w:fldChar w:fldCharType="begin"/>
        <w:instrText xml:space="preserve">XE "Fett" \G </w:instrText>
        <w:fldChar w:fldCharType="end"/>
        <w:t>Fett)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1–2 mittelgroße Äpfel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1–2 mittelgroße Zwiebeln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fldChar w:fldCharType="begin"/>
        <w:instrText xml:space="preserve">XE "Pfeffer" \G </w:instrText>
        <w:fldChar w:fldCharType="end"/>
        <w:t>Pfeffer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3 Lorbeerblätter</w:t>
      </w:r>
    </w:p>
    <w:p>
      <w:pPr>
        <w:numPr>
          <w:ilvl w:val="0"/>
          <w:numId w:val="64"/>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8 Wacholderbeeren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w:t>
      </w:r>
    </w:p>
    <w:p>
      <w:pPr>
        <w:numPr>
          <w:ilvl w:val="0"/>
          <w:numId w:val="65"/>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Waschen Sie die Heringsfilets ab.</w:t>
      </w:r>
    </w:p>
    <w:p>
      <w:pPr>
        <w:numPr>
          <w:ilvl w:val="0"/>
          <w:numId w:val="65"/>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Schneiden Sie die </w:t>
        <w:fldChar w:fldCharType="begin"/>
        <w:instrText xml:space="preserve">XE "Zwiebel" \G </w:instrText>
        <w:fldChar w:fldCharType="end"/>
        <w:t>Zwiebel in feine Ringe und lassen diese 5 min. ruhen.</w:t>
      </w:r>
    </w:p>
    <w:p>
      <w:pPr>
        <w:numPr>
          <w:ilvl w:val="0"/>
          <w:numId w:val="65"/>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Schneiden Sie die Essiggurken und Äpfel in feine Scheiben.</w:t>
      </w:r>
    </w:p>
    <w:p>
      <w:pPr>
        <w:numPr>
          <w:ilvl w:val="0"/>
          <w:numId w:val="65"/>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Geben Sie die </w:t>
        <w:fldChar w:fldCharType="begin"/>
        <w:instrText xml:space="preserve">XE "Zwiebel" \G </w:instrText>
        <w:fldChar w:fldCharType="end"/>
        <w:t>Zwiebel, den Fisch, die Äpfel und die Essiggurken in eine große Tupperdose. Schütten Sie den Joghurt darüber und pfeffern Sie das Ganze gut.</w:t>
      </w:r>
    </w:p>
    <w:p>
      <w:pPr>
        <w:numPr>
          <w:ilvl w:val="0"/>
          <w:numId w:val="65"/>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Fügen Sie zum Schluss die Lorbeerblätter und die Wacholderbeeren hinzu, schließen Sie die Dose und schütteln Sie sie, bis sich alles gut vermischt hat.</w:t>
      </w:r>
    </w:p>
    <w:p>
      <w:pPr>
        <w:numPr>
          <w:ilvl w:val="0"/>
          <w:numId w:val="65"/>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Am besten schmeckt der Hering am nächsten Tag. Also einfach über Nacht in den Kühlschrank stellen und warten, bis er gut durchgezogen ist.</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pStyle w:val="para2"/>
        <w:numPr>
          <w:ilvl w:val="1"/>
          <w:numId w:val="1"/>
        </w:numPr>
        <w:ind w:left="576" w:hanging="576"/>
      </w:pPr>
      <w:r>
        <w:br w:type="page"/>
      </w:r>
      <w:bookmarkStart w:id="312" w:name="_TOC000279"/>
      <w:r>
        <w:t>Ofenkartoffeln mit Avocadosoße</w:t>
      </w:r>
      <w:bookmarkEnd w:id="312"/>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sz w:val="24"/>
          <w:szCs w:val="20"/>
          <w:u w:color="auto" w:val="single"/>
        </w:rPr>
      </w:pPr>
      <w:r>
        <w:rPr>
          <w:rFonts w:eastAsia="Basic Roman"/>
          <w:color w:val="000000"/>
          <w:kern w:val="1"/>
          <w:sz w:val="24"/>
          <w:szCs w:val="20"/>
        </w:rPr>
        <w:t xml:space="preserve">Quelle: </w:t>
      </w:r>
      <w:hyperlink r:id="rId113" w:history="1">
        <w:r>
          <w:rPr>
            <w:rStyle w:val="char20"/>
            <w:rFonts w:eastAsia="Basic Roman"/>
            <w:kern w:val="1"/>
            <w:sz w:val="24"/>
            <w:szCs w:val="20"/>
          </w:rPr>
          <w:t>Die große Lauf-Diät</w:t>
        </w:r>
      </w:hyperlink>
    </w:p>
    <w:p>
      <w:r/>
    </w:p>
    <w:p>
      <w:pPr>
        <w:rPr>
          <w:b/>
          <w:bCs/>
        </w:rPr>
      </w:pPr>
      <w:r>
        <w:rPr>
          <w:b/>
          <w:bCs/>
        </w:rPr>
        <w:t>Zutaten: für 2 Personen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200 g Biokartoffeln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EL geschmolzene Butter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kleine reife Avocado, püriert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20 g frischer </w:t>
        <w:fldChar w:fldCharType="begin"/>
        <w:instrText xml:space="preserve">XE "Ingwer" \G </w:instrText>
        <w:fldChar w:fldCharType="end"/>
        <w:t>Ingwer, gerieben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großer Bund frische Kräuter (mindestens 3 Sorten)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kleine </w:t>
        <w:fldChar w:fldCharType="begin"/>
        <w:instrText xml:space="preserve">XE "Zwiebel" \G </w:instrText>
        <w:fldChar w:fldCharType="end"/>
        <w:t>Zwiebel in feinen Würfeln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Knoblauchzehe in Scheibchen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150 g Naturjoghurt (3,5 % </w:t>
        <w:fldChar w:fldCharType="begin"/>
        <w:instrText xml:space="preserve">XE "Fett" \G </w:instrText>
        <w:fldChar w:fldCharType="end"/>
        <w:t>Fett)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TL frisch gepresster Zitronensaft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Kräutersalz</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fldChar w:fldCharType="begin"/>
        <w:instrText xml:space="preserve">XE "Pfeffer" \G </w:instrText>
        <w:fldChar w:fldCharType="end"/>
        <w:t>Pfeffer aus der Mühle</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Tomate</w:t>
      </w:r>
    </w:p>
    <w:p>
      <w:r/>
    </w:p>
    <w:p>
      <w:pPr>
        <w:rPr>
          <w:b/>
          <w:bCs/>
        </w:rPr>
      </w:pPr>
      <w:r>
        <w:rPr>
          <w:b/>
          <w:bCs/>
        </w:rPr>
        <w:t>Zubereitungszeit: ca. 35 Minuten</w:t>
      </w:r>
    </w:p>
    <w:p>
      <w:r>
        <w:t>Die ungeschälten Biokartoffeln kochen, in Hälften teilen, mit Butter bestreichen und im Backofen bei 200 °C (Umluft 180 °C, Gas Stufe 3–4) ca. 15 Minuten überbacken.</w:t>
      </w:r>
    </w:p>
    <w:p>
      <w:r>
        <w:t xml:space="preserve">Avocadopüree mit </w:t>
        <w:fldChar w:fldCharType="begin"/>
        <w:instrText xml:space="preserve">XE "Ingwer" \G </w:instrText>
        <w:fldChar w:fldCharType="end"/>
        <w:t xml:space="preserve">Ingwer, Kräutern, Zwiebeln und </w:t>
        <w:fldChar w:fldCharType="begin"/>
        <w:instrText xml:space="preserve">XE "Knoblauch" \G </w:instrText>
        <w:fldChar w:fldCharType="end"/>
        <w:t>Knoblauch verrühren.</w:t>
      </w:r>
    </w:p>
    <w:p>
      <w:r>
        <w:t xml:space="preserve">Joghurt, Zitronensaft, Kräutersalz und </w:t>
        <w:fldChar w:fldCharType="begin"/>
        <w:instrText xml:space="preserve">XE "Pfeffer" \G </w:instrText>
        <w:fldChar w:fldCharType="end"/>
        <w:t>Pfeffer darunter mischen und die Masse über die heißen Kartoffelhälften geben.</w:t>
      </w:r>
    </w:p>
    <w:p>
      <w:r>
        <w:t>Die gewaschene Tomate vierteln und auf dem Teller mit den Kartoffelhälften anrichten.</w:t>
      </w:r>
    </w:p>
    <w:p>
      <w:r/>
    </w:p>
    <w:p>
      <w:pPr>
        <w:pStyle w:val="para2"/>
        <w:numPr>
          <w:ilvl w:val="1"/>
          <w:numId w:val="1"/>
        </w:numPr>
        <w:ind w:left="576" w:hanging="576"/>
      </w:pPr>
      <w:r>
        <w:br w:type="page"/>
      </w:r>
      <w:bookmarkStart w:id="313" w:name="_TOC000274"/>
      <w:r>
        <w:t>Eiersalat mit grünem Spargel</w:t>
      </w:r>
      <w:bookmarkEnd w:id="313"/>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sz w:val="24"/>
          <w:szCs w:val="20"/>
          <w:u w:color="auto" w:val="single"/>
        </w:rPr>
      </w:pPr>
      <w:r>
        <w:rPr>
          <w:rFonts w:eastAsia="Basic Roman"/>
          <w:color w:val="000000"/>
          <w:kern w:val="1"/>
          <w:sz w:val="24"/>
          <w:szCs w:val="20"/>
        </w:rPr>
        <w:t xml:space="preserve">Quelle: Buch </w:t>
      </w:r>
      <w:hyperlink r:id="rId110" w:history="1">
        <w:r>
          <w:rPr>
            <w:rStyle w:val="char20"/>
            <w:rFonts w:eastAsia="Basic Roman"/>
            <w:kern w:val="1"/>
            <w:sz w:val="24"/>
            <w:szCs w:val="20"/>
          </w:rPr>
          <w:t>Lauf Dich Gesund</w:t>
        </w:r>
      </w:hyperlink>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Zutaten für 4 Personen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6 Eier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500 g grüner Spargel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Salz</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1–2 TL </w:t>
        <w:fldChar w:fldCharType="begin"/>
        <w:instrText xml:space="preserve">XE "Senf" \G </w:instrText>
        <w:fldChar w:fldCharType="end"/>
        <w:t>Senf</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rote Paprika</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100 g gekochter Schinken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Avocados (je ca. 250 g)</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1–2 Zitronen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150 ml Gemüsebrühe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weißer </w:t>
        <w:fldChar w:fldCharType="begin"/>
        <w:instrText xml:space="preserve">XE "Pfeffer" \G </w:instrText>
        <w:fldChar w:fldCharType="end"/>
        <w:t>Pfeffer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Bund Schnittlauch</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Bund Frühlingszwiebeln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w:t>
      </w:r>
    </w:p>
    <w:p>
      <w:pPr>
        <w:numPr>
          <w:ilvl w:val="0"/>
          <w:numId w:val="6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Kochen Sie die Eier für ca. 8 Minuten im kochenden Wasser hart.</w:t>
      </w:r>
    </w:p>
    <w:p>
      <w:pPr>
        <w:numPr>
          <w:ilvl w:val="0"/>
          <w:numId w:val="6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Waschen Sie den grünen Spargel kurz ab, entfernen Sie die holzigen Enden, schneiden Sie ihn in grobe Stücke und dämpfen Sie ihn, bis er durch, aber noch bissfest ist.</w:t>
      </w:r>
    </w:p>
    <w:p>
      <w:pPr>
        <w:numPr>
          <w:ilvl w:val="0"/>
          <w:numId w:val="6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Waschen Sie die Paprikaschote und schneiden Sie sie in kleine Würfel. Schneiden Sie den Schinken in Streifen. Schälen Sie die Eier und schneiden Sie sie in Stücke oder Scheiben. Schneiden Sie den Schnittlauch und die</w:t>
      </w:r>
    </w:p>
    <w:p>
      <w:pPr>
        <w:numPr>
          <w:ilvl w:val="0"/>
          <w:numId w:val="6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Frühlingszwiebeln in feine Ringe und lassen Sie die Zwiebeln 5 Minuten ruhen.</w:t>
      </w:r>
    </w:p>
    <w:p>
      <w:pPr>
        <w:numPr>
          <w:ilvl w:val="0"/>
          <w:numId w:val="6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Halbieren Sie die Avocados, schneiden Sie eine Avocado in Spalten.</w:t>
      </w:r>
    </w:p>
    <w:p>
      <w:pPr>
        <w:numPr>
          <w:ilvl w:val="0"/>
          <w:numId w:val="6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Für die Salatsauce zerdrücken Sie die zweite Avocado mit Zitronensaft. Fügen Sie Brühe, </w:t>
        <w:fldChar w:fldCharType="begin"/>
        <w:instrText xml:space="preserve">XE "Senf" \G </w:instrText>
        <w:fldChar w:fldCharType="end"/>
        <w:t xml:space="preserve">Senf und den Schnittlauch hinzu, vermischen Sie alles gut. Schmecken Sie es mit </w:t>
        <w:fldChar w:fldCharType="begin"/>
        <w:instrText xml:space="preserve">XE "Pfeffer" \G </w:instrText>
        <w:fldChar w:fldCharType="end"/>
        <w:t>Pfeffer und Salz ab.</w:t>
      </w:r>
    </w:p>
    <w:p>
      <w:pPr>
        <w:numPr>
          <w:ilvl w:val="0"/>
          <w:numId w:val="6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Vermengen Sie alle Zutaten für den Salat vorsichtig miteinander und heben Sie das Avocado-Zitronendressing unter. Mit dem restlichen Schnittlauch garnieren.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Wussten Sie schon? Eier machen gute Laune.</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Der Grund dafür ist der hohe Gehalt der Aminosäure Tryptophan.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Außerdem verbessert der hohe Cholingehalt der Eier die Gedächtnisleistung und die Kommunikation zwischen Muskulatur und Gehirn. Da Eier auch eine gute Quelle für Vitamin B</w:t>
      </w:r>
      <w:r>
        <w:rPr>
          <w:rFonts w:eastAsia="Tahoma" w:cs="Tahoma"/>
          <w:color w:val="000000"/>
          <w:kern w:val="1"/>
          <w:vertAlign w:val="subscript"/>
          <w:lang w:eastAsia="de-de" w:bidi="de-de"/>
        </w:rPr>
        <w:t>12</w:t>
      </w:r>
      <w:r>
        <w:rPr>
          <w:rFonts w:eastAsia="Basic Roman"/>
          <w:color w:val="000000"/>
          <w:kern w:val="1"/>
        </w:rPr>
        <w:t xml:space="preserve"> sind, unterstützen sie zusätzlich die Blutbildung und die Zellteilung.</w:t>
      </w:r>
      <w:r>
        <w:rPr>
          <w:rFonts w:eastAsia="Basic Roman"/>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Das Cholesterin in den Eiern hat keinen Einfluss auf Ihre Cholesterinwerte.</w:t>
      </w:r>
    </w:p>
    <w:p>
      <w:pPr>
        <w:pStyle w:val="para2"/>
        <w:numPr>
          <w:ilvl w:val="1"/>
          <w:numId w:val="1"/>
        </w:numPr>
        <w:ind w:left="576" w:hanging="576"/>
      </w:pPr>
      <w:r>
        <w:br w:type="page"/>
      </w:r>
      <w:bookmarkStart w:id="314" w:name="_TOC000179"/>
      <w:r>
        <w:t>Mango-Avocado-Salat mit Garnelen</w:t>
      </w:r>
      <w:bookmarkEnd w:id="314"/>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u w:color="auto" w:val="single"/>
        </w:rPr>
      </w:pPr>
      <w:r>
        <w:rPr>
          <w:rFonts w:eastAsia="Basic Roman"/>
          <w:color w:val="000000"/>
          <w:kern w:val="1"/>
        </w:rPr>
        <w:t xml:space="preserve">Quelle: Buch </w:t>
      </w:r>
      <w:hyperlink r:id="rId110" w:history="1">
        <w:r>
          <w:rPr>
            <w:rStyle w:val="char20"/>
            <w:rFonts w:eastAsia="Basic Roman"/>
            <w:kern w:val="1"/>
          </w:rPr>
          <w:t>Lauf Dich Gesund</w:t>
        </w:r>
      </w:hyperlink>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Zutaten Für 2 Personen: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Salat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kleine rote </w:t>
        <w:fldChar w:fldCharType="begin"/>
        <w:instrText xml:space="preserve">XE "Zwiebel" \G </w:instrText>
        <w:fldChar w:fldCharType="end"/>
        <w:t>Zwiebel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200 g gelbe Cocktailtomaten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grüne Paprika</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½ oder eine kleine Mango</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Avocado</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Bund frische Minzeblätter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200 g Rucola und gemischte Salatblätter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300 g Bio-Garnelen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Etwas Butter zum Anbraten</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fldChar w:fldCharType="begin"/>
        <w:instrText xml:space="preserve">XE "Chili" \G </w:instrText>
        <w:fldChar w:fldCharType="end"/>
        <w:t>Chili</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bCs/>
          <w:color w:val="000000"/>
          <w:kern w:val="1"/>
        </w:rPr>
      </w:pPr>
      <w:r>
        <w:rPr>
          <w:rFonts w:eastAsia="Basic Roman"/>
          <w:b/>
          <w:bCs/>
          <w:color w:val="000000"/>
          <w:kern w:val="1"/>
        </w:rPr>
        <w:t>Salatsoße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fldChar w:fldCharType="begin"/>
        <w:instrText xml:space="preserve">XE "Pfeffer" \G </w:instrText>
        <w:fldChar w:fldCharType="end"/>
        <w:t>Pfeffer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Saft von 1–2 Limetten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Prise frisch gemahlenes Chilipulver oder 1 frische Chilischote (klein gehackt)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TL Honig</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EL japanische, traditionell hergestellte Sojasoße</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b/>
          <w:color w:val="000000"/>
          <w:kern w:val="1"/>
        </w:rPr>
        <w:t>Interessant:</w:t>
      </w:r>
      <w:r>
        <w:rPr>
          <w:rFonts w:eastAsia="Basic Roman"/>
          <w:color w:val="000000"/>
          <w:kern w:val="1"/>
        </w:rPr>
        <w:t xml:space="preserve"> Avocado enthält Avocatin B. Das ist ein Wirkstoff, der Leukämie-Zellen angreift und vor Blutkrebs schützt. Außerdem senken Avocados Entzündungsreaktionen durch ihren guten Vitamin C und Kupfergehalt.</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w:t>
      </w:r>
    </w:p>
    <w:p>
      <w:pPr>
        <w:numPr>
          <w:ilvl w:val="0"/>
          <w:numId w:val="2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Schneiden Sie die rote </w:t>
        <w:fldChar w:fldCharType="begin"/>
        <w:instrText xml:space="preserve">XE "Zwiebel" \G </w:instrText>
        <w:fldChar w:fldCharType="end"/>
        <w:t>Zwiebel in Ringe und lassen Sie sie 5 Minuten ruhen.</w:t>
      </w:r>
    </w:p>
    <w:p>
      <w:pPr>
        <w:numPr>
          <w:ilvl w:val="0"/>
          <w:numId w:val="2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Schneiden Sie Paprika und Mango klein, halbieren Sie die Avocado und schneiden Sie sie in feine Scheiben.</w:t>
      </w:r>
    </w:p>
    <w:p>
      <w:pPr>
        <w:numPr>
          <w:ilvl w:val="0"/>
          <w:numId w:val="2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Halbieren Sie die Cocktailtomaten.</w:t>
      </w:r>
    </w:p>
    <w:p>
      <w:pPr>
        <w:numPr>
          <w:ilvl w:val="0"/>
          <w:numId w:val="2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Waschen Sie Rucola, Salatblätter und Minzeblätter.</w:t>
      </w:r>
    </w:p>
    <w:p>
      <w:pPr>
        <w:numPr>
          <w:ilvl w:val="0"/>
          <w:numId w:val="2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Vermischen Sie die Zutaten für die Salatsoße.</w:t>
      </w:r>
    </w:p>
    <w:p>
      <w:pPr>
        <w:numPr>
          <w:ilvl w:val="0"/>
          <w:numId w:val="2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Erhitzen Sie </w:t>
        <w:fldChar w:fldCharType="begin"/>
        <w:instrText xml:space="preserve">XE "Kokosöl" \G </w:instrText>
        <w:fldChar w:fldCharType="end"/>
        <w:t xml:space="preserve">Kokosöl in einer Pfanne, fügen Sie </w:t>
        <w:fldChar w:fldCharType="begin"/>
        <w:instrText xml:space="preserve">XE "Chili" \G </w:instrText>
        <w:fldChar w:fldCharType="end"/>
        <w:t>Chili dazu und braten Sie die Shrimps darin gut an.</w:t>
      </w:r>
    </w:p>
    <w:p>
      <w:pPr>
        <w:numPr>
          <w:ilvl w:val="0"/>
          <w:numId w:val="2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Richten Sie auf dem Teller die Salatblätter, Avocadoscheiben, Mango, Paprika, Tomaten und Zwiebeln an, legen Sie die angebratenen Garnelen darüber und beträufeln Sie das Ganze zum Schluss mit der Salatsoße.</w:t>
      </w:r>
    </w:p>
    <w:p>
      <w:r/>
    </w:p>
    <w:p>
      <w:pPr>
        <w:pStyle w:val="para2"/>
        <w:numPr>
          <w:ilvl w:val="1"/>
          <w:numId w:val="1"/>
        </w:numPr>
        <w:ind w:left="576" w:hanging="576"/>
      </w:pPr>
      <w:r>
        <w:br w:type="page"/>
      </w:r>
      <w:bookmarkStart w:id="315" w:name="_TOC000178"/>
      <w:r>
        <w:t>Auberginen-Tomaten-Auflauf</w:t>
      </w:r>
      <w:bookmarkEnd w:id="315"/>
      <w:r/>
    </w:p>
    <w:p>
      <w:p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u w:color="auto" w:val="single"/>
        </w:rPr>
      </w:pPr>
      <w:r>
        <w:rPr>
          <w:rFonts w:eastAsia="Basic Roman"/>
          <w:color w:val="000000"/>
          <w:kern w:val="1"/>
        </w:rPr>
        <w:t xml:space="preserve">Quelle: Buch </w:t>
      </w:r>
      <w:hyperlink r:id="rId110" w:history="1">
        <w:r>
          <w:rPr>
            <w:rStyle w:val="char20"/>
            <w:rFonts w:eastAsia="Basic Roman"/>
            <w:kern w:val="1"/>
          </w:rPr>
          <w:t>Lauf Dich Gesund</w:t>
        </w:r>
      </w:hyperlink>
    </w:p>
    <w:p>
      <w:p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b/>
          <w:color w:val="000000"/>
          <w:kern w:val="1"/>
        </w:rPr>
        <w:t>Interessant:</w:t>
      </w:r>
      <w:r>
        <w:rPr>
          <w:rFonts w:eastAsia="Basic Roman"/>
          <w:color w:val="000000"/>
          <w:kern w:val="1"/>
        </w:rPr>
        <w:t xml:space="preserve"> Auberginen sind ein Segen für den Darm, denn sie enthalten viele lösliche Faserstoffe. Außerdem wirken sie durch ihren Kaliumgehalt blutdrucksenkend.</w:t>
      </w:r>
    </w:p>
    <w:p>
      <w:p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Zutaten Für 4 Personen: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kg Auberginen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3 Knoblauchzehen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große Dose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Tomaten (800 g)</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Abtropfgewicht: 480 g</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EL Butterschmalz</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100 g Parmesan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Bund frisches Basilikum</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3 TL </w:t>
        <w:fldChar w:fldCharType="begin"/>
        <w:instrText xml:space="preserve">XE "Olivenöl" \G </w:instrText>
        <w:fldChar w:fldCharType="end"/>
        <w:t>Olivenöl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Scharfer Paprika, </w:t>
        <w:fldChar w:fldCharType="begin"/>
        <w:instrText xml:space="preserve">XE "Chili" \G </w:instrText>
        <w:fldChar w:fldCharType="end"/>
        <w:t xml:space="preserve">Chili, Salz, </w:t>
        <w:fldChar w:fldCharType="begin"/>
        <w:instrText xml:space="preserve">XE "Pfeffer" \G </w:instrText>
        <w:fldChar w:fldCharType="end"/>
        <w:t>Pfeffer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TL Dr. Feil-Gewürz oder </w:t>
        <w:fldChar w:fldCharType="begin"/>
        <w:instrText xml:space="preserve">XE "Zimt" \G </w:instrText>
        <w:fldChar w:fldCharType="end"/>
        <w:t>Zimt</w:t>
      </w:r>
    </w:p>
    <w:p>
      <w:pPr>
        <w:numPr>
          <w:ilvl w:val="0"/>
          <w:numId w:val="2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500 g Mozzarella</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w:t>
      </w:r>
    </w:p>
    <w:p>
      <w:pPr>
        <w:numPr>
          <w:ilvl w:val="0"/>
          <w:numId w:val="2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Heizen Sie den Backofen auf 180 Grad Umluft vor.</w:t>
      </w:r>
    </w:p>
    <w:p>
      <w:pPr>
        <w:numPr>
          <w:ilvl w:val="0"/>
          <w:numId w:val="2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Schneiden Sie die Auberginen in 0,5 cm dicke Scheiben und bestreichen Sie sie mit der Dr. Feil­Öl­Marinade (3 TL </w:t>
        <w:fldChar w:fldCharType="begin"/>
        <w:instrText xml:space="preserve">XE "Olivenöl" \G </w:instrText>
        <w:fldChar w:fldCharType="end"/>
        <w:t xml:space="preserve">Olivenöl + 1 TL­Dr. Feil Gewürzmischung oder </w:t>
        <w:fldChar w:fldCharType="begin"/>
        <w:instrText xml:space="preserve">XE "Zimt" \G </w:instrText>
        <w:fldChar w:fldCharType="end"/>
        <w:t>Zimt)</w:t>
      </w:r>
    </w:p>
    <w:p>
      <w:pPr>
        <w:numPr>
          <w:ilvl w:val="0"/>
          <w:numId w:val="2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Legen Sie die Auberginen auf ein Blech mit Backpapier und backen Sie sie für 20 Minuten.</w:t>
      </w:r>
    </w:p>
    <w:p>
      <w:pPr>
        <w:numPr>
          <w:ilvl w:val="0"/>
          <w:numId w:val="2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Hacken Sie den </w:t>
        <w:fldChar w:fldCharType="begin"/>
        <w:instrText xml:space="preserve">XE "Knoblauch" \G </w:instrText>
        <w:fldChar w:fldCharType="end"/>
        <w:t>Knoblauch fein und lassen Sie ihn mindestens 5 Minuten stehen.</w:t>
      </w:r>
    </w:p>
    <w:p>
      <w:pPr>
        <w:numPr>
          <w:ilvl w:val="0"/>
          <w:numId w:val="2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Erwärmen Sie Butterschmalz in einem mittleren Topf, dünsten Sie dann den </w:t>
        <w:fldChar w:fldCharType="begin"/>
        <w:instrText xml:space="preserve">XE "Knoblauch" \G </w:instrText>
        <w:fldChar w:fldCharType="end"/>
        <w:t xml:space="preserve">Knoblauch an, fügen Sie danach die Tomaten hinzu und würzen Sie mit </w:t>
        <w:fldChar w:fldCharType="begin"/>
        <w:instrText xml:space="preserve">XE "Chili" \G </w:instrText>
        <w:fldChar w:fldCharType="end"/>
        <w:t xml:space="preserve">Chili, scharfem Paprika, </w:t>
        <w:fldChar w:fldCharType="begin"/>
        <w:instrText xml:space="preserve">XE "Pfeffer" \G </w:instrText>
        <w:fldChar w:fldCharType="end"/>
        <w:t>Pfeffer und Salz. Rühren Sie ab und zu um.</w:t>
      </w:r>
    </w:p>
    <w:p>
      <w:pPr>
        <w:numPr>
          <w:ilvl w:val="0"/>
          <w:numId w:val="2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Reiben Sie den Parmesan und schneiden Sie den Mozzarella in Würfel.</w:t>
      </w:r>
    </w:p>
    <w:p>
      <w:pPr>
        <w:numPr>
          <w:ilvl w:val="0"/>
          <w:numId w:val="2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Schichten Sie Tomatensoße, Auberginen und Mozzarella in dieser Reihenfolge aufeinander und streuen Sie ganz zum Schluss den Parmesan über den Auflauf.</w:t>
      </w:r>
    </w:p>
    <w:p>
      <w:pPr>
        <w:numPr>
          <w:ilvl w:val="0"/>
          <w:numId w:val="2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Dann 30 Minuten im Ofen backen.</w:t>
      </w:r>
    </w:p>
    <w:p>
      <w:r/>
    </w:p>
    <w:p>
      <w:pPr>
        <w:pStyle w:val="para2"/>
        <w:numPr>
          <w:ilvl w:val="1"/>
          <w:numId w:val="1"/>
        </w:numPr>
        <w:ind w:left="576" w:hanging="576"/>
      </w:pPr>
      <w:r>
        <w:br w:type="page"/>
      </w:r>
      <w:bookmarkStart w:id="316" w:name="_TOC000230"/>
      <w:r>
        <w:t>Minibraten mit Wurzelgemüse</w:t>
      </w:r>
      <w:bookmarkEnd w:id="316"/>
      <w:r/>
    </w:p>
    <w:p>
      <w:p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u w:color="auto" w:val="single"/>
        </w:rPr>
      </w:pPr>
      <w:r>
        <w:rPr>
          <w:rFonts w:eastAsia="Basic Roman"/>
          <w:color w:val="000000"/>
          <w:kern w:val="1"/>
        </w:rPr>
        <w:t xml:space="preserve">Quelle: Buch </w:t>
      </w:r>
      <w:hyperlink r:id="rId114" w:history="1">
        <w:r>
          <w:rPr>
            <w:rStyle w:val="char20"/>
            <w:rFonts w:eastAsia="Basic Roman"/>
            <w:kern w:val="1"/>
          </w:rPr>
          <w:t>Dr. Food – Gesunde Ernährung für starke Gelenke</w:t>
        </w:r>
      </w:hyperlink>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Zutaten für 2 Portionen</w:t>
      </w:r>
    </w:p>
    <w:p>
      <w:p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Zubereitungszeit 2 Std. 15 Minuten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1/2 TL Pfefferkörner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Zweige Rosmarin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Knoblauchzehe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½ TL Fenchelsamen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Meersalz (am besten Fleur de Sel oder Salzflocken)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600 g Schweinehalsgrat ohne Schwarte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5 EL </w:t>
        <w:fldChar w:fldCharType="begin"/>
        <w:instrText xml:space="preserve">XE "Olivenöl" \G </w:instrText>
        <w:fldChar w:fldCharType="end"/>
        <w:t>Olivenöl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100 ml Rotwein (ersatzweise Trauben oder Holundersaft)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250 g festkochende Kartoffeln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Möhren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200 g Rote Bete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Pastinake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rote Zwiebeln</w:t>
      </w:r>
    </w:p>
    <w:p>
      <w:pPr>
        <w:numPr>
          <w:ilvl w:val="0"/>
          <w:numId w:val="2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TL Honig</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w:t>
      </w:r>
    </w:p>
    <w:p>
      <w:pPr>
        <w:numPr>
          <w:ilvl w:val="0"/>
          <w:numId w:val="35"/>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Den Backofen auf 200° vorheizen.</w:t>
      </w:r>
    </w:p>
    <w:p>
      <w:pPr>
        <w:numPr>
          <w:ilvl w:val="0"/>
          <w:numId w:val="35"/>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Pfefferkörner grob zerstoßen. Rosmarin waschen, trocken schütteln und die Nadeln fein hacken.</w:t>
      </w:r>
    </w:p>
    <w:p>
      <w:pPr>
        <w:numPr>
          <w:ilvl w:val="0"/>
          <w:numId w:val="35"/>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fldChar w:fldCharType="begin"/>
        <w:instrText xml:space="preserve">XE "Knoblauch" \G </w:instrText>
        <w:fldChar w:fldCharType="end"/>
        <w:t xml:space="preserve">Knoblauch schälen, fein hacken und mit der Hälfte des Rosmarins, </w:t>
        <w:fldChar w:fldCharType="begin"/>
        <w:instrText xml:space="preserve">XE "Pfeffer" \G </w:instrText>
        <w:fldChar w:fldCharType="end"/>
        <w:t>Pfeffer, Fenchelsamen und knapp 1 TL Meersalz vermischen.</w:t>
      </w:r>
    </w:p>
    <w:p>
      <w:pPr>
        <w:numPr>
          <w:ilvl w:val="0"/>
          <w:numId w:val="35"/>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Fleisch abbrausen und trocken tupfen. Rundherum mit 1 1/2 EL </w:t>
        <w:fldChar w:fldCharType="begin"/>
        <w:instrText xml:space="preserve">XE "Olivenöl" \G </w:instrText>
        <w:fldChar w:fldCharType="end"/>
        <w:t>Olivenöl bestreichen und mit der Rosmarinmischung bestreuen. In einen großen Bräter oder auf ein Backblech geben und im heißen Ofen (Mitte) zunächst ca. 1 Std. 15 Min. garen, dabei die Hälfte des Weins und etwas Wasser angießen. Den Braten mindestens einmal wenden und ab und zu mit dem Bratsud begießen.</w:t>
      </w:r>
    </w:p>
    <w:p>
      <w:pPr>
        <w:numPr>
          <w:ilvl w:val="0"/>
          <w:numId w:val="35"/>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Gemüse schälen und in dickere Stifte oder breite Spalten schneiden. Nach 1 Std. 15 Min. Garzeit neben dem Braten verteilen, mit dem übrigen Rosmarin und 1 TL Meersalz bestreuen und mit dem restlichen </w:t>
        <w:fldChar w:fldCharType="begin"/>
        <w:instrText xml:space="preserve">XE "Olivenöl" \G </w:instrText>
        <w:fldChar w:fldCharType="end"/>
        <w:t>Olivenöl (3 1/2 EL) beträufeln. Den übrigen Wein und eventuell etwas Wasser angießen.</w:t>
      </w:r>
    </w:p>
    <w:p>
      <w:pPr>
        <w:numPr>
          <w:ilvl w:val="0"/>
          <w:numId w:val="35"/>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Alles weitere 45–55 Min. garen, zwischendurch das Gemüse mindestens einmal wenden und mit Soße überziehen. Eventuell etwas Wasser angießen.</w:t>
      </w:r>
    </w:p>
    <w:p>
      <w:pPr>
        <w:numPr>
          <w:ilvl w:val="0"/>
          <w:numId w:val="35"/>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Das Fleisch aus dem Ofen nehmen und kurz ruhen lassen. Honig unter den Bratsud rühren und abschmecken. Den Braten in Scheiben schneiden und mit dem Gemüse servieren.</w:t>
      </w:r>
    </w:p>
    <w:p>
      <w:r/>
    </w:p>
    <w:p>
      <w:pPr>
        <w:pStyle w:val="para2"/>
        <w:numPr>
          <w:ilvl w:val="1"/>
          <w:numId w:val="1"/>
        </w:numPr>
        <w:ind w:left="576" w:hanging="576"/>
      </w:pPr>
      <w:r>
        <w:br w:type="page"/>
      </w:r>
      <w:bookmarkStart w:id="317" w:name="_TOC000234"/>
      <w:r/>
      <w:bookmarkStart w:id="318" w:name="_TOC000118"/>
      <w:r>
        <w:t>Gulasch mit Paprika, Zwiebeln, Tomatenmark, dazu Dinkelbandnudeln</w:t>
      </w:r>
      <w:bookmarkEnd w:id="318"/>
      <w:r/>
      <w:bookmarkEnd w:id="317"/>
      <w:r/>
    </w:p>
    <w:p>
      <w:pPr>
        <w:spacing/>
        <w:jc w:val="left"/>
        <w:rPr>
          <w:color w:val="0000ff"/>
          <w:u w:color="auto" w:val="single"/>
        </w:rPr>
      </w:pPr>
      <w:r>
        <w:t xml:space="preserve">Quelle: </w:t>
      </w:r>
      <w:hyperlink r:id="rId107" w:history="1">
        <w:r>
          <w:rPr>
            <w:rStyle w:val="char20"/>
          </w:rPr>
          <w:fldChar w:fldCharType="begin"/>
          <w:instrText xml:space="preserve">XE "Arthrose" \G </w:instrText>
          <w:fldChar w:fldCharType="end"/>
          <w:t>Arthrose und Gelenkschmerzen überwinden</w:t>
        </w:r>
      </w:hyperlink>
    </w:p>
    <w:p>
      <w:r/>
    </w:p>
    <w:p>
      <w:pPr>
        <w:spacing/>
        <w:jc w:val="left"/>
        <w:rPr>
          <w:b/>
          <w:bCs/>
        </w:rPr>
      </w:pPr>
      <w:r>
        <w:rPr>
          <w:b/>
          <w:bCs/>
        </w:rPr>
        <w:t>Zutaten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120 g Dinkelbandnudeln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große </w:t>
        <w:fldChar w:fldCharType="begin"/>
        <w:instrText xml:space="preserve">XE "Zwiebel" \G </w:instrText>
        <w:fldChar w:fldCharType="end"/>
        <w:t>Zwiebel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grüne Paprika</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250 ml Wasser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250 g Rindfleisch</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TL </w:t>
        <w:fldChar w:fldCharType="begin"/>
        <w:instrText xml:space="preserve">XE "Zimt" \G </w:instrText>
        <w:fldChar w:fldCharType="end"/>
        <w:t>Zimt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TL </w:t>
        <w:fldChar w:fldCharType="begin"/>
        <w:instrText xml:space="preserve">XE "Kurkuma" \G </w:instrText>
        <w:fldChar w:fldCharType="end"/>
        <w:t>Kurkuma</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 g Tomatenmark</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1,5 EL Gewürzhefe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25 g frischer </w:t>
        <w:fldChar w:fldCharType="begin"/>
        <w:instrText xml:space="preserve">XE "Ingwer" \G </w:instrText>
        <w:fldChar w:fldCharType="end"/>
        <w:t>Ingwer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25–40 g Petersilie</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EL Bio-</w:t>
        <w:fldChar w:fldCharType="begin"/>
        <w:instrText xml:space="preserve">XE "Kokosöl" \G </w:instrText>
        <w:fldChar w:fldCharType="end"/>
        <w:t>Kokosöl</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w:t>
      </w:r>
    </w:p>
    <w:p>
      <w:pPr>
        <w:numPr>
          <w:ilvl w:val="0"/>
          <w:numId w:val="22"/>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Kochen Sie die Nudeln nach Packungsanleitung.</w:t>
      </w:r>
    </w:p>
    <w:p>
      <w:pPr>
        <w:numPr>
          <w:ilvl w:val="0"/>
          <w:numId w:val="22"/>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Schneiden Sie die </w:t>
        <w:fldChar w:fldCharType="begin"/>
        <w:instrText xml:space="preserve">XE "Zwiebel" \G </w:instrText>
        <w:fldChar w:fldCharType="end"/>
        <w:t>Zwiebel in kleine Stücke und lassen Sie sie für 5 min. ruhen.</w:t>
      </w:r>
    </w:p>
    <w:p>
      <w:pPr>
        <w:numPr>
          <w:ilvl w:val="0"/>
          <w:numId w:val="22"/>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Schneiden Sie die Paprika in kleine Stückchen und schneiden Sie das Rindfleisch in grobe Stücke.</w:t>
      </w:r>
    </w:p>
    <w:p>
      <w:pPr>
        <w:numPr>
          <w:ilvl w:val="0"/>
          <w:numId w:val="22"/>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Erhitzen Sie das Bio­</w:t>
        <w:fldChar w:fldCharType="begin"/>
        <w:instrText xml:space="preserve">XE "Kokosöl" \G </w:instrText>
        <w:fldChar w:fldCharType="end"/>
        <w:t>Kokosöl in einem Topf, geben Sie die Zwiebelstückchen hinzu. Braten Sie sie an, bis sie glasig sind.</w:t>
      </w:r>
    </w:p>
    <w:p>
      <w:pPr>
        <w:numPr>
          <w:ilvl w:val="0"/>
          <w:numId w:val="22"/>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Geben Sie die Paprika zu der </w:t>
        <w:fldChar w:fldCharType="begin"/>
        <w:instrText xml:space="preserve">XE "Zwiebel" \G </w:instrText>
        <w:fldChar w:fldCharType="end"/>
        <w:t>Zwiebel und braten sie für 2 min. an. Dann geben Sie auch das Fleisch hinzu und braten alles gut an.</w:t>
      </w:r>
    </w:p>
    <w:p>
      <w:pPr>
        <w:numPr>
          <w:ilvl w:val="0"/>
          <w:numId w:val="22"/>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Löschen Sie das Ganze mit 250 ml Wasser ab, geben Sie das Tomatenmark hinzu und lassen die Soße für 15 min. leise köcheln.</w:t>
      </w:r>
    </w:p>
    <w:p>
      <w:pPr>
        <w:numPr>
          <w:ilvl w:val="0"/>
          <w:numId w:val="22"/>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Geben Sie nun die </w:t>
        <w:fldChar w:fldCharType="begin"/>
        <w:instrText xml:space="preserve">XE "Gewürze" \G </w:instrText>
        <w:fldChar w:fldCharType="end"/>
        <w:t xml:space="preserve">Gewürze, den frischen </w:t>
        <w:fldChar w:fldCharType="begin"/>
        <w:instrText xml:space="preserve">XE "Ingwer" \G </w:instrText>
        <w:fldChar w:fldCharType="end"/>
        <w:t>Ingwer, die Gewürzhefe und die Kräuter hinzu. Rühren Sie gut um.</w:t>
      </w:r>
    </w:p>
    <w:p>
      <w:pPr>
        <w:numPr>
          <w:ilvl w:val="0"/>
          <w:numId w:val="22"/>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Servieren Sie das Gulasch auf den Dinkelnudeln und reichen Sie dazu ein Glas </w:t>
        <w:br w:type="textWrapping"/>
        <w:t>Kräuter­Kraft­Drink.</w:t>
      </w:r>
    </w:p>
    <w:p>
      <w:r/>
    </w:p>
    <w:p>
      <w:pPr>
        <w:pStyle w:val="para2"/>
        <w:numPr>
          <w:ilvl w:val="1"/>
          <w:numId w:val="1"/>
        </w:numPr>
        <w:ind w:left="576" w:hanging="576"/>
      </w:pPr>
      <w:r>
        <w:br w:type="page"/>
      </w:r>
      <w:bookmarkStart w:id="319" w:name="_TOC000258"/>
      <w:r>
        <w:t>Rinderragout mit Roter Bete</w:t>
      </w:r>
      <w:bookmarkEnd w:id="319"/>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sz w:val="24"/>
          <w:szCs w:val="20"/>
          <w:u w:color="auto" w:val="single"/>
        </w:rPr>
      </w:pPr>
      <w:r>
        <w:rPr>
          <w:rFonts w:eastAsia="Basic Roman"/>
          <w:color w:val="000000"/>
          <w:kern w:val="1"/>
          <w:sz w:val="24"/>
          <w:szCs w:val="20"/>
        </w:rPr>
        <w:t xml:space="preserve">Quelle: Buch </w:t>
      </w:r>
      <w:hyperlink r:id="rId114" w:history="1">
        <w:r>
          <w:rPr>
            <w:rStyle w:val="char20"/>
            <w:rFonts w:eastAsia="Basic Roman"/>
            <w:kern w:val="1"/>
            <w:sz w:val="24"/>
            <w:szCs w:val="20"/>
          </w:rPr>
          <w:t>Dr. Food – Gesunde Ernährung für starke Gelenke</w:t>
        </w:r>
      </w:hyperlink>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Zutaten für 2 Portionen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150 g Rote Bete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w:t>
        <w:fldChar w:fldCharType="begin"/>
        <w:instrText xml:space="preserve">XE "Zwiebel" \G </w:instrText>
        <w:fldChar w:fldCharType="end"/>
        <w:t>Zwiebel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Kardamomkapseln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500 g Rindergulasch</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½ EL Tomatenmark</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TL gemahlener Koriander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TL Zimtpulver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2 EL </w:t>
        <w:fldChar w:fldCharType="begin"/>
        <w:instrText xml:space="preserve">XE "Olivenöl" \G </w:instrText>
        <w:fldChar w:fldCharType="end"/>
        <w:t>Olivenöl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 ml trockener Rotwein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Salz </w:t>
        <w:fldChar w:fldCharType="begin"/>
        <w:instrText xml:space="preserve">XE "Pfeffer" \G </w:instrText>
        <w:fldChar w:fldCharType="end"/>
        <w:t>Pfeffer</w:t>
      </w:r>
    </w:p>
    <w:p>
      <w:pPr>
        <w:numPr>
          <w:ilvl w:val="0"/>
          <w:numId w:val="2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EL Schmand (nach Belieben)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Zubereitung: 15 Min.; Schmoren: 2 Std. 30 Min.</w:t>
      </w:r>
    </w:p>
    <w:p>
      <w:pPr>
        <w:numPr>
          <w:ilvl w:val="0"/>
          <w:numId w:val="3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Den Backofen auf 180° vorheizen.</w:t>
      </w:r>
    </w:p>
    <w:p>
      <w:pPr>
        <w:numPr>
          <w:ilvl w:val="0"/>
          <w:numId w:val="3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Die Rote Bete putzen, schälen (Einmalhandschuhe tragen!) und in 1–2 cm große Würfel schneiden.</w:t>
      </w:r>
    </w:p>
    <w:p>
      <w:pPr>
        <w:numPr>
          <w:ilvl w:val="0"/>
          <w:numId w:val="3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fldChar w:fldCharType="begin"/>
        <w:instrText xml:space="preserve">XE "Zwiebel" \G </w:instrText>
        <w:fldChar w:fldCharType="end"/>
        <w:t>Zwiebel schälen und klein würfeln.</w:t>
      </w:r>
    </w:p>
    <w:p>
      <w:pPr>
        <w:numPr>
          <w:ilvl w:val="0"/>
          <w:numId w:val="3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Kardamomkapseln anquetschen, die Samen herauslösen und im Mörser zerstoßen.</w:t>
      </w:r>
    </w:p>
    <w:p>
      <w:pPr>
        <w:numPr>
          <w:ilvl w:val="0"/>
          <w:numId w:val="3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 xml:space="preserve">Gulasch, Rote Bete, </w:t>
        <w:fldChar w:fldCharType="begin"/>
        <w:instrText xml:space="preserve">XE "Zwiebel" \G </w:instrText>
        <w:fldChar w:fldCharType="end"/>
        <w:t xml:space="preserve">Zwiebel, Kardamom, Tomatenmark, je ½ TL Koriander und </w:t>
        <w:fldChar w:fldCharType="begin"/>
        <w:instrText xml:space="preserve">XE "Zimt" \G </w:instrText>
        <w:fldChar w:fldCharType="end"/>
        <w:t xml:space="preserve">Zimt, </w:t>
        <w:fldChar w:fldCharType="begin"/>
        <w:instrText xml:space="preserve">XE "Olivenöl" \G </w:instrText>
        <w:fldChar w:fldCharType="end"/>
        <w:t>Olivenöl und Rotwein in einen ausreichend großen feuerfesten Topf geben.</w:t>
      </w:r>
    </w:p>
    <w:p>
      <w:pPr>
        <w:numPr>
          <w:ilvl w:val="0"/>
          <w:numId w:val="3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Alles kräftig salzen und pfeffern, dann 25 ml Wasser dazugeben und gut vermischen.</w:t>
      </w:r>
    </w:p>
    <w:p>
      <w:pPr>
        <w:numPr>
          <w:ilvl w:val="0"/>
          <w:numId w:val="3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Den Deckel auflegen und das Ragout im heißen Ofen (Mitte) zugedeckt mindestens 2 Std. 30 Min. schmoren. Dabei immer wieder umrühren.</w:t>
      </w:r>
    </w:p>
    <w:p>
      <w:pPr>
        <w:numPr>
          <w:ilvl w:val="0"/>
          <w:numId w:val="39"/>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 xml:space="preserve">Wenn das Fleisch weich ist, das Ragout aus dem Ofen nehmen und mit Salz, </w:t>
        <w:fldChar w:fldCharType="begin"/>
        <w:instrText xml:space="preserve">XE "Pfeffer" \G </w:instrText>
        <w:fldChar w:fldCharType="end"/>
        <w:t xml:space="preserve">Pfeffer, Koriander und </w:t>
        <w:fldChar w:fldCharType="begin"/>
        <w:instrText xml:space="preserve">XE "Zimt" \G </w:instrText>
        <w:fldChar w:fldCharType="end"/>
        <w:t>Zimt abschmecken. Ragout auf zwei tiefe Teller verteilen und nach Belieben mit einem Klecks Schmand servieren.</w:t>
      </w:r>
    </w:p>
    <w:p>
      <w:r/>
    </w:p>
    <w:p>
      <w:pPr>
        <w:pStyle w:val="para2"/>
        <w:numPr>
          <w:ilvl w:val="1"/>
          <w:numId w:val="1"/>
        </w:numPr>
        <w:ind w:left="576" w:hanging="576"/>
      </w:pPr>
      <w:r>
        <w:br w:type="page"/>
      </w:r>
      <w:bookmarkStart w:id="320" w:name="_TOC000236"/>
      <w:r>
        <w:t>Gemüsecouscous mit Rinderfilet</w:t>
      </w:r>
      <w:bookmarkEnd w:id="320"/>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sz w:val="24"/>
          <w:szCs w:val="20"/>
          <w:u w:color="auto" w:val="single"/>
        </w:rPr>
      </w:pPr>
      <w:r>
        <w:rPr>
          <w:rFonts w:eastAsia="Basic Roman"/>
          <w:color w:val="000000"/>
          <w:kern w:val="1"/>
          <w:sz w:val="24"/>
          <w:szCs w:val="20"/>
        </w:rPr>
        <w:t xml:space="preserve">Quelle: Buch </w:t>
      </w:r>
      <w:hyperlink r:id="rId108" w:history="1">
        <w:r>
          <w:rPr>
            <w:rStyle w:val="char20"/>
            <w:rFonts w:eastAsia="Basic Roman"/>
            <w:kern w:val="1"/>
            <w:sz w:val="24"/>
            <w:szCs w:val="20"/>
          </w:rPr>
          <w:t>Die Große Lauf-Diät</w:t>
        </w:r>
      </w:hyperlink>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Zutaten für 2 Personen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250 g Instantcouscous Dinkel oder Buchweizen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Zwiebeln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EL Butterschmalz oder Bio-</w:t>
        <w:fldChar w:fldCharType="begin"/>
        <w:instrText xml:space="preserve">XE "Kokosöl" \G </w:instrText>
        <w:fldChar w:fldCharType="end"/>
        <w:t>Kokosöl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2 EL </w:t>
        <w:fldChar w:fldCharType="begin"/>
        <w:instrText xml:space="preserve">XE "Olivenöl" \G </w:instrText>
        <w:fldChar w:fldCharType="end"/>
        <w:t>Olivenöl oder Butter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200 g Rinderfilet in feinen Streifen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kleiner Kohlrabi in Würfeln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Karotten in Scheiben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250 g kleine Tomaten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20 g frischer </w:t>
        <w:fldChar w:fldCharType="begin"/>
        <w:instrText xml:space="preserve">XE "Ingwer" \G </w:instrText>
        <w:fldChar w:fldCharType="end"/>
        <w:t>Ingwer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Knoblauchzehe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TL gekörnte Brühe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fldChar w:fldCharType="begin"/>
        <w:instrText xml:space="preserve">XE "Pfeffer" \G </w:instrText>
        <w:fldChar w:fldCharType="end"/>
        <w:t>Pfeffer aus der Mühle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TL Scharfmachergewürz (Gewürzblütenmischung aus dem Bioladen)</w:t>
      </w:r>
    </w:p>
    <w:p>
      <w:pPr>
        <w:numPr>
          <w:ilvl w:val="0"/>
          <w:numId w:val="40"/>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Je 1/2 Bund Petersilie und Schnittlauch, fein gehackt</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Zubereitungszeit: ca. 30 Minuten</w:t>
      </w:r>
    </w:p>
    <w:p>
      <w:pPr>
        <w:numPr>
          <w:ilvl w:val="0"/>
          <w:numId w:val="41"/>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 xml:space="preserve">Couscous nach Packungsanweisung garen. 2 EL Butter oder </w:t>
        <w:fldChar w:fldCharType="begin"/>
        <w:instrText xml:space="preserve">XE "Olivenöl" \G </w:instrText>
        <w:fldChar w:fldCharType="end"/>
        <w:t>Olivenöl unterrühren.</w:t>
      </w:r>
    </w:p>
    <w:p>
      <w:pPr>
        <w:numPr>
          <w:ilvl w:val="0"/>
          <w:numId w:val="41"/>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Die abgezogenen Zwiebeln fein würfeln und mit heißem Butterschmalz goldgelb braten. Das Rinderfilet dazugeben, dann das Gemüse und alles 10 Minuten köcheln lassen.</w:t>
      </w:r>
    </w:p>
    <w:p>
      <w:pPr>
        <w:numPr>
          <w:ilvl w:val="0"/>
          <w:numId w:val="41"/>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 xml:space="preserve">Die sehr klein geschnittenen Tomaten dazugeben, ebenso den durchgepressten </w:t>
        <w:fldChar w:fldCharType="begin"/>
        <w:instrText xml:space="preserve">XE "Ingwer" \G </w:instrText>
        <w:fldChar w:fldCharType="end"/>
        <w:t xml:space="preserve">Ingwer und </w:t>
        <w:fldChar w:fldCharType="begin"/>
        <w:instrText xml:space="preserve">XE "Knoblauch" \G </w:instrText>
        <w:fldChar w:fldCharType="end"/>
        <w:t xml:space="preserve">Knoblauch. Alles mit gekörnter Brühe, </w:t>
        <w:fldChar w:fldCharType="begin"/>
        <w:instrText xml:space="preserve">XE "Pfeffer" \G </w:instrText>
        <w:fldChar w:fldCharType="end"/>
        <w:t>Pfeffer und Scharfmachergewürz abschmecken. Couscous unterrühren und vor dem Servieren mit den Kräutern bestreuen.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b/>
          <w:color w:val="000000"/>
          <w:kern w:val="1"/>
          <w:sz w:val="24"/>
          <w:szCs w:val="20"/>
        </w:rPr>
        <w:t>Dr. Feil-Info:</w:t>
      </w:r>
      <w:r>
        <w:rPr>
          <w:rFonts w:eastAsia="Basic Roman"/>
          <w:color w:val="000000"/>
          <w:kern w:val="1"/>
          <w:sz w:val="24"/>
          <w:szCs w:val="20"/>
        </w:rPr>
        <w:t xml:space="preserve"> Gönnen Sie sich Ruhe und Gemütlichkeit beim Essen: Die Essgeschwindigkeit wird dadurch reduziert – Sie werden schneller satt und essen weniger. Noch besser ist es, wenn Sie vor der Mahlzeit zwei Gläser Wasser trinken.</w:t>
      </w:r>
    </w:p>
    <w:p>
      <w:r/>
    </w:p>
    <w:p>
      <w:r/>
    </w:p>
    <w:p>
      <w:pPr>
        <w:pStyle w:val="para2"/>
        <w:numPr>
          <w:ilvl w:val="1"/>
          <w:numId w:val="1"/>
        </w:numPr>
        <w:ind w:left="576" w:hanging="576"/>
      </w:pPr>
      <w:r>
        <w:br w:type="page"/>
      </w:r>
      <w:bookmarkStart w:id="321" w:name="_TOC000074"/>
      <w:r>
        <w:t>Rinderschmorbraten nach Dr. Feil</w:t>
      </w:r>
      <w:bookmarkEnd w:id="321"/>
      <w:r/>
    </w:p>
    <w:p>
      <w:pPr>
        <w:rPr>
          <w:rFonts w:eastAsia="Basic Roman"/>
          <w:color w:val="0000ff"/>
          <w:u w:color="auto" w:val="single"/>
        </w:rPr>
      </w:pPr>
      <w:r>
        <w:t xml:space="preserve">Quelle: Buch </w:t>
      </w:r>
      <w:hyperlink r:id="rId110" w:history="1">
        <w:r>
          <w:rPr>
            <w:rStyle w:val="char20"/>
            <w:rFonts w:eastAsia="Basic Roman"/>
            <w:kern w:val="1"/>
          </w:rPr>
          <w:t>Lauf Dich Gesund</w:t>
        </w:r>
      </w:hyperlink>
    </w:p>
    <w:p>
      <w:r/>
    </w:p>
    <w:p>
      <w:r>
        <w:t>Bei Schmorgerichten verwenden wir die Fleischstücke, mit besonders hohem Kollagengehalt.</w:t>
      </w:r>
    </w:p>
    <w:p>
      <w:r>
        <w:t>Während des Schmorens löst sich das Kollagen auf und gibt dem Fleisch diese unverkennbare Saftigkeit …</w:t>
      </w:r>
    </w:p>
    <w:p>
      <w:r>
        <w:t>Wie Sie wissen, empfehle ich Ihnen Rindfleisch von artgerecht gehaltenen, grasgefütterten Tieren.</w:t>
      </w:r>
    </w:p>
    <w:p>
      <w:r>
        <w:t>Das Fleisch dieser Tiere weist aufgrund der Bewegung, die die Tiere tagtäglich haben, einen hohen Kollagengehalt auf.</w:t>
      </w:r>
    </w:p>
    <w:p>
      <w:r/>
    </w:p>
    <w:p>
      <w:pPr>
        <w:rPr>
          <w:b/>
          <w:bCs/>
        </w:rPr>
      </w:pPr>
      <w:r>
        <w:rPr>
          <w:b/>
          <w:bCs/>
        </w:rPr>
        <w:t>Zutaten für 2 Personen</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r>
        <w:t>Schmorbraten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500 g Rindfleisch</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Butterschmalz zum Anbraten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½ l Fleischbrühe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kleine </w:t>
        <w:fldChar w:fldCharType="begin"/>
        <w:instrText xml:space="preserve">XE "Zwiebel" \G </w:instrText>
        <w:fldChar w:fldCharType="end"/>
        <w:t>Zwiebel gespickt mit 3 Gewürznelken und einem Lorbeerblatt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Zimtstange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große Kartoffel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3 große Karotten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große Gemüsezwiebel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Salz und </w:t>
        <w:fldChar w:fldCharType="begin"/>
        <w:instrText xml:space="preserve">XE "Pfeffer" \G </w:instrText>
        <w:fldChar w:fldCharType="end"/>
        <w:t>Pfeffer</w:t>
      </w:r>
    </w:p>
    <w:p>
      <w:pPr>
        <w:numPr>
          <w:ilvl w:val="0"/>
          <w:numId w:val="2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Koriandergrün/Petersilie oder Kräuter der Saison</w:t>
      </w:r>
    </w:p>
    <w:p>
      <w:r/>
    </w:p>
    <w:p>
      <w:r>
        <w:br w:type="column"/>
      </w:r>
      <w:r>
        <w:t>Püree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rote Paprika</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Tomaten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w:t>
        <w:fldChar w:fldCharType="begin"/>
        <w:instrText xml:space="preserve">XE "Zwiebel" \G </w:instrText>
        <w:fldChar w:fldCharType="end"/>
        <w:t>Zwiebel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Chilischote scharf</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Chilischote grün mild</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Knoblauchzehen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 g Schokolade (85 % Kakaogehalt)</w:t>
      </w:r>
    </w:p>
    <w:p>
      <w:pPr>
        <w:numPr>
          <w:ilvl w:val="0"/>
          <w:numId w:val="2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EL Essig</w:t>
      </w:r>
    </w:p>
    <w:p>
      <w:pPr>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rPr>
          <w:b/>
          <w:bCs/>
        </w:rPr>
      </w:pPr>
      <w:r>
        <w:rPr>
          <w:b/>
          <w:bCs/>
        </w:rPr>
        <w:t>Zubereitung:</w:t>
      </w:r>
    </w:p>
    <w:p>
      <w:pPr>
        <w:numPr>
          <w:ilvl w:val="0"/>
          <w:numId w:val="49"/>
        </w:numPr>
        <w:ind w:left="360" w:hanging="360"/>
      </w:pPr>
      <w:r>
        <w:t xml:space="preserve">Schneiden Sie </w:t>
        <w:fldChar w:fldCharType="begin"/>
        <w:instrText xml:space="preserve">XE "Zwiebel" \G </w:instrText>
        <w:fldChar w:fldCharType="end"/>
        <w:t xml:space="preserve">Zwiebel und Knoblauchzehen grob und lassen Sie sie 5 Minuten stehen. Schneiden Sie Paprika, Tomaten und </w:t>
        <w:fldChar w:fldCharType="begin"/>
        <w:instrText xml:space="preserve">XE "Chili" \G </w:instrText>
        <w:fldChar w:fldCharType="end"/>
        <w:t>Chili grob, hacken Sie die Schokolade grob. Pürieren Sie dann diese Zutaten mit dem Essig und stellen Sie das Püree beiseite.</w:t>
      </w:r>
    </w:p>
    <w:p>
      <w:pPr>
        <w:numPr>
          <w:ilvl w:val="0"/>
          <w:numId w:val="49"/>
        </w:numPr>
        <w:ind w:left="360" w:hanging="360"/>
      </w:pPr>
      <w:r>
        <w:t xml:space="preserve">Braten Sie das Fleisch in Butterschmalz gut an, würzen Sie es dann mit Salz und </w:t>
        <w:fldChar w:fldCharType="begin"/>
        <w:instrText xml:space="preserve">XE "Pfeffer" \G </w:instrText>
        <w:fldChar w:fldCharType="end"/>
        <w:t>Pfeffer.</w:t>
      </w:r>
    </w:p>
    <w:p>
      <w:pPr>
        <w:numPr>
          <w:ilvl w:val="0"/>
          <w:numId w:val="49"/>
        </w:numPr>
        <w:ind w:left="360" w:hanging="360"/>
      </w:pPr>
      <w:r>
        <w:t xml:space="preserve">Geben Sie das Tomaten-Paprika-Püree, die Brühe, die </w:t>
        <w:fldChar w:fldCharType="begin"/>
        <w:instrText xml:space="preserve">XE "Zwiebel" \G </w:instrText>
        <w:fldChar w:fldCharType="end"/>
        <w:t>Zwiebel mit Nelken, Lorbeerblatt und die Zimtstange dazu.</w:t>
      </w:r>
    </w:p>
    <w:p>
      <w:pPr>
        <w:numPr>
          <w:ilvl w:val="0"/>
          <w:numId w:val="49"/>
        </w:numPr>
        <w:ind w:left="360" w:hanging="360"/>
      </w:pPr>
      <w:r>
        <w:t>Lassen Sie alles etwa 1 Stunde zugedeckt auf kleiner Flamme schmoren.</w:t>
      </w:r>
    </w:p>
    <w:p>
      <w:pPr>
        <w:numPr>
          <w:ilvl w:val="0"/>
          <w:numId w:val="49"/>
        </w:numPr>
        <w:ind w:left="360" w:hanging="360"/>
      </w:pPr>
      <w:r>
        <w:t>Geben Sie dann die in grobe, mundgerechte Stücke geschnittenen Karotten, Kartoffeln und Zwiebeln zum Fleisch und lassen Sie sie noch weitere 15 Minuten mitschmoren, bis alles weich ist.</w:t>
      </w:r>
    </w:p>
    <w:p>
      <w:pPr>
        <w:numPr>
          <w:ilvl w:val="0"/>
          <w:numId w:val="49"/>
        </w:numPr>
        <w:ind w:left="360" w:hanging="360"/>
      </w:pPr>
      <w:r>
        <w:t xml:space="preserve">Die </w:t>
        <w:fldChar w:fldCharType="begin"/>
        <w:instrText xml:space="preserve">XE "Zwiebel" \G </w:instrText>
        <w:fldChar w:fldCharType="end"/>
        <w:t>Zwiebel mit Nelken, Lorbeerblatt und Zimtstange entfernen, alles nochmals abschmecken und mit Koriandergrün oder Kräutern bestreut servieren.</w:t>
      </w:r>
    </w:p>
    <w:p>
      <w:pPr>
        <w:pStyle w:val="para2"/>
        <w:numPr>
          <w:ilvl w:val="1"/>
          <w:numId w:val="1"/>
        </w:numPr>
        <w:ind w:left="576" w:hanging="576"/>
      </w:pPr>
      <w:r>
        <w:br w:type="page"/>
      </w:r>
      <w:bookmarkStart w:id="322" w:name="_TOC000085"/>
      <w:r>
        <w:t>Brokkoli-Blumenkohl-Bohnen Gemüse mit Hühnchen und Pesto</w:t>
      </w:r>
      <w:bookmarkEnd w:id="322"/>
      <w:r/>
    </w:p>
    <w:p>
      <w:pPr>
        <w:ind w:left="283" w:hanging="283"/>
        <w:rPr>
          <w:rFonts w:eastAsia="Basic Roman"/>
          <w:color w:val="0000ff"/>
          <w:kern w:val="1"/>
          <w:u w:color="auto" w:val="single"/>
        </w:rPr>
      </w:pPr>
      <w:r>
        <w:t xml:space="preserve">Quelle: Buch </w:t>
      </w:r>
      <w:hyperlink r:id="rId110" w:history="1">
        <w:r>
          <w:rPr>
            <w:rStyle w:val="char20"/>
            <w:rFonts w:eastAsia="Basic Roman"/>
            <w:kern w:val="1"/>
          </w:rPr>
          <w:t>Lauf Dich Gesund</w:t>
        </w:r>
      </w:hyperlink>
    </w:p>
    <w:p>
      <w:pPr>
        <w:ind w:left="283" w:hanging="283"/>
      </w:p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Zutaten für 4 Personen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kleiner Brokkoli</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kleiner Blumenkohl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250 g Stangenbohnen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600 g Bio-Hühnchenbrust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Saft ½ Zitrone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Pesto</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250 g Bärlauch oder Basilikum</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50 g </w:t>
        <w:fldChar w:fldCharType="begin"/>
        <w:instrText xml:space="preserve">XE "Olivenöl" \G </w:instrText>
        <w:fldChar w:fldCharType="end"/>
        <w:t>Olivenöl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 g Salz</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50–70 g Walnüsse oder Pinienkerne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100 g Parmesan (in groben Stücken)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Optional: 4 Zehen </w:t>
        <w:fldChar w:fldCharType="begin"/>
        <w:instrText xml:space="preserve">XE "Knoblauch" \G </w:instrText>
        <w:fldChar w:fldCharType="end"/>
        <w:t>Knoblauch (nur für Basilikum)</w:t>
      </w:r>
    </w:p>
    <w:p>
      <w:pPr>
        <w:numPr>
          <w:ilvl w:val="0"/>
          <w:numId w:val="2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fldChar w:fldCharType="begin"/>
        <w:instrText xml:space="preserve">XE "Pfeffer" \G </w:instrText>
        <w:fldChar w:fldCharType="end"/>
        <w:t>Pfeffer</w:t>
      </w:r>
    </w:p>
    <w:p>
      <w:r/>
    </w:p>
    <w:p>
      <w:r>
        <w:rPr>
          <w:b/>
          <w:bCs/>
        </w:rPr>
        <w:t>Interessant:</w:t>
      </w:r>
      <w:r>
        <w:t xml:space="preserve"> Walnusskerne oder Pinienkerne entgiften den Darm, da sie die Produktion von Entgiftungsenzymen fördern und so krebserzeugende Stoffe im Darm reduzieren. Falls Sie Nüsse generell nicht gut vertragen, rösten Sie sie vorher in einer Pfanne kurz an.</w:t>
      </w:r>
    </w:p>
    <w:p>
      <w:r/>
    </w:p>
    <w:p>
      <w:pPr>
        <w:rPr>
          <w:b/>
          <w:bCs/>
        </w:rPr>
      </w:pPr>
      <w:r>
        <w:rPr>
          <w:b/>
          <w:bCs/>
        </w:rPr>
        <w:t>Zubereitung:</w:t>
      </w:r>
    </w:p>
    <w:p>
      <w:pPr>
        <w:numPr>
          <w:ilvl w:val="0"/>
          <w:numId w:val="47"/>
        </w:numPr>
        <w:ind w:left="360" w:hanging="360"/>
      </w:pPr>
      <w:r>
        <w:t>Waschen und putzen Sie das Gemüse, teilen Sie den Brokkoli und den Blumenkohl in Röschen und dämpfen Sie das Gemüse in einem Dampftopf bissfest.</w:t>
      </w:r>
    </w:p>
    <w:p>
      <w:pPr>
        <w:numPr>
          <w:ilvl w:val="0"/>
          <w:numId w:val="47"/>
        </w:numPr>
        <w:ind w:left="360" w:hanging="360"/>
      </w:pPr>
      <w:r>
        <w:t>Schneiden Sie die Hühnchenbrust in feine Scheiben, salzen und pfeffern Sie das Fleisch und braten Sie es dann mit etwas Butterschmalz an. Mit etwas Zitronensaft ablöschen.</w:t>
      </w:r>
    </w:p>
    <w:p>
      <w:pPr>
        <w:numPr>
          <w:ilvl w:val="0"/>
          <w:numId w:val="47"/>
        </w:numPr>
        <w:ind w:left="360" w:hanging="360"/>
      </w:pPr>
      <w:r>
        <w:t xml:space="preserve">Geben Sie alle Zutaten für das Pesto in einen Mixer und vermischen Sie sie zu einer homogenen Masse. Falls Sie </w:t>
        <w:fldChar w:fldCharType="begin"/>
        <w:instrText xml:space="preserve">XE "Knoblauch" \G </w:instrText>
        <w:fldChar w:fldCharType="end"/>
        <w:t>Knoblauch verwenden wollen, schälen Sie ihn, zerkleinern Sie ihn grob und lassen Sie ihn vor der Weiterverarbeitung 5 Minuten stehen.</w:t>
      </w:r>
    </w:p>
    <w:p>
      <w:pPr>
        <w:numPr>
          <w:ilvl w:val="0"/>
          <w:numId w:val="47"/>
        </w:numPr>
        <w:ind w:left="360" w:hanging="360"/>
      </w:pPr>
      <w:r>
        <w:t>Servieren Sie das Gemüse mit dem Pesto und dem Hühnchen.</w:t>
      </w:r>
    </w:p>
    <w:p>
      <w:r/>
    </w:p>
    <w:p>
      <w:pPr>
        <w:pStyle w:val="para2"/>
        <w:numPr>
          <w:ilvl w:val="1"/>
          <w:numId w:val="1"/>
        </w:numPr>
        <w:ind w:left="576" w:hanging="576"/>
      </w:pPr>
      <w:r>
        <w:br w:type="page"/>
      </w:r>
      <w:bookmarkStart w:id="323" w:name="_TOC000086"/>
      <w:r/>
      <w:bookmarkStart w:id="324" w:name="_TOC000119"/>
      <w:r>
        <w:t>Schoko-</w:t>
        <w:fldChar w:fldCharType="begin"/>
        <w:instrText xml:space="preserve">XE "Zimt" \G </w:instrText>
        <w:fldChar w:fldCharType="end"/>
        <w:t>Zimt-Granola</w:t>
      </w:r>
      <w:bookmarkEnd w:id="324"/>
      <w:r/>
      <w:bookmarkEnd w:id="323"/>
      <w:r/>
    </w:p>
    <w:p>
      <w:pPr>
        <w:rPr>
          <w:color w:val="0000ff"/>
          <w:u w:color="auto" w:val="single"/>
        </w:rPr>
      </w:pPr>
      <w:r>
        <w:t xml:space="preserve">Quelle: </w:t>
      </w:r>
      <w:hyperlink r:id="rId109" w:history="1">
        <w:r>
          <w:rPr>
            <w:rStyle w:val="char20"/>
          </w:rPr>
          <w:t>Dr. Food</w:t>
        </w:r>
      </w:hyperlink>
    </w:p>
    <w:p>
      <w:r/>
    </w:p>
    <w:p>
      <w:pPr>
        <w:rPr>
          <w:b/>
          <w:bCs/>
        </w:rPr>
      </w:pPr>
      <w:r>
        <w:rPr>
          <w:b/>
          <w:bCs/>
        </w:rPr>
        <w:t>Zutaten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120 g Pekannusskerne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100 g Walnusskerne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150 g gehackte Mandeln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 g Kokosmehl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EL Sesam</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EL Chia-Samen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EL Kakaopulver (schwach entölt)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EL Zimtpulver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3 EL Birkenzucker (Xylit)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½ TL Salz </w:t>
        <w:fldChar w:fldCharType="begin"/>
        <w:instrText xml:space="preserve">XE "Pfeffer" \G </w:instrText>
        <w:fldChar w:fldCharType="end"/>
        <w:t>Pfeffer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2 </w:t>
        <w:fldChar w:fldCharType="begin"/>
        <w:instrText xml:space="preserve">XE "Eiweiß" \G </w:instrText>
        <w:fldChar w:fldCharType="end"/>
        <w:t>Eiweiß </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50 g </w:t>
        <w:fldChar w:fldCharType="begin"/>
        <w:instrText xml:space="preserve">XE "Kokosöl" \G </w:instrText>
        <w:fldChar w:fldCharType="end"/>
        <w:t>Kokosöl</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Außerdem:</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Twist-off-Gläser à 250 ml</w:t>
      </w:r>
    </w:p>
    <w:p>
      <w:pPr>
        <w:numPr>
          <w:ilvl w:val="0"/>
          <w:numId w:val="17"/>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6 Portionen</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rPr>
      </w:pPr>
      <w:r>
        <w:rPr>
          <w:rFonts w:eastAsia="Basic Roman"/>
          <w:b/>
          <w:color w:val="000000"/>
          <w:kern w:val="1"/>
        </w:rPr>
        <w:t>Zubereitung: 25 Min. | Backen: 14 Min.</w:t>
      </w:r>
    </w:p>
    <w:p>
      <w:pPr>
        <w:numPr>
          <w:ilvl w:val="0"/>
          <w:numId w:val="2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Den Backofen auf 180° vorheizen</w:t>
      </w:r>
    </w:p>
    <w:p>
      <w:pPr>
        <w:numPr>
          <w:ilvl w:val="0"/>
          <w:numId w:val="2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Ein Backblech mit Backpapier auslegen</w:t>
      </w:r>
    </w:p>
    <w:p>
      <w:pPr>
        <w:numPr>
          <w:ilvl w:val="0"/>
          <w:numId w:val="2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Pekan und Walnüsse im Blitzhacker hacken, bis sie etwa so groß sind wie Sonnenblumenkerne</w:t>
      </w:r>
    </w:p>
    <w:p>
      <w:pPr>
        <w:numPr>
          <w:ilvl w:val="0"/>
          <w:numId w:val="2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Sämtliche Zutaten in eine Schüssel geben und gründlich verrühren</w:t>
      </w:r>
    </w:p>
    <w:p>
      <w:pPr>
        <w:numPr>
          <w:ilvl w:val="0"/>
          <w:numId w:val="2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Die Masse auf das Backblech geben, auf ca. 2 cm Höhe verstreichen und im Backofen (Mitte) in 12–14 Min. knusprig backen</w:t>
      </w:r>
    </w:p>
    <w:p>
      <w:pPr>
        <w:numPr>
          <w:ilvl w:val="0"/>
          <w:numId w:val="2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Das Granola aus dem Ofen nehmen und auskühlen lassen</w:t>
      </w:r>
    </w:p>
    <w:p>
      <w:pPr>
        <w:numPr>
          <w:ilvl w:val="0"/>
          <w:numId w:val="23"/>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Dann etwas zerbröseln und in die Twist-off-Gläser umfüllen.</w:t>
      </w:r>
    </w:p>
    <w:p>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Kühl, trocken und luftdicht gelagert hält sich das Müsli bis zu vier Wochen. Wenn Sie es denn nicht schon vorher aufessen...</w:t>
      </w:r>
    </w:p>
    <w:p>
      <w:r/>
    </w:p>
    <w:p>
      <w:pPr>
        <w:pStyle w:val="para2"/>
        <w:numPr>
          <w:ilvl w:val="1"/>
          <w:numId w:val="1"/>
        </w:numPr>
        <w:ind w:left="576" w:hanging="576"/>
      </w:pPr>
      <w:r>
        <w:br w:type="page"/>
      </w:r>
      <w:bookmarkStart w:id="325" w:name="_TOC000259"/>
      <w:r>
        <w:t>Mousse au Chocolat</w:t>
      </w:r>
      <w:bookmarkEnd w:id="325"/>
      <w:r/>
    </w:p>
    <w:p>
      <w:pPr>
        <w:rPr>
          <w:rFonts w:eastAsia="Basic Roman"/>
          <w:color w:val="0000ff"/>
          <w:kern w:val="1"/>
          <w:sz w:val="24"/>
          <w:szCs w:val="20"/>
          <w:u w:color="auto" w:val="single"/>
        </w:rPr>
      </w:pPr>
      <w:r>
        <w:t>Quelle:</w:t>
      </w:r>
      <w:r>
        <w:rPr>
          <w:rFonts w:eastAsia="Basic Roman"/>
          <w:color w:val="000000"/>
          <w:kern w:val="1"/>
          <w:sz w:val="24"/>
          <w:szCs w:val="20"/>
        </w:rPr>
        <w:t xml:space="preserve"> </w:t>
      </w:r>
      <w:hyperlink r:id="rId115" w:history="1">
        <w:r>
          <w:rPr>
            <w:rStyle w:val="char20"/>
            <w:rFonts w:eastAsia="Basic Roman"/>
            <w:kern w:val="1"/>
            <w:sz w:val="24"/>
            <w:szCs w:val="20"/>
          </w:rPr>
          <w:t>F-AS-T: Was erfolgreiche Sportler anders machen</w:t>
        </w:r>
      </w:hyperlink>
    </w:p>
    <w:p>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Zutaten (für 4 Personen)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Tafel (100 g) dunkle Schokolade (mindestens 70 %)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Eier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½ EL Grand Marnier (Orangenlikör)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Espresso</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 g weiche Butter, in Flöckchen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100 ml Sahne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EL Zucker</w:t>
      </w:r>
    </w:p>
    <w:p>
      <w:pPr>
        <w:numPr>
          <w:ilvl w:val="0"/>
          <w:numId w:val="2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optional: 1 EL Kakaopulver</w:t>
      </w:r>
    </w:p>
    <w:p>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Zubereitung</w:t>
      </w:r>
    </w:p>
    <w:p>
      <w:pPr>
        <w:numPr>
          <w:ilvl w:val="0"/>
          <w:numId w:val="48"/>
        </w:numPr>
        <w:ind w:left="360" w:hanging="360"/>
      </w:pPr>
      <w:r>
        <w:t>Schokolade im Wasserbad schmelzen</w:t>
      </w:r>
    </w:p>
    <w:p>
      <w:pPr>
        <w:numPr>
          <w:ilvl w:val="0"/>
          <w:numId w:val="48"/>
        </w:numPr>
        <w:ind w:left="360" w:hanging="360"/>
      </w:pPr>
      <w:r>
        <w:t>Eier, Orangenlikör, Zucker, Kakaopulver und Espresso hinzufügen</w:t>
      </w:r>
    </w:p>
    <w:p>
      <w:pPr>
        <w:numPr>
          <w:ilvl w:val="0"/>
          <w:numId w:val="48"/>
        </w:numPr>
        <w:ind w:left="360" w:hanging="360"/>
      </w:pPr>
      <w:r>
        <w:t>das Ganze für 5 Minuten im Wasserbad warm werden lassen</w:t>
      </w:r>
    </w:p>
    <w:p>
      <w:pPr>
        <w:numPr>
          <w:ilvl w:val="0"/>
          <w:numId w:val="48"/>
        </w:numPr>
        <w:ind w:left="360" w:hanging="360"/>
      </w:pPr>
      <w:r>
        <w:t>unter ständigem Rühren die Butter hinzufügen, bis diese vollkommen aufgelöst ist</w:t>
      </w:r>
    </w:p>
    <w:p>
      <w:pPr>
        <w:numPr>
          <w:ilvl w:val="0"/>
          <w:numId w:val="48"/>
        </w:numPr>
        <w:ind w:left="360" w:hanging="360"/>
      </w:pPr>
      <w:r>
        <w:t>die Masse für 20–30 Minuten kaltstellen</w:t>
      </w:r>
    </w:p>
    <w:p>
      <w:pPr>
        <w:numPr>
          <w:ilvl w:val="0"/>
          <w:numId w:val="48"/>
        </w:numPr>
        <w:ind w:left="360" w:hanging="360"/>
      </w:pPr>
      <w:r>
        <w:t>Sahne aufschlagen und unter die erkaltete Schokoladenmasse heben</w:t>
      </w:r>
    </w:p>
    <w:p>
      <w:pPr>
        <w:numPr>
          <w:ilvl w:val="0"/>
          <w:numId w:val="48"/>
        </w:numPr>
        <w:ind w:left="360" w:hanging="360"/>
      </w:pPr>
      <w:r>
        <w:t>die Mousse für 3 Stunden im Kühlschrank kaltstellen</w:t>
      </w:r>
    </w:p>
    <w:p>
      <w:r/>
    </w:p>
    <w:p>
      <w:pPr>
        <w:pStyle w:val="para2"/>
        <w:numPr>
          <w:ilvl w:val="1"/>
          <w:numId w:val="1"/>
        </w:numPr>
        <w:ind w:left="576" w:hanging="576"/>
      </w:pPr>
      <w:r>
        <w:br w:type="page"/>
      </w:r>
      <w:bookmarkStart w:id="326" w:name="_TOC000261"/>
      <w:r>
        <w:t>Obstsalat mit gerösteten Haferflocken</w:t>
      </w:r>
      <w:bookmarkEnd w:id="326"/>
      <w:r/>
    </w:p>
    <w:p>
      <w:pPr>
        <w:spacing w:after="1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sz w:val="24"/>
          <w:szCs w:val="20"/>
          <w:u w:color="auto" w:val="single"/>
        </w:rPr>
      </w:pPr>
      <w:r>
        <w:rPr>
          <w:rFonts w:eastAsia="Basic Roman"/>
          <w:color w:val="000000"/>
          <w:kern w:val="1"/>
          <w:sz w:val="24"/>
          <w:szCs w:val="20"/>
        </w:rPr>
        <w:t>Quelle: Buch </w:t>
      </w:r>
      <w:hyperlink r:id="rId114" w:history="1">
        <w:r>
          <w:rPr>
            <w:rStyle w:val="char20"/>
            <w:rFonts w:eastAsia="Basic Roman"/>
            <w:kern w:val="1"/>
            <w:sz w:val="24"/>
            <w:szCs w:val="20"/>
          </w:rPr>
          <w:t>Dr. Food – Gesunde Ernährung für starke Gelenke</w:t>
        </w:r>
      </w:hyperlink>
    </w:p>
    <w:p>
      <w:r>
        <w:t>Kieselsäure kann man also nie genug bekommen!</w:t>
      </w:r>
    </w:p>
    <w:p>
      <w:pPr>
        <w:spacing w:after="1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Zutaten für 2 Portionen: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kleine Banane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Saft von ½ Zitrone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100 g kernlose Weintrauben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große Orange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 Ananasscheiben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EL Butter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50 g kernige Haferflocken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EL flüssiger Honig</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150 g Joghurt (3,5 % </w:t>
        <w:fldChar w:fldCharType="begin"/>
        <w:instrText xml:space="preserve">XE "Fett" \G </w:instrText>
        <w:fldChar w:fldCharType="end"/>
        <w:t>Fett)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Stück </w:t>
        <w:fldChar w:fldCharType="begin"/>
        <w:instrText xml:space="preserve">XE "Ingwer" \G </w:instrText>
        <w:fldChar w:fldCharType="end"/>
        <w:t>Ingwer (1 cm lang)</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Prise gemahlene Vanille</w:t>
      </w:r>
    </w:p>
    <w:p>
      <w:pPr>
        <w:numPr>
          <w:ilvl w:val="0"/>
          <w:numId w:val="28"/>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½ TL Zimtpulver</w:t>
      </w:r>
    </w:p>
    <w:p>
      <w:pPr>
        <w:spacing w:after="1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Zubereitung</w:t>
      </w:r>
    </w:p>
    <w:p>
      <w:pPr>
        <w:numPr>
          <w:ilvl w:val="0"/>
          <w:numId w:val="56"/>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Die Banane schälen und in Scheiben schneiden</w:t>
      </w:r>
    </w:p>
    <w:p>
      <w:pPr>
        <w:numPr>
          <w:ilvl w:val="0"/>
          <w:numId w:val="56"/>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Sofort mit Zitronensaft beträufeln, damit sich die Scheiben nicht bräunlich verfärben</w:t>
      </w:r>
    </w:p>
    <w:p>
      <w:pPr>
        <w:numPr>
          <w:ilvl w:val="0"/>
          <w:numId w:val="56"/>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Die Trauben waschen, von den Stielen zupfen und halbieren</w:t>
      </w:r>
    </w:p>
    <w:p>
      <w:pPr>
        <w:numPr>
          <w:ilvl w:val="0"/>
          <w:numId w:val="56"/>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Die Orange so großzügig schälen, dass auch die weiße Haut mit entfernt wird</w:t>
      </w:r>
    </w:p>
    <w:p>
      <w:pPr>
        <w:numPr>
          <w:ilvl w:val="0"/>
          <w:numId w:val="56"/>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Die Filets zwischen den einzelnen Trennhäuten herausschneiden (alternativ die Orange schälen und klein schneiden)</w:t>
      </w:r>
    </w:p>
    <w:p>
      <w:pPr>
        <w:numPr>
          <w:ilvl w:val="0"/>
          <w:numId w:val="56"/>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Die Ananasscheiben schälen und den harten Mittelstrunk entfernen, das Fruchtfleisch klein schneiden</w:t>
      </w:r>
    </w:p>
    <w:p>
      <w:pPr>
        <w:numPr>
          <w:ilvl w:val="0"/>
          <w:numId w:val="56"/>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Alle Früchte in einer Schüssel mischen und beiseitestellen</w:t>
      </w:r>
    </w:p>
    <w:p>
      <w:pPr>
        <w:numPr>
          <w:ilvl w:val="0"/>
          <w:numId w:val="56"/>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Die Butter in einer Pfanne zerlassen und die Haferflocken darin hell rösten</w:t>
      </w:r>
    </w:p>
    <w:p>
      <w:pPr>
        <w:numPr>
          <w:ilvl w:val="0"/>
          <w:numId w:val="56"/>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Den Honig dazugeben und die Flocken unter Rühren leicht karamellisieren, dann herausnehmen und etwas abkühlen lassen</w:t>
      </w:r>
    </w:p>
    <w:p>
      <w:pPr>
        <w:numPr>
          <w:ilvl w:val="0"/>
          <w:numId w:val="56"/>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Den Joghurt glattrühren</w:t>
      </w:r>
    </w:p>
    <w:p>
      <w:pPr>
        <w:numPr>
          <w:ilvl w:val="0"/>
          <w:numId w:val="56"/>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 xml:space="preserve">Den </w:t>
        <w:fldChar w:fldCharType="begin"/>
        <w:instrText xml:space="preserve">XE "Ingwer" \G </w:instrText>
        <w:fldChar w:fldCharType="end"/>
        <w:t>Ingwer schälen, reiben und zusammen mit der Vanille unter den Joghurt rühren</w:t>
      </w:r>
    </w:p>
    <w:p>
      <w:pPr>
        <w:numPr>
          <w:ilvl w:val="0"/>
          <w:numId w:val="56"/>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Den Joghurt mit dem Obstsalat auf Schalen verteilen</w:t>
      </w:r>
    </w:p>
    <w:p>
      <w:pPr>
        <w:numPr>
          <w:ilvl w:val="0"/>
          <w:numId w:val="56"/>
        </w:numPr>
        <w:ind w:left="360" w:hanging="360"/>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 xml:space="preserve">Die karamellisierten Flocken darüberstreuen und alles mit </w:t>
        <w:fldChar w:fldCharType="begin"/>
        <w:instrText xml:space="preserve">XE "Zimt" \G </w:instrText>
        <w:fldChar w:fldCharType="end"/>
        <w:t>Zimt bestreuen</w:t>
      </w:r>
    </w:p>
    <w:p>
      <w:r/>
    </w:p>
    <w:p>
      <w:pPr>
        <w:pStyle w:val="para2"/>
        <w:numPr>
          <w:ilvl w:val="1"/>
          <w:numId w:val="1"/>
        </w:numPr>
        <w:ind w:left="576" w:hanging="576"/>
      </w:pPr>
      <w:r>
        <w:br w:type="page"/>
      </w:r>
      <w:bookmarkStart w:id="327" w:name="_TOC000272"/>
      <w:r>
        <w:t>Himbeer-Quark-Nachtisch</w:t>
      </w:r>
      <w:bookmarkEnd w:id="327"/>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ff"/>
          <w:kern w:val="1"/>
          <w:sz w:val="24"/>
          <w:szCs w:val="20"/>
          <w:u w:color="auto" w:val="single"/>
        </w:rPr>
      </w:pPr>
      <w:r>
        <w:rPr>
          <w:rFonts w:eastAsia="Basic Roman"/>
          <w:color w:val="000000"/>
          <w:kern w:val="1"/>
          <w:sz w:val="24"/>
          <w:szCs w:val="20"/>
        </w:rPr>
        <w:t>Quelle: Buch </w:t>
      </w:r>
      <w:hyperlink r:id="rId112" w:history="1">
        <w:r>
          <w:rPr>
            <w:rStyle w:val="char20"/>
            <w:rFonts w:eastAsia="Basic Roman"/>
            <w:kern w:val="1"/>
            <w:sz w:val="24"/>
            <w:szCs w:val="20"/>
          </w:rPr>
          <w:fldChar w:fldCharType="begin"/>
          <w:instrText xml:space="preserve">XE "Arthrose" \G </w:instrText>
          <w:fldChar w:fldCharType="end"/>
          <w:t>Arthrose und Gelenkschmerzen überwinden</w:t>
        </w:r>
      </w:hyperlink>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Zutaten</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250 g Quark (20 %)</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100 ml Wasser</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1 EL Speiseleinöl</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1 TL </w:t>
        <w:fldChar w:fldCharType="begin"/>
        <w:instrText xml:space="preserve">XE "Zimt" \G </w:instrText>
        <w:fldChar w:fldCharType="end"/>
        <w:t>Zimt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200 g Himbeeren (frisch oder TK-Ware)</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 xml:space="preserve">30 g frischer </w:t>
        <w:fldChar w:fldCharType="begin"/>
        <w:instrText xml:space="preserve">XE "Ingwer" \G </w:instrText>
        <w:fldChar w:fldCharType="end"/>
        <w:t>Ingwer (beginnen Sie mit etwas weniger, wenn es Ihnen zu scharf ist)</w:t>
      </w:r>
    </w:p>
    <w:p>
      <w:pPr>
        <w:numPr>
          <w:ilvl w:val="0"/>
          <w:numId w:val="17"/>
        </w:numPr>
        <w:ind w:left="283" w:hanging="283"/>
        <w:spacing w:after="20"/>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rPr>
      </w:pPr>
      <w:r>
        <w:rPr>
          <w:rFonts w:eastAsia="Basic Roman"/>
          <w:color w:val="000000"/>
          <w:kern w:val="1"/>
        </w:rPr>
        <w:t>25 g Honig (wenn es Ihnen nicht süß genug ist, nehmen Sie einfach etwas mehr) </w:t>
      </w:r>
    </w:p>
    <w:p>
      <w:pPr>
        <w:numPr>
          <w:ilvl w:val="0"/>
          <w:numId w:val="60"/>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 xml:space="preserve">frisch gemahlener </w:t>
        <w:fldChar w:fldCharType="begin"/>
        <w:instrText xml:space="preserve">XE "Pfeffer" \G </w:instrText>
        <w:fldChar w:fldCharType="end"/>
        <w:t>Pfeffer</w:t>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r>
    </w:p>
    <w:p>
      <w:pPr>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b/>
          <w:color w:val="000000"/>
          <w:kern w:val="1"/>
          <w:sz w:val="24"/>
          <w:szCs w:val="20"/>
        </w:rPr>
      </w:pPr>
      <w:r>
        <w:rPr>
          <w:rFonts w:eastAsia="Basic Roman"/>
          <w:b/>
          <w:color w:val="000000"/>
          <w:kern w:val="1"/>
          <w:sz w:val="24"/>
          <w:szCs w:val="20"/>
        </w:rPr>
        <w:t>Zubereitung</w:t>
      </w:r>
    </w:p>
    <w:p>
      <w:pPr>
        <w:numPr>
          <w:ilvl w:val="0"/>
          <w:numId w:val="61"/>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Verrühren Sie alles so lange, bis eine feine Creme entsteht.</w:t>
      </w:r>
    </w:p>
    <w:p>
      <w:pPr>
        <w:numPr>
          <w:ilvl w:val="0"/>
          <w:numId w:val="61"/>
        </w:numPr>
        <w:ind w:left="283" w:hanging="283"/>
        <w:spacing/>
        <w:jc w:val="lef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olor w:val="000000"/>
          <w:kern w:val="1"/>
          <w:sz w:val="24"/>
          <w:szCs w:val="20"/>
        </w:rPr>
      </w:pPr>
      <w:r>
        <w:rPr>
          <w:rFonts w:eastAsia="Basic Roman"/>
          <w:color w:val="000000"/>
          <w:kern w:val="1"/>
          <w:sz w:val="24"/>
          <w:szCs w:val="20"/>
        </w:rPr>
        <w:t xml:space="preserve">Geriebenen </w:t>
        <w:fldChar w:fldCharType="begin"/>
        <w:instrText xml:space="preserve">XE "Ingwer" \G </w:instrText>
        <w:fldChar w:fldCharType="end"/>
        <w:t xml:space="preserve">Ingwer, Himbeeren, </w:t>
        <w:fldChar w:fldCharType="begin"/>
        <w:instrText xml:space="preserve">XE "Zimt" \G </w:instrText>
        <w:fldChar w:fldCharType="end"/>
        <w:t xml:space="preserve">Zimt, </w:t>
        <w:fldChar w:fldCharType="begin"/>
        <w:instrText xml:space="preserve">XE "Pfeffer" \G </w:instrText>
        <w:fldChar w:fldCharType="end"/>
        <w:t>Pfeffer und Honig zur Quarkmasse geben und gut umrühren.</w:t>
      </w:r>
    </w:p>
    <w:p>
      <w:r/>
    </w:p>
    <w:p>
      <w:pPr>
        <w:pStyle w:val="para1"/>
        <w:numPr>
          <w:ilvl w:val="0"/>
          <w:numId w:val="1"/>
        </w:numPr>
        <w:ind w:left="432" w:hanging="432"/>
        <w:spacing w:before="0"/>
        <w:rPr>
          <w:sz w:val="22"/>
          <w:szCs w:val="22"/>
        </w:rPr>
      </w:pPr>
      <w:r>
        <w:br w:type="page"/>
      </w:r>
      <w:r>
        <w:rPr>
          <w:sz w:val="22"/>
          <w:szCs w:val="22"/>
        </w:rPr>
      </w:r>
    </w:p>
    <w:p>
      <w:pPr>
        <w:pStyle w:val="para1"/>
        <w:numPr>
          <w:ilvl w:val="0"/>
          <w:numId w:val="1"/>
        </w:numPr>
        <w:ind w:left="432" w:hanging="432"/>
        <w:spacing w:before="0"/>
        <w:rPr>
          <w:sz w:val="22"/>
          <w:szCs w:val="22"/>
        </w:rPr>
      </w:pPr>
      <w:r>
        <w:br w:type="page"/>
      </w:r>
      <w:r/>
      <w:bookmarkStart w:id="328" w:name="_TOC000364"/>
      <w:r/>
      <w:bookmarkStart w:id="329" w:name="_TOC000361"/>
      <w:r/>
      <w:bookmarkStart w:id="330" w:name="_TOC000344"/>
      <w:r/>
      <w:bookmarkStart w:id="331" w:name="_TOC000341"/>
      <w:r/>
      <w:bookmarkStart w:id="332" w:name="_TOC000340"/>
      <w:r/>
      <w:bookmarkStart w:id="333" w:name="_TOC000337"/>
      <w:r/>
      <w:bookmarkStart w:id="334" w:name="_TOC000334"/>
      <w:r/>
      <w:bookmarkStart w:id="335" w:name="_TOC000323"/>
      <w:r/>
      <w:bookmarkStart w:id="336" w:name="_TOC000321"/>
      <w:r/>
      <w:bookmarkStart w:id="337" w:name="_TOC000319"/>
      <w:r/>
      <w:bookmarkStart w:id="338" w:name="_TOC000316"/>
      <w:r/>
      <w:bookmarkStart w:id="339" w:name="_TOC000311"/>
      <w:r/>
      <w:bookmarkStart w:id="340" w:name="_TOC000222"/>
      <w:r/>
      <w:bookmarkStart w:id="341" w:name="_TOC000304"/>
      <w:r/>
      <w:bookmarkStart w:id="342" w:name="_TOC000300"/>
      <w:r/>
      <w:bookmarkStart w:id="343" w:name="_TOC000296"/>
      <w:r/>
      <w:bookmarkStart w:id="344" w:name="_TOC000293"/>
      <w:r/>
      <w:bookmarkStart w:id="345" w:name="_TOC000282"/>
      <w:r/>
      <w:bookmarkStart w:id="346" w:name="_TOC000280"/>
      <w:r/>
      <w:bookmarkStart w:id="347" w:name="_TOC000276"/>
      <w:r/>
      <w:bookmarkStart w:id="348" w:name="_TOC000275"/>
      <w:r/>
      <w:bookmarkStart w:id="349" w:name="_TOC000273"/>
      <w:r/>
      <w:bookmarkStart w:id="350" w:name="_TOC000270"/>
      <w:r/>
      <w:bookmarkStart w:id="351" w:name="_TOC000268"/>
      <w:r/>
      <w:bookmarkStart w:id="352" w:name="_TOC000266"/>
      <w:r/>
      <w:bookmarkStart w:id="353" w:name="_TOC000265"/>
      <w:r/>
      <w:bookmarkStart w:id="354" w:name="_TOC000263"/>
      <w:r/>
      <w:bookmarkStart w:id="355" w:name="_TOC000262"/>
      <w:r/>
      <w:bookmarkStart w:id="356" w:name="_TOC000260"/>
      <w:r/>
      <w:bookmarkStart w:id="357" w:name="_TOC000248"/>
      <w:r/>
      <w:bookmarkStart w:id="358" w:name="_TOC000088"/>
      <w:r/>
      <w:bookmarkStart w:id="359" w:name="_TOC000087"/>
      <w:r/>
      <w:bookmarkStart w:id="360" w:name="_TOC000075"/>
      <w:r/>
      <w:bookmarkStart w:id="361" w:name="_TOC000250"/>
      <w:r/>
      <w:bookmarkStart w:id="362" w:name="_TOC000239"/>
      <w:r/>
      <w:bookmarkStart w:id="363" w:name="_TOC000237"/>
      <w:r/>
      <w:bookmarkStart w:id="364" w:name="_TOC000216"/>
      <w:r/>
      <w:bookmarkStart w:id="365" w:name="_TOC000233"/>
      <w:r/>
      <w:bookmarkStart w:id="366" w:name="_TOC000231"/>
      <w:r/>
      <w:bookmarkStart w:id="367" w:name="_TOC000223"/>
      <w:r/>
      <w:bookmarkStart w:id="368" w:name="_TOC000032"/>
      <w:r/>
      <w:bookmarkStart w:id="369" w:name="_TOC000203"/>
      <w:r/>
      <w:bookmarkStart w:id="370" w:name="_TOC000226"/>
      <w:r/>
      <w:bookmarkStart w:id="371" w:name="_TOC000204"/>
      <w:r/>
      <w:bookmarkStart w:id="372" w:name="_TOC000014"/>
      <w:r/>
      <w:bookmarkStart w:id="373" w:name="_TOC000131"/>
      <w:r/>
      <w:bookmarkStart w:id="374" w:name="_TOC000065"/>
      <w:r/>
      <w:bookmarkStart w:id="375" w:name="_TOC000129"/>
      <w:r/>
      <w:bookmarkStart w:id="376" w:name="_TOC000064"/>
      <w:r/>
      <w:bookmarkEnd w:id="375"/>
      <w:r/>
      <w:bookmarkEnd w:id="376"/>
      <w:r/>
      <w:bookmarkEnd w:id="374"/>
      <w:r/>
      <w:bookmarkStart w:id="377" w:name="_TOC000039"/>
      <w:r/>
      <w:bookmarkEnd w:id="377"/>
      <w:r/>
      <w:bookmarkEnd w:id="373"/>
      <w:r/>
      <w:r>
        <w:rPr>
          <w:sz w:val="22"/>
          <w:szCs w:val="22"/>
        </w:rPr>
        <w:t>Stichwortverzeichnis</w:t>
      </w:r>
      <w:r/>
      <w:bookmarkEnd w:id="372"/>
      <w:r/>
      <w:bookmarkEnd w:id="371"/>
      <w:r/>
      <w:bookmarkEnd w:id="370"/>
      <w:r/>
      <w:bookmarkEnd w:id="369"/>
      <w:r/>
      <w:bookmarkEnd w:id="368"/>
      <w:r/>
      <w:bookmarkEnd w:id="367"/>
      <w:r/>
      <w:bookmarkEnd w:id="366"/>
      <w:r/>
      <w:bookmarkEnd w:id="365"/>
      <w:r/>
      <w:bookmarkEnd w:id="364"/>
      <w:r/>
      <w:bookmarkEnd w:id="363"/>
      <w:r/>
      <w:bookmarkEnd w:id="362"/>
      <w:r/>
      <w:bookmarkEnd w:id="361"/>
      <w:r/>
      <w:bookmarkEnd w:id="360"/>
      <w:r/>
      <w:bookmarkEnd w:id="359"/>
      <w:r/>
      <w:bookmarkEnd w:id="358"/>
      <w:r/>
      <w:bookmarkEnd w:id="357"/>
      <w:r/>
      <w:bookmarkEnd w:id="356"/>
      <w:r/>
      <w:bookmarkEnd w:id="355"/>
      <w:r/>
      <w:bookmarkEnd w:id="354"/>
      <w:r/>
      <w:bookmarkEnd w:id="353"/>
      <w:r/>
      <w:bookmarkEnd w:id="352"/>
      <w:r/>
      <w:bookmarkEnd w:id="351"/>
      <w:r/>
      <w:bookmarkEnd w:id="350"/>
      <w:r/>
      <w:bookmarkEnd w:id="349"/>
      <w:r/>
      <w:bookmarkEnd w:id="348"/>
      <w:r/>
      <w:bookmarkEnd w:id="347"/>
      <w:r/>
      <w:bookmarkEnd w:id="346"/>
      <w:r/>
      <w:bookmarkEnd w:id="345"/>
      <w:r/>
      <w:bookmarkEnd w:id="344"/>
      <w:r/>
      <w:bookmarkEnd w:id="343"/>
      <w:r/>
      <w:bookmarkEnd w:id="342"/>
      <w:r/>
      <w:bookmarkEnd w:id="341"/>
      <w:r/>
      <w:bookmarkEnd w:id="340"/>
      <w:r/>
      <w:bookmarkEnd w:id="339"/>
      <w:r/>
      <w:bookmarkEnd w:id="338"/>
      <w:r/>
      <w:bookmarkEnd w:id="337"/>
      <w:r/>
      <w:bookmarkEnd w:id="336"/>
      <w:r/>
      <w:bookmarkEnd w:id="335"/>
      <w:r/>
      <w:bookmarkEnd w:id="334"/>
      <w:r/>
      <w:bookmarkEnd w:id="333"/>
      <w:r/>
      <w:bookmarkEnd w:id="332"/>
      <w:r/>
      <w:bookmarkEnd w:id="331"/>
      <w:r/>
      <w:bookmarkEnd w:id="330"/>
      <w:r/>
      <w:bookmarkEnd w:id="329"/>
      <w:r/>
      <w:bookmarkEnd w:id="328"/>
      <w:r/>
      <w:r>
        <w:rPr>
          <w:sz w:val="22"/>
          <w:szCs w:val="22"/>
        </w:rPr>
      </w:r>
    </w:p>
    <w:p>
      <w:r/>
    </w:p>
    <w:p>
      <w:pPr>
        <w:pStyle w:val="para33"/>
      </w:pPr>
      <w:r>
        <w:fldChar w:fldCharType="begin"/>
      </w:r>
      <w:r>
        <w:instrText xml:space="preserve"> INDEX \e "	" </w:instrText>
      </w:r>
      <w:r>
        <w:fldChar w:fldCharType="separate"/>
      </w:r>
      <w:r>
        <w:t>A</w:t>
      </w:r>
    </w:p>
    <w:p>
      <w:pPr>
        <w:pStyle w:val="para34"/>
      </w:pPr>
      <w:r>
        <w:t>Antioxidantien</w:t>
        <w:tab/>
        <w:t>10, 33, 34, 35, 38, 44, 54, 55, 57, 68, 79, 81</w:t>
      </w:r>
    </w:p>
    <w:p>
      <w:pPr>
        <w:pStyle w:val="para34"/>
      </w:pPr>
      <w:r>
        <w:t>Arachidonsäure</w:t>
        <w:tab/>
        <w:t>26, 54, 55, 55, 57, 58, 59, 60, 61, 75</w:t>
      </w:r>
    </w:p>
    <w:p>
      <w:pPr>
        <w:pStyle w:val="para34"/>
      </w:pPr>
      <w:r>
        <w:t>Arthrose</w:t>
        <w:tab/>
        <w:t>6, 7, 11, 26, 41, 42, 54, 55, 58, 62, 63, 64, 66, 67, 88, 91, 93, 101</w:t>
      </w:r>
    </w:p>
    <w:p>
      <w:pPr>
        <w:pStyle w:val="para33"/>
      </w:pPr>
      <w:r>
        <w:t>B</w:t>
      </w:r>
    </w:p>
    <w:p>
      <w:pPr>
        <w:pStyle w:val="para34"/>
      </w:pPr>
      <w:r>
        <w:t>Buttersäure</w:t>
        <w:tab/>
        <w:t>22</w:t>
      </w:r>
    </w:p>
    <w:p>
      <w:pPr>
        <w:pStyle w:val="para33"/>
      </w:pPr>
      <w:r>
        <w:t>C</w:t>
      </w:r>
    </w:p>
    <w:p>
      <w:pPr>
        <w:pStyle w:val="para34"/>
      </w:pPr>
      <w:r>
        <w:t>Calcium</w:t>
        <w:tab/>
        <w:t>38, 47, 48, 51, 79</w:t>
      </w:r>
    </w:p>
    <w:p>
      <w:pPr>
        <w:pStyle w:val="para34"/>
      </w:pPr>
      <w:r>
        <w:t>Cellulose</w:t>
        <w:tab/>
        <w:t>6</w:t>
      </w:r>
    </w:p>
    <w:p>
      <w:pPr>
        <w:pStyle w:val="para34"/>
      </w:pPr>
      <w:r>
        <w:t>Chili</w:t>
        <w:tab/>
        <w:t>14, 30, 95, 96</w:t>
      </w:r>
    </w:p>
    <w:p>
      <w:pPr>
        <w:pStyle w:val="para33"/>
      </w:pPr>
      <w:r>
        <w:t>E</w:t>
      </w:r>
    </w:p>
    <w:p>
      <w:pPr>
        <w:pStyle w:val="para34"/>
      </w:pPr>
      <w:r>
        <w:t>Einfachzucker</w:t>
        <w:tab/>
        <w:t>5</w:t>
      </w:r>
    </w:p>
    <w:p>
      <w:pPr>
        <w:pStyle w:val="para34"/>
      </w:pPr>
      <w:r>
        <w:t>Eisen</w:t>
        <w:tab/>
        <w:t>33, 34, 38, 47, 48, 49, 50, 51, 52, 53, 54, 76, 79</w:t>
      </w:r>
    </w:p>
    <w:p>
      <w:pPr>
        <w:pStyle w:val="para34"/>
      </w:pPr>
      <w:r>
        <w:t>Eiweiß</w:t>
        <w:tab/>
        <w:t>1, 2, 3, 4, 16, 18, 19, 20, 42, 50, 68, 78, 92</w:t>
      </w:r>
    </w:p>
    <w:p>
      <w:pPr>
        <w:pStyle w:val="para33"/>
      </w:pPr>
      <w:r>
        <w:t>F</w:t>
      </w:r>
    </w:p>
    <w:p>
      <w:pPr>
        <w:pStyle w:val="para34"/>
      </w:pPr>
      <w:r>
        <w:t>Fett</w:t>
        <w:tab/>
        <w:t>1, 2, 3, 4, 5, 7, 19, 21, 33, 41, 51, 54, 57, 60, 72, 73, 89, 90, 94</w:t>
      </w:r>
    </w:p>
    <w:p>
      <w:pPr>
        <w:pStyle w:val="para34"/>
      </w:pPr>
      <w:r>
        <w:t>Fettsäuren</w:t>
        <w:tab/>
        <w:t>4, 9, 19, 20, 21, 22, 23, 25, 25, 26, 27, 28, 33, 44, 54, 55, 57, 58, 80, 81</w:t>
      </w:r>
    </w:p>
    <w:p>
      <w:pPr>
        <w:pStyle w:val="para34"/>
      </w:pPr>
      <w:r>
        <w:t>Fructose</w:t>
        <w:tab/>
        <w:t>5, 32</w:t>
      </w:r>
    </w:p>
    <w:p>
      <w:pPr>
        <w:pStyle w:val="para33"/>
      </w:pPr>
      <w:r>
        <w:t>G</w:t>
      </w:r>
    </w:p>
    <w:p>
      <w:pPr>
        <w:pStyle w:val="para34"/>
      </w:pPr>
      <w:r>
        <w:t>Galactose</w:t>
        <w:tab/>
        <w:t>5</w:t>
      </w:r>
    </w:p>
    <w:p>
      <w:pPr>
        <w:pStyle w:val="para34"/>
      </w:pPr>
      <w:r>
        <w:t>Gewichtsmanagement</w:t>
        <w:tab/>
        <w:t>41, 42</w:t>
      </w:r>
    </w:p>
    <w:p>
      <w:pPr>
        <w:pStyle w:val="para34"/>
      </w:pPr>
      <w:r>
        <w:t>Gewürze</w:t>
        <w:tab/>
        <w:t>30, 56, 78, 91</w:t>
      </w:r>
    </w:p>
    <w:p>
      <w:pPr>
        <w:pStyle w:val="para34"/>
      </w:pPr>
      <w:r>
        <w:t>Gicht</w:t>
        <w:tab/>
        <w:t>26, 68, 69</w:t>
      </w:r>
    </w:p>
    <w:p>
      <w:pPr>
        <w:pStyle w:val="para34"/>
      </w:pPr>
      <w:r>
        <w:t>Glukose</w:t>
        <w:tab/>
        <w:t>5, 7, 10, 38, 41, 66</w:t>
      </w:r>
    </w:p>
    <w:p>
      <w:pPr>
        <w:pStyle w:val="para34"/>
      </w:pPr>
      <w:r>
        <w:t>Gluten</w:t>
        <w:tab/>
        <w:t>11, 16</w:t>
      </w:r>
    </w:p>
    <w:p>
      <w:pPr>
        <w:pStyle w:val="para34"/>
      </w:pPr>
      <w:r>
        <w:t>Glykogen</w:t>
        <w:tab/>
        <w:t>5, 6</w:t>
      </w:r>
    </w:p>
    <w:p>
      <w:pPr>
        <w:pStyle w:val="para33"/>
      </w:pPr>
      <w:r>
        <w:t>H</w:t>
      </w:r>
    </w:p>
    <w:p>
      <w:pPr>
        <w:pStyle w:val="para34"/>
      </w:pPr>
      <w:r>
        <w:t>Harnsäure</w:t>
        <w:tab/>
        <w:t>68, 69, 70, 71</w:t>
      </w:r>
    </w:p>
    <w:p>
      <w:pPr>
        <w:pStyle w:val="para34"/>
      </w:pPr>
      <w:r>
        <w:t>Haushaltszucker</w:t>
        <w:tab/>
        <w:t>5, 7</w:t>
      </w:r>
    </w:p>
    <w:p>
      <w:pPr>
        <w:pStyle w:val="para33"/>
      </w:pPr>
      <w:r>
        <w:t>I</w:t>
      </w:r>
    </w:p>
    <w:p>
      <w:pPr>
        <w:pStyle w:val="para34"/>
      </w:pPr>
      <w:r>
        <w:t>Ingwer</w:t>
        <w:tab/>
        <w:t>30, 31, 45, 56, 91, 94</w:t>
      </w:r>
    </w:p>
    <w:p>
      <w:pPr>
        <w:pStyle w:val="para33"/>
      </w:pPr>
      <w:r>
        <w:t>K</w:t>
      </w:r>
    </w:p>
    <w:p>
      <w:pPr>
        <w:pStyle w:val="para34"/>
      </w:pPr>
      <w:r>
        <w:t>Kalium</w:t>
        <w:tab/>
        <w:t>34, 51, 52, 76, 79</w:t>
      </w:r>
    </w:p>
    <w:p>
      <w:pPr>
        <w:pStyle w:val="para34"/>
      </w:pPr>
      <w:r>
        <w:t>Knoblauch</w:t>
        <w:tab/>
        <w:t>2, 13, 14, 34, 35, 36, 44, 45, 88, 89, 94, 96, 97</w:t>
      </w:r>
    </w:p>
    <w:p>
      <w:pPr>
        <w:pStyle w:val="para34"/>
      </w:pPr>
      <w:r>
        <w:t>Knorpelregeneration</w:t>
        <w:tab/>
        <w:t>55, 64, 65, 66</w:t>
      </w:r>
    </w:p>
    <w:p>
      <w:pPr>
        <w:pStyle w:val="para34"/>
      </w:pPr>
      <w:r>
        <w:t>Kohlenhydrate</w:t>
        <w:tab/>
        <w:t>1, 2, 3, 4, 5, 6, 7, 18, 41, 41, 72</w:t>
      </w:r>
    </w:p>
    <w:p>
      <w:pPr>
        <w:pStyle w:val="para34"/>
      </w:pPr>
      <w:r>
        <w:t>Kokosöl</w:t>
        <w:tab/>
        <w:t>22, 89, 91, 92, 95</w:t>
      </w:r>
    </w:p>
    <w:p>
      <w:pPr>
        <w:pStyle w:val="para34"/>
      </w:pPr>
      <w:r>
        <w:t>Kurkuma</w:t>
        <w:tab/>
        <w:t>31, 33, 56, 57, 91</w:t>
      </w:r>
    </w:p>
    <w:p>
      <w:pPr>
        <w:pStyle w:val="para33"/>
      </w:pPr>
      <w:r>
        <w:t>L</w:t>
      </w:r>
    </w:p>
    <w:p>
      <w:pPr>
        <w:pStyle w:val="para34"/>
      </w:pPr>
      <w:r>
        <w:t>Laktose</w:t>
        <w:tab/>
        <w:t>5, 7</w:t>
      </w:r>
    </w:p>
    <w:p>
      <w:pPr>
        <w:pStyle w:val="para34"/>
      </w:pPr>
      <w:r>
        <w:t>Laurinsäure</w:t>
        <w:tab/>
        <w:t>22, 23</w:t>
      </w:r>
    </w:p>
    <w:p>
      <w:pPr>
        <w:pStyle w:val="para34"/>
      </w:pPr>
      <w:r>
        <w:t>Lektine</w:t>
        <w:tab/>
        <w:t>11, 12, 13, 14, 17, 20, 61</w:t>
      </w:r>
    </w:p>
    <w:p>
      <w:pPr>
        <w:pStyle w:val="para34"/>
      </w:pPr>
      <w:r>
        <w:t>Linolsäure</w:t>
        <w:tab/>
        <w:t>26, 56, 57</w:t>
      </w:r>
    </w:p>
    <w:p>
      <w:pPr>
        <w:pStyle w:val="para33"/>
      </w:pPr>
      <w:r>
        <w:t>M</w:t>
      </w:r>
    </w:p>
    <w:p>
      <w:pPr>
        <w:pStyle w:val="para34"/>
      </w:pPr>
      <w:r>
        <w:t>Magnesium</w:t>
        <w:tab/>
        <w:t>34, 38, 48, 51, 52, 62, 76, 79</w:t>
      </w:r>
    </w:p>
    <w:p>
      <w:pPr>
        <w:pStyle w:val="para34"/>
      </w:pPr>
      <w:r>
        <w:t>Maltose</w:t>
        <w:tab/>
        <w:t>5, 7</w:t>
      </w:r>
    </w:p>
    <w:p>
      <w:pPr>
        <w:pStyle w:val="para34"/>
      </w:pPr>
      <w:r>
        <w:t>Meerrettich</w:t>
        <w:tab/>
        <w:t>34, 35, 90</w:t>
      </w:r>
    </w:p>
    <w:p>
      <w:pPr>
        <w:pStyle w:val="para34"/>
      </w:pPr>
      <w:r>
        <w:t>Mikronährstoffe</w:t>
        <w:tab/>
        <w:t>4, 38</w:t>
      </w:r>
    </w:p>
    <w:p>
      <w:pPr>
        <w:pStyle w:val="para34"/>
      </w:pPr>
      <w:r>
        <w:t>Milchfett</w:t>
        <w:tab/>
        <w:t>22</w:t>
      </w:r>
    </w:p>
    <w:p>
      <w:pPr>
        <w:pStyle w:val="para34"/>
      </w:pPr>
      <w:r>
        <w:t>Milchprodukte</w:t>
        <w:tab/>
        <w:t>19, 20, 28, 47, 53, 57, 58, 60, 68, 69, 75, 81</w:t>
      </w:r>
    </w:p>
    <w:p>
      <w:pPr>
        <w:pStyle w:val="para34"/>
      </w:pPr>
      <w:r>
        <w:t>Mineralstoffe</w:t>
        <w:tab/>
        <w:t>34, 40, 48, 52, 55, 76, 77, 78</w:t>
      </w:r>
    </w:p>
    <w:p>
      <w:pPr>
        <w:pStyle w:val="para34"/>
      </w:pPr>
      <w:r>
        <w:t>Mitochondrien</w:t>
        <w:tab/>
        <w:t>36, 37, 38, 39</w:t>
      </w:r>
    </w:p>
    <w:p>
      <w:pPr>
        <w:pStyle w:val="para33"/>
      </w:pPr>
      <w:r>
        <w:t>O</w:t>
      </w:r>
    </w:p>
    <w:p>
      <w:pPr>
        <w:pStyle w:val="para34"/>
      </w:pPr>
      <w:r>
        <w:t>Olivenöl</w:t>
        <w:tab/>
        <w:t>3, 22, 24, 56, 57, 59, 87, 88, 90, 96, 97, 98</w:t>
      </w:r>
    </w:p>
    <w:p>
      <w:pPr>
        <w:pStyle w:val="para33"/>
      </w:pPr>
      <w:r>
        <w:t>P</w:t>
      </w:r>
    </w:p>
    <w:p>
      <w:pPr>
        <w:pStyle w:val="para34"/>
      </w:pPr>
      <w:r>
        <w:t>Palmitinsäure</w:t>
        <w:tab/>
        <w:t>22</w:t>
      </w:r>
    </w:p>
    <w:p>
      <w:pPr>
        <w:pStyle w:val="para34"/>
      </w:pPr>
      <w:r>
        <w:t>Palmöl</w:t>
        <w:tab/>
        <w:t>22, 23</w:t>
      </w:r>
    </w:p>
    <w:p>
      <w:pPr>
        <w:pStyle w:val="para34"/>
      </w:pPr>
      <w:r>
        <w:t>pfeffer</w:t>
        <w:tab/>
        <w:t>31, 32, 32, 57, 87, 89, 90, 92, 94, 95, 96, 97, 98</w:t>
      </w:r>
    </w:p>
    <w:p>
      <w:pPr>
        <w:pStyle w:val="para34"/>
      </w:pPr>
      <w:r>
        <w:t>Phytinsäure</w:t>
        <w:tab/>
        <w:t>11, 14, 15, 20, 48, 53</w:t>
      </w:r>
    </w:p>
    <w:p>
      <w:pPr>
        <w:pStyle w:val="para34"/>
      </w:pPr>
      <w:r>
        <w:t>Protein</w:t>
        <w:tab/>
        <w:t>1, 4, 18, 37, 42, 45</w:t>
      </w:r>
    </w:p>
    <w:p>
      <w:pPr>
        <w:pStyle w:val="para33"/>
      </w:pPr>
      <w:r>
        <w:t>Q</w:t>
      </w:r>
    </w:p>
    <w:p>
      <w:pPr>
        <w:pStyle w:val="para34"/>
      </w:pPr>
      <w:r>
        <w:t>Q10</w:t>
        <w:tab/>
        <w:t>38</w:t>
      </w:r>
    </w:p>
    <w:p>
      <w:pPr>
        <w:pStyle w:val="para33"/>
      </w:pPr>
      <w:r>
        <w:t>S</w:t>
      </w:r>
    </w:p>
    <w:p>
      <w:pPr>
        <w:pStyle w:val="para34"/>
      </w:pPr>
      <w:r>
        <w:t>Saccharose</w:t>
        <w:tab/>
        <w:t>5, 7</w:t>
      </w:r>
    </w:p>
    <w:p>
      <w:pPr>
        <w:pStyle w:val="para34"/>
      </w:pPr>
      <w:r>
        <w:t>Selen</w:t>
        <w:tab/>
        <w:t>40, 55, 62</w:t>
      </w:r>
    </w:p>
    <w:p>
      <w:pPr>
        <w:pStyle w:val="para34"/>
      </w:pPr>
      <w:r>
        <w:t>Senf</w:t>
        <w:tab/>
        <w:t>34, 35</w:t>
      </w:r>
    </w:p>
    <w:p>
      <w:pPr>
        <w:pStyle w:val="para34"/>
      </w:pPr>
      <w:r>
        <w:t>Silizium</w:t>
        <w:tab/>
        <w:t>64, 65, 66</w:t>
      </w:r>
    </w:p>
    <w:p>
      <w:pPr>
        <w:pStyle w:val="para34"/>
      </w:pPr>
      <w:r>
        <w:t>Soja</w:t>
        <w:tab/>
        <w:t>19, 20, 26, 79</w:t>
      </w:r>
    </w:p>
    <w:p>
      <w:pPr>
        <w:pStyle w:val="para34"/>
      </w:pPr>
      <w:r>
        <w:t>Stärke</w:t>
        <w:tab/>
        <w:t>5, 6, 9, 9, 10, 41, 45</w:t>
      </w:r>
    </w:p>
    <w:p>
      <w:pPr>
        <w:pStyle w:val="para33"/>
      </w:pPr>
      <w:r>
        <w:t>T</w:t>
      </w:r>
    </w:p>
    <w:p>
      <w:pPr>
        <w:pStyle w:val="para34"/>
      </w:pPr>
      <w:r>
        <w:t>Transfettsäuren</w:t>
        <w:tab/>
        <w:t>22, 23</w:t>
      </w:r>
    </w:p>
    <w:p>
      <w:pPr>
        <w:pStyle w:val="para34"/>
      </w:pPr>
      <w:r>
        <w:t>Transpalmitoleinsäure</w:t>
        <w:tab/>
        <w:t>22</w:t>
      </w:r>
    </w:p>
    <w:p>
      <w:pPr>
        <w:pStyle w:val="para34"/>
      </w:pPr>
      <w:r>
        <w:t>Triglyceride</w:t>
        <w:tab/>
        <w:t>21</w:t>
      </w:r>
    </w:p>
    <w:p>
      <w:pPr>
        <w:pStyle w:val="para33"/>
      </w:pPr>
      <w:r>
        <w:t>V</w:t>
      </w:r>
    </w:p>
    <w:p>
      <w:pPr>
        <w:pStyle w:val="para34"/>
      </w:pPr>
      <w:r>
        <w:t>Vielfachzucker</w:t>
        <w:tab/>
        <w:t>6, 6</w:t>
      </w:r>
    </w:p>
    <w:p>
      <w:pPr>
        <w:pStyle w:val="para34"/>
      </w:pPr>
      <w:r>
        <w:t>Vitamine</w:t>
        <w:tab/>
        <w:t>4, 10, 14, 21, 34, 38, 38, 40, 42, 55, 56, 61, 79, 81</w:t>
      </w:r>
    </w:p>
    <w:p>
      <w:pPr>
        <w:pStyle w:val="para33"/>
      </w:pPr>
      <w:r>
        <w:t>Z</w:t>
      </w:r>
    </w:p>
    <w:p>
      <w:pPr>
        <w:pStyle w:val="para34"/>
      </w:pPr>
      <w:r>
        <w:t>Zimt</w:t>
        <w:tab/>
        <w:t>33, 34, 56, 56, 91, 92, 96, 98</w:t>
      </w:r>
    </w:p>
    <w:p>
      <w:pPr>
        <w:pStyle w:val="para34"/>
      </w:pPr>
      <w:r>
        <w:t>Zink</w:t>
        <w:tab/>
        <w:t>20, 40, 48, 54, 55, 61, 62</w:t>
      </w:r>
    </w:p>
    <w:p>
      <w:pPr>
        <w:pStyle w:val="para34"/>
      </w:pPr>
      <w:r>
        <w:t>Zweifachzucker</w:t>
        <w:tab/>
        <w:t>5</w:t>
      </w:r>
    </w:p>
    <w:p>
      <w:pPr>
        <w:pStyle w:val="para34"/>
      </w:pPr>
      <w:r>
        <w:t>Zwiebel</w:t>
        <w:tab/>
        <w:t>34, 35, 87, 91, 94, 95, 98</w:t>
      </w:r>
    </w:p>
    <w:p>
      <w:r>
        <w:fldChar w:fldCharType="end"/>
      </w:r>
      <w:r/>
    </w:p>
    <w:p>
      <w:r/>
    </w:p>
    <w:p>
      <w:pPr>
        <w:pStyle w:val="para1"/>
        <w:numPr>
          <w:ilvl w:val="0"/>
          <w:numId w:val="1"/>
        </w:numPr>
        <w:ind w:left="432" w:hanging="432"/>
      </w:pPr>
      <w:r>
        <w:br w:type="page"/>
      </w:r>
      <w:bookmarkStart w:id="378" w:name="_TOC000232"/>
      <w:r>
        <w:t>Literaturliste</w:t>
      </w:r>
      <w:bookmarkEnd w:id="378"/>
      <w:r/>
    </w:p>
    <w:p>
      <w:pPr>
        <w:spacing w:after="300"/>
        <w:jc w:val="left"/>
      </w:pPr>
      <w:r>
        <w:t>Dr. med. Klaus Erpenbach, Heike Schröder: Voll fertig! Bin ich nur müder oder schon krank? VAK 2016, ISBN 978-3-86731-178-6</w:t>
      </w:r>
    </w:p>
    <w:p>
      <w:pPr>
        <w:spacing w:after="300"/>
        <w:jc w:val="left"/>
      </w:pPr>
      <w:r>
        <w:t>Dr. Feil, Wessinghage, Reichenauer-Feil: Body-Coach, Haug Verlag, 2008,</w:t>
        <w:br w:type="textWrapping"/>
        <w:t>ISBN 978-3-8304-2287-7</w:t>
      </w:r>
    </w:p>
    <w:p>
      <w:pPr>
        <w:spacing w:after="300"/>
        <w:jc w:val="left"/>
      </w:pPr>
      <w:r>
        <w:t>Feil &amp; Feil: Die F-AS-T Formel, Forschungsgruppe Dr. Feil 2014, ISBN 978-3-00-046070-8</w:t>
      </w:r>
    </w:p>
    <w:p>
      <w:pPr>
        <w:spacing w:after="300"/>
        <w:jc w:val="left"/>
      </w:pPr>
      <w:r>
        <w:t xml:space="preserve">Dr. Wolfgang Feil, Uli Brüderlin, Frederike Feil: </w:t>
        <w:fldChar w:fldCharType="begin"/>
        <w:instrText xml:space="preserve">XE "Arthrose" \G </w:instrText>
        <w:fldChar w:fldCharType="end"/>
        <w:t xml:space="preserve">Arthrose und Gelenkschmerzen überwinden, </w:t>
        <w:br w:type="textWrapping"/>
        <w:t>Forschungsgruppe Dr. Feil 2018, ISBN 978-3-0004-0191-6</w:t>
      </w:r>
    </w:p>
    <w:p>
      <w:pPr>
        <w:spacing w:after="300"/>
        <w:jc w:val="left"/>
      </w:pPr>
      <w:r>
        <w:t xml:space="preserve">Dr. Wolfgang Feil, Herbert Steffny: Die große Lauf-Diät, Südwest Verlag, 2020, </w:t>
        <w:br w:type="textWrapping"/>
        <w:t>ISBN 978-3-5170-9982-8</w:t>
      </w:r>
    </w:p>
    <w:p>
      <w:pPr>
        <w:spacing w:after="300"/>
        <w:jc w:val="left"/>
      </w:pPr>
      <w:r>
        <w:t xml:space="preserve">Dr. Wolfgang Feil, Tobias Homburg: </w:t>
        <w:fldChar w:fldCharType="begin"/>
        <w:instrText xml:space="preserve">XE "Arthrose" \G </w:instrText>
        <w:fldChar w:fldCharType="end"/>
        <w:t xml:space="preserve">Arthrose endlich heilen, GU 2024, </w:t>
        <w:br w:type="textWrapping"/>
        <w:t>ISBN 978-3-8338-9184-7</w:t>
      </w:r>
    </w:p>
    <w:p>
      <w:pPr>
        <w:spacing w:after="300"/>
        <w:jc w:val="left"/>
      </w:pPr>
      <w:r>
        <w:t>Bernhard Hobelsberger, Dr. Wolfgang Feil: Dr. FOOD - gesunde Ernährung für starke Gelenke, GU 2021, ISBN 978-3-8338-7886-2</w:t>
      </w:r>
    </w:p>
    <w:p>
      <w:pPr>
        <w:spacing w:after="300"/>
        <w:jc w:val="left"/>
      </w:pPr>
      <w:r>
        <w:t>James DiNicolantonio, Der Salz-Irrtum, VAK 2019</w:t>
      </w:r>
    </w:p>
    <w:p>
      <w:pPr>
        <w:spacing w:after="300"/>
        <w:jc w:val="left"/>
      </w:pPr>
      <w:r>
        <w:t>Herbert Steffny, Dr. Wolfgang Feil: Die Lauf-Diät, Südwest Verlag, 2010</w:t>
      </w:r>
    </w:p>
    <w:p>
      <w:pPr>
        <w:spacing w:after="300"/>
        <w:jc w:val="left"/>
      </w:pPr>
      <w:r>
        <w:t>Prof. Dr. Jürgen Vormann, Säure-Basen-Balance; GU 2016, ISBN 978-3-8338-1148-7</w:t>
      </w:r>
    </w:p>
    <w:p>
      <w:pPr>
        <w:spacing w:after="300"/>
        <w:jc w:val="left"/>
      </w:pPr>
      <w:r/>
    </w:p>
    <w:sectPr>
      <w:footnotePr>
        <w:pos w:val="pageBottom"/>
        <w:numFmt w:val="decimal"/>
        <w:numStart w:val="1"/>
        <w:numRestart w:val="continuous"/>
      </w:footnotePr>
      <w:endnotePr>
        <w:pos w:val="docEnd"/>
        <w:numFmt w:val="decimal"/>
        <w:numStart w:val="1"/>
        <w:numRestart w:val="continuous"/>
      </w:endnotePr>
      <w:type w:val="continuous"/>
      <w:pgSz w:h="16840" w:w="11900"/>
      <w:pgMar w:left="1984" w:top="1417" w:right="850" w:bottom="1134"/>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ambria">
    <w:charset w:val="00"/>
    <w:family w:val="auto"/>
    <w:pitch w:val="default"/>
  </w:font>
  <w:font w:name="Tahoma">
    <w:charset w:val="00"/>
    <w:family w:val="auto"/>
    <w:pitch w:val="default"/>
  </w:font>
  <w:font w:name="Calibri">
    <w:charset w:val="00"/>
    <w:family w:val="auto"/>
    <w:pitch w:val="default"/>
  </w:font>
  <w:font w:name="Lucida Grande">
    <w:charset w:val="00"/>
    <w:family w:val="auto"/>
    <w:pitch w:val="default"/>
  </w:font>
  <w:font w:name="Wingbats">
    <w:charset w:val="02"/>
    <w:family w:val="auto"/>
    <w:pitch w:val="default"/>
  </w:font>
  <w:font w:name="Arial">
    <w:charset w:val="00"/>
    <w:family w:val="roman"/>
    <w:pitch w:val="default"/>
  </w:font>
  <w:font w:name="SimSu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tabs defTabSz="708">
        <w:tab w:val="right" w:pos="9071" w:leader="none"/>
      </w:tabs>
      <w:rPr>
        <w:sz w:val="16"/>
        <w:szCs w:val="16"/>
      </w:rPr>
    </w:pPr>
    <w:r>
      <w:rPr>
        <w:sz w:val="16"/>
        <w:szCs w:val="16"/>
      </w:rPr>
      <w:tab/>
      <w:t xml:space="preserve">Seite </w:t>
    </w:r>
    <w:r>
      <w:rPr>
        <w:sz w:val="16"/>
        <w:szCs w:val="16"/>
      </w:rPr>
      <w:fldChar w:fldCharType="begin"/>
      <w:instrText xml:space="preserve"> PAGE  \CA </w:instrText>
      <w:fldChar w:fldCharType="separate"/>
      <w:t>i</w:t>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rPr>
        <w:sz w:val="16"/>
        <w:szCs w:val="16"/>
      </w:rPr>
    </w:pPr>
    <w:r>
      <w:rPr>
        <w:sz w:val="16"/>
        <w:szCs w:val="16"/>
      </w:rPr>
      <w:t xml:space="preserve">Seite </w:t>
    </w:r>
    <w:r>
      <w:rPr>
        <w:sz w:val="16"/>
        <w:szCs w:val="16"/>
      </w:rPr>
      <w:fldChar w:fldCharType="begin"/>
      <w:instrText xml:space="preserve"> PAGE  \CA </w:instrText>
      <w:fldChar w:fldCharType="separate"/>
      <w:fldChar w:fldCharType="end"/>
    </w:r>
    <w:r>
      <w:rPr>
        <w:sz w:val="16"/>
        <w:szCs w:val="16"/>
      </w:rP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32"/>
      <w:tabs defTabSz="708">
        <w:tab w:val="clear" w:pos="4536" w:leader="none"/>
        <w:tab w:val="center" w:pos="5613" w:leader="none"/>
        <w:tab w:val="right" w:pos="9072" w:leader="none"/>
      </w:tabs>
      <w:pBdr>
        <w:top w:val="single" w:sz="4" w:space="1" w:color="000000" tmln="10, 20, 20, 0, 20"/>
        <w:left w:val="nil" w:sz="0" w:space="3" w:color="000000" tmln="20, 20, 20, 0, 60"/>
        <w:bottom w:val="nil" w:sz="0" w:space="3" w:color="000000" tmln="20, 20, 20, 0, 60"/>
        <w:right w:val="nil" w:sz="0" w:space="3" w:color="000000" tmln="20, 20, 20, 0, 60"/>
        <w:between w:val="nil" w:sz="0" w:space="0" w:color="000000" tmln="20, 20, 20, 0, 0"/>
      </w:pBdr>
      <w:shd w:val="none"/>
      <w:rPr>
        <w:rFonts w:ascii="Cambria" w:hAnsi="Cambria"/>
      </w:rPr>
    </w:pPr>
    <w:r>
      <w:rPr>
        <w:sz w:val="16"/>
      </w:rPr>
      <w:t>Dr. Peise - Institut für Kompetenzentwicklung</w:t>
      <w:tab/>
      <w:t>Dr. Gerhard H. Peise</w:t>
      <w:tab/>
      <w:t xml:space="preserve">Seite </w:t>
    </w:r>
    <w:r>
      <w:rPr>
        <w:rFonts w:eastAsia="Tahoma" w:cs="Tahoma"/>
        <w:sz w:val="16"/>
        <w:szCs w:val="16"/>
      </w:rPr>
    </w:r>
    <w:r>
      <w:rPr>
        <w:rFonts w:eastAsia="Tahoma" w:cs="Tahoma"/>
        <w:sz w:val="16"/>
        <w:szCs w:val="16"/>
      </w:rPr>
      <w:fldChar w:fldCharType="begin"/>
      <w:instrText xml:space="preserve"> PAGE </w:instrText>
      <w:fldChar w:fldCharType="separate"/>
      <w:t>22</w:t>
      <w:fldChar w:fldCharType="end"/>
    </w:r>
    <w:r>
      <w:rPr>
        <w:rFonts w:ascii="Cambria" w:hAnsi="Cambria"/>
      </w:rP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32"/>
      <w:tabs defTabSz="708">
        <w:tab w:val="center" w:pos="3061" w:leader="none"/>
        <w:tab w:val="clear" w:pos="4536" w:leader="none"/>
        <w:tab w:val="right" w:pos="9072" w:leader="none"/>
      </w:tabs>
      <w:pBdr>
        <w:top w:val="single" w:sz="4" w:space="1" w:color="000000" tmln="10, 20, 20, 0, 20"/>
        <w:left w:val="nil" w:sz="0" w:space="3" w:color="000000" tmln="20, 20, 20, 0, 60"/>
        <w:bottom w:val="nil" w:sz="0" w:space="3" w:color="000000" tmln="20, 20, 20, 0, 60"/>
        <w:right w:val="nil" w:sz="0" w:space="3" w:color="000000" tmln="20, 20, 20, 0, 60"/>
        <w:between w:val="nil" w:sz="0" w:space="0" w:color="000000" tmln="20, 20, 20, 0, 0"/>
      </w:pBdr>
      <w:shd w:val="none"/>
      <w:rPr>
        <w:sz w:val="16"/>
      </w:rPr>
    </w:pPr>
    <w:r>
      <w:rPr>
        <w:sz w:val="16"/>
      </w:rPr>
      <w:t xml:space="preserve">Seite </w:t>
    </w:r>
    <w:r>
      <w:rPr>
        <w:sz w:val="16"/>
      </w:rPr>
      <w:fldChar w:fldCharType="begin"/>
      <w:instrText xml:space="preserve"> PAGE </w:instrText>
      <w:fldChar w:fldCharType="separate"/>
      <w:t>137</w:t>
      <w:fldChar w:fldCharType="end"/>
    </w:r>
    <w:r>
      <w:rPr>
        <w:sz w:val="16"/>
      </w:rPr>
      <w:tab/>
      <w:t>Dr. Gerhard H. Peise</w:t>
      <w:tab/>
      <w:t>Dr. Peise - Institut für Kompetenzentwicklung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287">
    <w:p>
      <w:pPr>
        <w:pStyle w:val="para35"/>
        <w:rPr>
          <w:lang w:val="en-gb" w:eastAsia="en-gb" w:bidi="en-gb"/>
        </w:rPr>
      </w:pPr>
      <w:r>
        <w:rPr>
          <w:rStyle w:val="char19"/>
        </w:rPr>
      </w:r>
      <w:r>
        <w:rPr>
          <w:rStyle w:val="char19"/>
        </w:rPr>
        <w:footnoteRef/>
      </w:r>
      <w:r>
        <w:t xml:space="preserve"> </w:t>
      </w:r>
      <w:r>
        <w:rPr>
          <w:lang w:val="en-gb" w:eastAsia="en-gb" w:bidi="en-gb"/>
        </w:rPr>
        <w:t xml:space="preserve">Graudal, N. 2005. Commentary: possible role of salt intakein the development of essential hypertension. </w:t>
      </w:r>
      <w:r>
        <w:rPr>
          <w:i/>
          <w:iCs/>
          <w:lang w:val="en-gb" w:eastAsia="en-gb" w:bidi="en-gb"/>
        </w:rPr>
        <w:t>Int J Epidemiol</w:t>
      </w:r>
      <w:r>
        <w:rPr>
          <w:lang w:val="en-gb" w:eastAsia="en-gb" w:bidi="en-gb"/>
        </w:rPr>
        <w:t xml:space="preserve"> 34: 972-974.</w:t>
      </w:r>
      <w:r>
        <w:rPr>
          <w:lang w:val="en-gb" w:eastAsia="en-gb" w:bidi="en-gb"/>
        </w:rPr>
      </w:r>
    </w:p>
  </w:footnote>
  <w:footnote w:id="288">
    <w:p>
      <w:pPr>
        <w:pStyle w:val="para35"/>
        <w:rPr>
          <w:lang w:val="en-gb" w:eastAsia="en-gb" w:bidi="en-gb"/>
        </w:rPr>
      </w:pPr>
      <w:r>
        <w:rPr>
          <w:rStyle w:val="char19"/>
        </w:rPr>
      </w:r>
      <w:r>
        <w:rPr>
          <w:rStyle w:val="char19"/>
        </w:rPr>
        <w:footnoteRef/>
      </w:r>
      <w:r>
        <w:t xml:space="preserve"> </w:t>
      </w:r>
      <w:r>
        <w:rPr>
          <w:lang w:val="en-gb" w:eastAsia="en-gb" w:bidi="en-gb"/>
        </w:rPr>
        <w:t xml:space="preserve">Overlack, A., et al. 1993. Divergent hemodynamic and hormonal responses to varying salt intake in normotensive subjects. </w:t>
      </w:r>
      <w:r>
        <w:rPr>
          <w:i/>
          <w:iCs/>
          <w:lang w:val="en-gb" w:eastAsia="en-gb" w:bidi="en-gb"/>
        </w:rPr>
        <w:t>Hypertension</w:t>
      </w:r>
      <w:r>
        <w:rPr>
          <w:lang w:val="en-gb" w:eastAsia="en-gb" w:bidi="en-gb"/>
        </w:rPr>
        <w:t xml:space="preserve"> 22(3): 331-338</w:t>
      </w:r>
      <w:r>
        <w:rPr>
          <w:lang w:val="en-gb" w:eastAsia="en-gb" w:bidi="en-gb"/>
        </w:rPr>
      </w:r>
    </w:p>
  </w:footnote>
  <w:footnote w:id="289">
    <w:p>
      <w:pPr>
        <w:pStyle w:val="para35"/>
        <w:rPr>
          <w:lang w:val="en-gb" w:eastAsia="en-gb" w:bidi="en-gb"/>
        </w:rPr>
      </w:pPr>
      <w:r>
        <w:rPr>
          <w:rStyle w:val="char19"/>
        </w:rPr>
      </w:r>
      <w:r>
        <w:rPr>
          <w:rStyle w:val="char19"/>
        </w:rPr>
        <w:footnoteRef/>
      </w:r>
      <w:r>
        <w:t xml:space="preserve"> </w:t>
      </w:r>
      <w:r>
        <w:rPr>
          <w:lang w:val="en-gb" w:eastAsia="en-gb" w:bidi="en-gb"/>
        </w:rPr>
        <w:t xml:space="preserve">Freis, E. D. 1976. Salt, volume and the prevention of hypertension. </w:t>
      </w:r>
      <w:r>
        <w:rPr>
          <w:i/>
          <w:iCs/>
          <w:lang w:val="en-gb" w:eastAsia="en-gb" w:bidi="en-gb"/>
        </w:rPr>
        <w:t>Circulation</w:t>
      </w:r>
      <w:r>
        <w:rPr>
          <w:lang w:val="en-gb" w:eastAsia="en-gb" w:bidi="en-gb"/>
        </w:rPr>
        <w:t xml:space="preserve"> 53(4): 589-595.</w:t>
      </w:r>
      <w:r>
        <w:rPr>
          <w:lang w:val="en-gb" w:eastAsia="en-gb" w:bidi="en-gb"/>
        </w:rPr>
      </w:r>
    </w:p>
  </w:footnote>
  <w:footnote w:id="290">
    <w:p>
      <w:pPr>
        <w:pStyle w:val="para35"/>
      </w:pPr>
      <w:r>
        <w:rPr>
          <w:rStyle w:val="char19"/>
        </w:rPr>
      </w:r>
      <w:r>
        <w:rPr>
          <w:rStyle w:val="char19"/>
        </w:rPr>
        <w:footnoteRef/>
      </w:r>
      <w:r>
        <w:t xml:space="preserve"> </w:t>
      </w:r>
      <w:r>
        <w:rPr>
          <w:lang w:val="en-gb" w:eastAsia="en-gb" w:bidi="en-gb"/>
        </w:rPr>
        <w:t>Heaney, R. P. 2015. Making sense of the science of sodium. Nutr Today 50(2): 63-66.</w:t>
      </w:r>
      <w:r/>
    </w:p>
  </w:footnote>
  <w:footnote w:id="291">
    <w:p>
      <w:pPr>
        <w:pStyle w:val="para35"/>
        <w:rPr>
          <w:lang w:val="en-gb" w:eastAsia="en-gb" w:bidi="en-gb"/>
        </w:rPr>
      </w:pPr>
      <w:r>
        <w:rPr>
          <w:rStyle w:val="char19"/>
        </w:rPr>
      </w:r>
      <w:r>
        <w:rPr>
          <w:rStyle w:val="char19"/>
        </w:rPr>
        <w:footnoteRef/>
      </w:r>
      <w:r>
        <w:t xml:space="preserve"> </w:t>
      </w:r>
      <w:r>
        <w:rPr>
          <w:lang w:val="en-gb" w:eastAsia="en-gb" w:bidi="en-gb"/>
        </w:rPr>
        <w:t>Taubes, G. 2007. Good Calories, Bad Calories. New York: Knopf</w:t>
      </w:r>
      <w:r>
        <w:rPr>
          <w:lang w:val="en-gb" w:eastAsia="en-gb" w:bidi="en-gb"/>
        </w:rPr>
      </w:r>
    </w:p>
  </w:footnote>
  <w:footnote w:id="292">
    <w:p>
      <w:pPr>
        <w:pStyle w:val="para35"/>
      </w:pPr>
      <w:r>
        <w:rPr>
          <w:rStyle w:val="char19"/>
        </w:rPr>
      </w:r>
      <w:r>
        <w:rPr>
          <w:rStyle w:val="char19"/>
        </w:rPr>
        <w:footnoteRef/>
      </w:r>
      <w:r>
        <w:t xml:space="preserve"> Weidemann, B. J., et al. 2015. Dietary sodium suppresses digestive efficiency via the renin-angiotensin system. </w:t>
      </w:r>
      <w:r>
        <w:rPr>
          <w:i/>
          <w:iCs/>
        </w:rPr>
        <w:t>Sci Rep</w:t>
      </w:r>
      <w:r>
        <w:t xml:space="preserve"> 5: 11123</w:t>
      </w:r>
    </w:p>
  </w:footnote>
  <w:footnote w:id="293">
    <w:p>
      <w:pPr>
        <w:pStyle w:val="para35"/>
      </w:pPr>
      <w:r>
        <w:rPr>
          <w:rStyle w:val="char19"/>
        </w:rPr>
      </w:r>
      <w:r>
        <w:rPr>
          <w:rStyle w:val="char19"/>
        </w:rPr>
        <w:footnoteRef/>
      </w:r>
      <w:r>
        <w:t xml:space="preserve"> Haddy, F. J., and M. B. Pamnani. 1985. The kidney in the pathogenesis of hypertension: the role of sodium. </w:t>
      </w:r>
      <w:r>
        <w:rPr>
          <w:i/>
          <w:iCs/>
        </w:rPr>
        <w:t>Am J Kidney Dis</w:t>
      </w:r>
      <w:r>
        <w:t xml:space="preserve"> 5(4): A5-A13.</w:t>
      </w:r>
    </w:p>
  </w:footnote>
  <w:footnote w:id="294">
    <w:p>
      <w:pPr>
        <w:pStyle w:val="para35"/>
      </w:pPr>
      <w:r>
        <w:rPr>
          <w:rStyle w:val="char19"/>
        </w:rPr>
      </w:r>
      <w:r>
        <w:rPr>
          <w:rStyle w:val="char19"/>
        </w:rPr>
        <w:footnoteRef/>
      </w:r>
      <w:r>
        <w:t xml:space="preserve"> Folkow, B. 2003. [Salt and blood pressure - centenarian bone of contention]. </w:t>
      </w:r>
      <w:r>
        <w:rPr>
          <w:i/>
          <w:iCs/>
        </w:rPr>
        <w:t>Lakartidningen</w:t>
      </w:r>
      <w:r>
        <w:t xml:space="preserve"> 100(40): 3142-3147. [Article in Swedish].</w:t>
      </w:r>
    </w:p>
  </w:footnote>
  <w:footnote w:id="295">
    <w:p>
      <w:pPr>
        <w:pStyle w:val="para35"/>
      </w:pPr>
      <w:r>
        <w:rPr>
          <w:rStyle w:val="char19"/>
        </w:rPr>
      </w:r>
      <w:r>
        <w:rPr>
          <w:rStyle w:val="char19"/>
        </w:rPr>
        <w:footnoteRef/>
      </w:r>
      <w:r>
        <w:t xml:space="preserve"> Gupta, N., K. K. Jani, and N. Gupta. 2011. Hypertension: salt restriction, sodium homeostasis, and other ions. </w:t>
      </w:r>
      <w:r>
        <w:rPr>
          <w:i/>
          <w:iCs/>
        </w:rPr>
        <w:t>India J Med Sci</w:t>
      </w:r>
      <w:r>
        <w:t xml:space="preserve"> 65(3): 121-132</w:t>
      </w:r>
    </w:p>
  </w:footnote>
  <w:footnote w:id="296">
    <w:p>
      <w:pPr>
        <w:pStyle w:val="para35"/>
      </w:pPr>
      <w:r>
        <w:rPr>
          <w:rStyle w:val="char19"/>
        </w:rPr>
      </w:r>
      <w:r>
        <w:rPr>
          <w:rStyle w:val="char19"/>
        </w:rPr>
        <w:footnoteRef/>
      </w:r>
      <w:r>
        <w:t xml:space="preserve"> O’Donnell, M., et al. 2014. Urinary sodium and potassium excretion, Mortality, and cardiovascular events. </w:t>
        <w:br w:type="textWrapping"/>
      </w:r>
      <w:r>
        <w:rPr>
          <w:i/>
          <w:iCs/>
        </w:rPr>
        <w:t>N Engl J Med</w:t>
      </w:r>
      <w:r>
        <w:t xml:space="preserve"> 371(7): 612-623.</w:t>
      </w:r>
    </w:p>
  </w:footnote>
  <w:footnote w:id="297">
    <w:p>
      <w:pPr>
        <w:pStyle w:val="para35"/>
      </w:pPr>
      <w:r>
        <w:rPr>
          <w:rStyle w:val="char19"/>
        </w:rPr>
      </w:r>
      <w:r>
        <w:rPr>
          <w:rStyle w:val="char19"/>
        </w:rPr>
        <w:footnoteRef/>
      </w:r>
      <w:r>
        <w:t xml:space="preserve"> Graudal, N., et al. 2014.Compared with usual sodium intake, low and excessive sodium diets are assiciated with increasend mortality: a meta-analysis. </w:t>
      </w:r>
      <w:r>
        <w:rPr>
          <w:i/>
          <w:iCs/>
        </w:rPr>
        <w:t>Am J Hypertens</w:t>
      </w:r>
      <w:r>
        <w:t xml:space="preserve"> 27(9): 1129-1137.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Bdr>
        <w:top w:val="nil" w:sz="0" w:space="3" w:color="000000" tmln="20, 20, 20, 0, 60"/>
        <w:left w:val="nil" w:sz="0" w:space="3" w:color="000000" tmln="20, 20, 20, 0, 60"/>
        <w:bottom w:val="single" w:sz="8" w:space="3" w:color="000000" tmln="20, 20, 20, 0, 60"/>
        <w:right w:val="nil" w:sz="0" w:space="3" w:color="000000" tmln="20, 20, 20, 0, 60"/>
        <w:between w:val="nil" w:sz="0" w:space="0" w:color="000000" tmln="20, 20, 20, 0, 0"/>
      </w:pBdr>
      <w:shd w:val="none"/>
    </w:pPr>
    <w:r>
      <w:t>Dokumentation Ernährung und Gesundheit</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Bdr>
        <w:top w:val="nil" w:sz="0" w:space="3" w:color="000000" tmln="20, 20, 20, 0, 60"/>
        <w:left w:val="nil" w:sz="0" w:space="3" w:color="000000" tmln="20, 20, 20, 0, 60"/>
        <w:bottom w:val="single" w:sz="8" w:space="3" w:color="000000" tmln="20, 20, 20, 0, 60"/>
        <w:right w:val="nil" w:sz="0" w:space="3" w:color="000000" tmln="20, 20, 20, 0, 60"/>
        <w:between w:val="nil" w:sz="0" w:space="0" w:color="000000" tmln="20, 20, 20, 0, 0"/>
      </w:pBdr>
      <w:shd w:val="none"/>
    </w:pPr>
    <w:r>
      <w:t>Dokumentation Ernährung und Gesundheit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823222_4"/>
    <w:lvl w:ilvl="0">
      <w:start w:val="0"/>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2">
    <w:multiLevelType w:val="hybridMultilevel"/>
    <w:name w:val="Bullet 61"/>
    <w:lvl w:ilvl="0">
      <w:numFmt w:val="bullet"/>
      <w:suff w:val="tab"/>
      <w:lvlText w:val=""/>
      <w:lvlJc w:val="left"/>
      <w:pPr>
        <w:ind w:left="0" w:hanging="0"/>
      </w:pPr>
      <w:rPr>
        <w:rFonts w:ascii="Wingdings" w:hAnsi="Wingdings" w:eastAsia="Wingdings" w:cs="Wingdings"/>
        <w:color w:val="007f7f"/>
      </w:rPr>
    </w:lvl>
    <w:lvl w:ilvl="1">
      <w:numFmt w:val="bullet"/>
      <w:pStyle w:val="para17"/>
      <w:suff w:val="tab"/>
      <w:lvlText w:val=""/>
      <w:lvlJc w:val="left"/>
      <w:pPr>
        <w:ind w:left="340" w:hanging="0"/>
      </w:pPr>
      <w:rPr>
        <w:rFonts w:ascii="Wingdings" w:hAnsi="Wingdings" w:eastAsia="Wingdings" w:cs="Wingdings"/>
        <w:color w:val="007f7f"/>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w:numFmt w:val="decimal"/>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abstractNum>
  <w:abstractNum w:abstractNumId="3">
    <w:multiLevelType w:val="singleLevel"/>
    <w:name w:val="Bullet 60"/>
    <w:lvl w:ilvl="0">
      <w:numFmt w:val="bullet"/>
      <w:suff w:val="tab"/>
      <w:lvlText w:val=""/>
      <w:lvlJc w:val="left"/>
      <w:pPr>
        <w:ind w:left="0" w:hanging="0"/>
      </w:pPr>
      <w:rPr>
        <w:rFonts w:ascii="Wingdings" w:hAnsi="Wingdings" w:eastAsia="Wingdings" w:cs="Wingdings"/>
        <w:color w:val="007f7f"/>
      </w:rPr>
    </w:lvl>
  </w:abstractNum>
  <w:abstractNum w:abstractNumId="4">
    <w:multiLevelType w:val="singleLevel"/>
    <w:name w:val="Bullet 4"/>
    <w:lvl w:ilvl="0">
      <w:start w:val="1"/>
      <w:numFmt w:val="decimal"/>
      <w:pStyle w:val="para29"/>
      <w:suff w:val="tab"/>
      <w:lvlText w:val="%1."/>
      <w:lvlJc w:val="left"/>
      <w:pPr>
        <w:ind w:left="0" w:hanging="0"/>
      </w:pPr>
    </w:lvl>
  </w:abstractNum>
  <w:abstractNum w:abstractNumId="5">
    <w:multiLevelType w:val="singleLevel"/>
    <w:name w:val="Bullet 5"/>
    <w:lvl w:ilvl="0">
      <w:start w:val="1"/>
      <w:numFmt w:val="decimal"/>
      <w:suff w:val="tab"/>
      <w:lvlText w:val="%1."/>
      <w:lvlJc w:val="left"/>
      <w:pPr>
        <w:ind w:left="0" w:hanging="0"/>
      </w:pPr>
    </w:lvl>
  </w:abstractNum>
  <w:abstractNum w:abstractNumId="6">
    <w:multiLevelType w:val="singleLevel"/>
    <w:name w:val="Bullet 6"/>
    <w:lvl w:ilvl="0">
      <w:numFmt w:val="bullet"/>
      <w:suff w:val="tab"/>
      <w:lvlText w:val=""/>
      <w:lvlJc w:val="left"/>
      <w:pPr>
        <w:ind w:left="0" w:hanging="0"/>
      </w:pPr>
      <w:rPr>
        <w:rFonts w:ascii="Wingdings" w:hAnsi="Wingdings" w:eastAsia="Wingdings" w:cs="Wingdings"/>
      </w:rPr>
    </w:lvl>
  </w:abstractNum>
  <w:abstractNum w:abstractNumId="7">
    <w:multiLevelType w:val="singleLevel"/>
    <w:name w:val="Bullet 7"/>
    <w:lvl w:ilvl="0">
      <w:numFmt w:val="bullet"/>
      <w:suff w:val="tab"/>
      <w:lvlText w:val=""/>
      <w:lvlJc w:val="left"/>
      <w:pPr>
        <w:ind w:left="0" w:hanging="0"/>
      </w:pPr>
      <w:rPr>
        <w:rFonts w:ascii="Wingdings" w:hAnsi="Wingdings" w:eastAsia="Wingdings" w:cs="Wingdings"/>
        <w:color w:val="007f7f"/>
      </w:rPr>
    </w:lvl>
  </w:abstractNum>
  <w:abstractNum w:abstractNumId="8">
    <w:multiLevelType w:val="singleLevel"/>
    <w:name w:val="Bullet 8"/>
    <w:lvl w:ilvl="0">
      <w:start w:val="1"/>
      <w:numFmt w:val="ordinal"/>
      <w:suff w:val="tab"/>
      <w:lvlText w:val="%1"/>
      <w:lvlJc w:val="left"/>
      <w:pPr>
        <w:ind w:left="0" w:hanging="0"/>
      </w:pPr>
    </w:lvl>
  </w:abstractNum>
  <w:abstractNum w:abstractNumId="9">
    <w:multiLevelType w:val="singleLevel"/>
    <w:name w:val="Bullet 9"/>
    <w:lvl w:ilvl="0">
      <w:numFmt w:val="bullet"/>
      <w:suff w:val="tab"/>
      <w:lvlText w:val="+"/>
      <w:lvlJc w:val="left"/>
      <w:pPr>
        <w:ind w:left="0" w:hanging="0"/>
      </w:pPr>
      <w:rPr>
        <w:rFonts w:ascii="Wingdings" w:hAnsi="Wingdings" w:eastAsia="Wingdings" w:cs="Wingdings"/>
        <w:color w:val="007f7f"/>
        <w:kern w:val="1"/>
        <w:sz w:val="40"/>
        <w:szCs w:val="40"/>
        <w:u w:color="auto" w:val="single"/>
      </w:rPr>
    </w:lvl>
  </w:abstractNum>
  <w:abstractNum w:abstractNumId="10">
    <w:multiLevelType w:val="singleLevel"/>
    <w:name w:val="Bullet 10"/>
    <w:lvl w:ilvl="0">
      <w:numFmt w:val="bullet"/>
      <w:suff w:val="tab"/>
      <w:lvlText w:val=""/>
      <w:lvlJc w:val="left"/>
      <w:pPr>
        <w:ind w:left="0" w:hanging="0"/>
      </w:pPr>
      <w:rPr>
        <w:rFonts w:ascii="Wingdings" w:hAnsi="Wingdings" w:eastAsia="Wingdings" w:cs="Wingdings"/>
      </w:rPr>
    </w:lvl>
  </w:abstractNum>
  <w:abstractNum w:abstractNumId="11">
    <w:multiLevelType w:val="singleLevel"/>
    <w:name w:val="Bullet 11"/>
    <w:lvl w:ilvl="0">
      <w:numFmt w:val="bullet"/>
      <w:suff w:val="tab"/>
      <w:lvlText w:val=""/>
      <w:lvlJc w:val="left"/>
      <w:pPr>
        <w:ind w:left="0" w:hanging="0"/>
      </w:pPr>
      <w:rPr>
        <w:rFonts w:ascii="Wingdings" w:hAnsi="Wingdings" w:eastAsia="Wingdings" w:cs="Wingdings"/>
      </w:rPr>
    </w:lvl>
  </w:abstractNum>
  <w:abstractNum w:abstractNumId="12">
    <w:multiLevelType w:val="hybridMultilevel"/>
    <w:name w:val="Nummerierungsliste 1"/>
    <w:lvl w:ilvl="0">
      <w:numFmt w:val="bullet"/>
      <w:suff w:val="tab"/>
      <w:lvlText w:val="•"/>
      <w:lvlJc w:val="left"/>
      <w:pPr>
        <w:ind w:left="360" w:hanging="0"/>
      </w:pPr>
      <w:rPr>
        <w:kern w:val="1"/>
      </w:r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abstractNum w:abstractNumId="13">
    <w:multiLevelType w:val="hybridMultilevel"/>
    <w:name w:val="Nummerierungsliste 2"/>
    <w:lvl w:ilvl="0">
      <w:numFmt w:val="bullet"/>
      <w:suff w:val="tab"/>
      <w:lvlText w:val="•"/>
      <w:lvlJc w:val="left"/>
      <w:pPr>
        <w:ind w:left="360" w:hanging="0"/>
      </w:pPr>
      <w:rPr>
        <w:kern w:val="1"/>
      </w:r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abstractNum w:abstractNumId="14">
    <w:multiLevelType w:val="hybridMultilevel"/>
    <w:name w:val="Nummerierungsliste 3"/>
    <w:lvl w:ilvl="0">
      <w:numFmt w:val="bullet"/>
      <w:suff w:val="tab"/>
      <w:lvlText w:val="•"/>
      <w:lvlJc w:val="left"/>
      <w:pPr>
        <w:ind w:left="360" w:hanging="0"/>
      </w:pPr>
      <w:rPr>
        <w:kern w:val="1"/>
      </w:r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abstractNum w:abstractNumId="15">
    <w:multiLevelType w:val="hybridMultilevel"/>
    <w:name w:val="Nummerierungsliste 4"/>
    <w:lvl w:ilvl="0">
      <w:numFmt w:val="bullet"/>
      <w:suff w:val="tab"/>
      <w:lvlText w:val="•"/>
      <w:lvlJc w:val="left"/>
      <w:pPr>
        <w:ind w:left="360" w:hanging="0"/>
      </w:pPr>
      <w:rPr>
        <w:kern w:val="1"/>
      </w:r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abstractNum w:abstractNumId="16">
    <w:multiLevelType w:val="singleLevel"/>
    <w:name w:val="Bullet 12"/>
    <w:lvl w:ilvl="0">
      <w:numFmt w:val="bullet"/>
      <w:suff w:val="tab"/>
      <w:lvlText w:val=""/>
      <w:lvlJc w:val="left"/>
      <w:pPr>
        <w:ind w:left="0" w:hanging="0"/>
      </w:pPr>
      <w:rPr>
        <w:rFonts w:ascii="Wingdings" w:hAnsi="Wingdings" w:eastAsia="Wingdings" w:cs="Wingdings"/>
        <w:color w:val="007f7f"/>
      </w:rPr>
    </w:lvl>
  </w:abstractNum>
  <w:abstractNum w:abstractNumId="17">
    <w:multiLevelType w:val="singleLevel"/>
    <w:name w:val="Bullet 17"/>
    <w:lvl w:ilvl="0">
      <w:numFmt w:val="bullet"/>
      <w:suff w:val="tab"/>
      <w:lvlText w:val=""/>
      <w:lvlJc w:val="left"/>
      <w:pPr>
        <w:ind w:left="0" w:hanging="0"/>
      </w:pPr>
      <w:rPr>
        <w:rFonts w:ascii="Wingdings" w:hAnsi="Wingdings" w:eastAsia="Wingdings" w:cs="Wingdings"/>
      </w:rPr>
    </w:lvl>
  </w:abstractNum>
  <w:abstractNum w:abstractNumId="18">
    <w:multiLevelType w:val="singleLevel"/>
    <w:name w:val="Bullet 18"/>
    <w:lvl w:ilvl="0">
      <w:start w:val="1"/>
      <w:numFmt w:val="ordinal"/>
      <w:suff w:val="tab"/>
      <w:lvlText w:val="%1"/>
      <w:lvlJc w:val="left"/>
      <w:pPr>
        <w:ind w:left="0" w:hanging="0"/>
      </w:pPr>
    </w:lvl>
  </w:abstractNum>
  <w:abstractNum w:abstractNumId="19">
    <w:multiLevelType w:val="singleLevel"/>
    <w:name w:val="Bullet 19"/>
    <w:lvl w:ilvl="0">
      <w:start w:val="1"/>
      <w:numFmt w:val="ordinal"/>
      <w:suff w:val="tab"/>
      <w:lvlText w:val="%1"/>
      <w:lvlJc w:val="left"/>
      <w:pPr>
        <w:ind w:left="0" w:hanging="0"/>
      </w:pPr>
    </w:lvl>
  </w:abstractNum>
  <w:abstractNum w:abstractNumId="20">
    <w:multiLevelType w:val="singleLevel"/>
    <w:name w:val="Bullet 20"/>
    <w:lvl w:ilvl="0">
      <w:start w:val="1"/>
      <w:numFmt w:val="ordinal"/>
      <w:suff w:val="tab"/>
      <w:lvlText w:val="%1"/>
      <w:lvlJc w:val="left"/>
      <w:pPr>
        <w:ind w:left="0" w:hanging="0"/>
      </w:pPr>
    </w:lvl>
  </w:abstractNum>
  <w:abstractNum w:abstractNumId="21">
    <w:multiLevelType w:val="singleLevel"/>
    <w:name w:val="Bullet 21"/>
    <w:lvl w:ilvl="0">
      <w:start w:val="1"/>
      <w:numFmt w:val="ordinal"/>
      <w:suff w:val="tab"/>
      <w:lvlText w:val="%1"/>
      <w:lvlJc w:val="left"/>
      <w:pPr>
        <w:ind w:left="0" w:hanging="0"/>
      </w:pPr>
    </w:lvl>
  </w:abstractNum>
  <w:abstractNum w:abstractNumId="22">
    <w:multiLevelType w:val="singleLevel"/>
    <w:name w:val="Bullet 22"/>
    <w:lvl w:ilvl="0">
      <w:start w:val="1"/>
      <w:numFmt w:val="ordinal"/>
      <w:suff w:val="tab"/>
      <w:lvlText w:val="%1"/>
      <w:lvlJc w:val="left"/>
      <w:pPr>
        <w:ind w:left="0" w:hanging="0"/>
      </w:pPr>
    </w:lvl>
  </w:abstractNum>
  <w:abstractNum w:abstractNumId="23">
    <w:multiLevelType w:val="singleLevel"/>
    <w:name w:val="Bullet 23"/>
    <w:lvl w:ilvl="0">
      <w:start w:val="1"/>
      <w:numFmt w:val="ordinal"/>
      <w:suff w:val="tab"/>
      <w:lvlText w:val="%1"/>
      <w:lvlJc w:val="left"/>
      <w:pPr>
        <w:ind w:left="0" w:hanging="0"/>
      </w:pPr>
    </w:lvl>
  </w:abstractNum>
  <w:abstractNum w:abstractNumId="24">
    <w:multiLevelType w:val="singleLevel"/>
    <w:name w:val="Bullet 24"/>
    <w:lvl w:ilvl="0">
      <w:start w:val="1"/>
      <w:numFmt w:val="ordinal"/>
      <w:suff w:val="tab"/>
      <w:lvlText w:val="%1"/>
      <w:lvlJc w:val="left"/>
      <w:pPr>
        <w:ind w:left="0" w:hanging="0"/>
      </w:pPr>
    </w:lvl>
  </w:abstractNum>
  <w:abstractNum w:abstractNumId="25">
    <w:multiLevelType w:val="singleLevel"/>
    <w:name w:val="Bullet 25"/>
    <w:lvl w:ilvl="0">
      <w:start w:val="1"/>
      <w:numFmt w:val="ordinal"/>
      <w:suff w:val="tab"/>
      <w:lvlText w:val="%1"/>
      <w:lvlJc w:val="left"/>
      <w:pPr>
        <w:ind w:left="0" w:hanging="0"/>
      </w:pPr>
    </w:lvl>
  </w:abstractNum>
  <w:abstractNum w:abstractNumId="26">
    <w:multiLevelType w:val="singleLevel"/>
    <w:name w:val="Bullet 26"/>
    <w:lvl w:ilvl="0">
      <w:numFmt w:val="bullet"/>
      <w:suff w:val="tab"/>
      <w:lvlText w:val=""/>
      <w:lvlJc w:val="left"/>
      <w:pPr>
        <w:ind w:left="0" w:hanging="0"/>
      </w:pPr>
      <w:rPr>
        <w:rFonts w:ascii="Wingdings" w:hAnsi="Wingdings" w:eastAsia="Wingdings" w:cs="Wingdings"/>
      </w:rPr>
    </w:lvl>
  </w:abstractNum>
  <w:abstractNum w:abstractNumId="27">
    <w:multiLevelType w:val="singleLevel"/>
    <w:name w:val="Bullet 27"/>
    <w:lvl w:ilvl="0">
      <w:start w:val="1"/>
      <w:numFmt w:val="ordinal"/>
      <w:suff w:val="tab"/>
      <w:lvlText w:val="%1"/>
      <w:lvlJc w:val="left"/>
      <w:pPr>
        <w:ind w:left="0" w:hanging="0"/>
      </w:pPr>
    </w:lvl>
  </w:abstractNum>
  <w:abstractNum w:abstractNumId="28">
    <w:multiLevelType w:val="singleLevel"/>
    <w:name w:val="Bullet 28"/>
    <w:lvl w:ilvl="0">
      <w:numFmt w:val="bullet"/>
      <w:suff w:val="tab"/>
      <w:lvlText w:val=""/>
      <w:lvlJc w:val="left"/>
      <w:pPr>
        <w:ind w:left="0" w:hanging="0"/>
      </w:pPr>
      <w:rPr>
        <w:rFonts w:ascii="Wingdings" w:hAnsi="Wingdings" w:eastAsia="Wingdings" w:cs="Wingdings"/>
      </w:rPr>
    </w:lvl>
  </w:abstractNum>
  <w:abstractNum w:abstractNumId="29">
    <w:multiLevelType w:val="singleLevel"/>
    <w:name w:val="Bullet 29"/>
    <w:lvl w:ilvl="0">
      <w:start w:val="1"/>
      <w:numFmt w:val="ordinal"/>
      <w:suff w:val="tab"/>
      <w:lvlText w:val="%1"/>
      <w:lvlJc w:val="left"/>
      <w:pPr>
        <w:ind w:left="0" w:hanging="0"/>
      </w:pPr>
    </w:lvl>
  </w:abstractNum>
  <w:abstractNum w:abstractNumId="30">
    <w:multiLevelType w:val="singleLevel"/>
    <w:name w:val="Bullet 30"/>
    <w:lvl w:ilvl="0">
      <w:start w:val="1"/>
      <w:numFmt w:val="decimal"/>
      <w:suff w:val="tab"/>
      <w:lvlText w:val="%1"/>
      <w:lvlJc w:val="left"/>
      <w:pPr>
        <w:ind w:left="0" w:hanging="0"/>
      </w:pPr>
    </w:lvl>
  </w:abstractNum>
  <w:abstractNum w:abstractNumId="31">
    <w:multiLevelType w:val="singleLevel"/>
    <w:name w:val="Bullet 31"/>
    <w:lvl w:ilvl="0">
      <w:start w:val="0"/>
      <w:numFmt w:val="decimal"/>
      <w:suff w:val="tab"/>
      <w:lvlText w:val="%1"/>
      <w:lvlJc w:val="left"/>
      <w:pPr>
        <w:ind w:left="0" w:hanging="0"/>
      </w:pPr>
    </w:lvl>
  </w:abstractNum>
  <w:abstractNum w:abstractNumId="32">
    <w:multiLevelType w:val="singleLevel"/>
    <w:name w:val="Bullet 32"/>
    <w:lvl w:ilvl="0">
      <w:start w:val="1"/>
      <w:numFmt w:val="ordinal"/>
      <w:suff w:val="tab"/>
      <w:lvlText w:val="%1"/>
      <w:lvlJc w:val="left"/>
      <w:pPr>
        <w:ind w:left="0" w:hanging="0"/>
      </w:pPr>
    </w:lvl>
  </w:abstractNum>
  <w:abstractNum w:abstractNumId="33">
    <w:multiLevelType w:val="singleLevel"/>
    <w:name w:val="Bullet 33"/>
    <w:lvl w:ilvl="0">
      <w:numFmt w:val="bullet"/>
      <w:suff w:val="tab"/>
      <w:lvlText w:val=""/>
      <w:lvlJc w:val="left"/>
      <w:pPr>
        <w:ind w:left="0" w:hanging="0"/>
      </w:pPr>
      <w:rPr>
        <w:rFonts w:ascii="Wingdings" w:hAnsi="Wingdings" w:eastAsia="Wingdings" w:cs="Wingdings"/>
      </w:rPr>
    </w:lvl>
  </w:abstractNum>
  <w:abstractNum w:abstractNumId="34">
    <w:multiLevelType w:val="singleLevel"/>
    <w:name w:val="Bullet 34"/>
    <w:lvl w:ilvl="0">
      <w:start w:val="1"/>
      <w:numFmt w:val="ordinal"/>
      <w:suff w:val="tab"/>
      <w:lvlText w:val="%1"/>
      <w:lvlJc w:val="left"/>
      <w:pPr>
        <w:ind w:left="0" w:hanging="0"/>
      </w:pPr>
    </w:lvl>
  </w:abstractNum>
  <w:abstractNum w:abstractNumId="35">
    <w:multiLevelType w:val="singleLevel"/>
    <w:name w:val="Bullet 35"/>
    <w:lvl w:ilvl="0">
      <w:start w:val="1"/>
      <w:numFmt w:val="ordinal"/>
      <w:suff w:val="tab"/>
      <w:lvlText w:val="%1"/>
      <w:lvlJc w:val="left"/>
      <w:pPr>
        <w:ind w:left="0" w:hanging="0"/>
      </w:pPr>
    </w:lvl>
  </w:abstractNum>
  <w:abstractNum w:abstractNumId="36">
    <w:multiLevelType w:val="singleLevel"/>
    <w:name w:val="Bullet 36"/>
    <w:lvl w:ilvl="0">
      <w:start w:val="1"/>
      <w:numFmt w:val="decimal"/>
      <w:suff w:val="tab"/>
      <w:lvlText w:val="%1"/>
      <w:lvlJc w:val="left"/>
      <w:pPr>
        <w:ind w:left="0" w:hanging="0"/>
      </w:pPr>
    </w:lvl>
  </w:abstractNum>
  <w:abstractNum w:abstractNumId="37">
    <w:multiLevelType w:val="singleLevel"/>
    <w:name w:val="Bullet 37"/>
    <w:lvl w:ilvl="0">
      <w:start w:val="0"/>
      <w:numFmt w:val="decimal"/>
      <w:suff w:val="tab"/>
      <w:lvlText w:val="%1"/>
      <w:lvlJc w:val="left"/>
      <w:pPr>
        <w:ind w:left="0" w:hanging="0"/>
      </w:pPr>
    </w:lvl>
  </w:abstractNum>
  <w:abstractNum w:abstractNumId="38">
    <w:multiLevelType w:val="singleLevel"/>
    <w:name w:val="Bullet 38"/>
    <w:lvl w:ilvl="0">
      <w:numFmt w:val="bullet"/>
      <w:suff w:val="tab"/>
      <w:lvlText w:val=""/>
      <w:lvlJc w:val="left"/>
      <w:pPr>
        <w:ind w:left="0" w:hanging="0"/>
      </w:pPr>
      <w:rPr>
        <w:rFonts w:ascii="Wingdings" w:hAnsi="Wingdings" w:eastAsia="Wingdings" w:cs="Wingdings"/>
      </w:rPr>
    </w:lvl>
  </w:abstractNum>
  <w:abstractNum w:abstractNumId="39">
    <w:multiLevelType w:val="singleLevel"/>
    <w:name w:val="Bullet 39"/>
    <w:lvl w:ilvl="0">
      <w:start w:val="1"/>
      <w:numFmt w:val="ordinal"/>
      <w:suff w:val="tab"/>
      <w:lvlText w:val="%1"/>
      <w:lvlJc w:val="left"/>
      <w:pPr>
        <w:ind w:left="0" w:hanging="0"/>
      </w:pPr>
    </w:lvl>
  </w:abstractNum>
  <w:abstractNum w:abstractNumId="40">
    <w:multiLevelType w:val="singleLevel"/>
    <w:name w:val="Bullet 40"/>
    <w:lvl w:ilvl="0">
      <w:numFmt w:val="bullet"/>
      <w:suff w:val="tab"/>
      <w:lvlText w:val=""/>
      <w:lvlJc w:val="left"/>
      <w:pPr>
        <w:ind w:left="0" w:hanging="0"/>
      </w:pPr>
      <w:rPr>
        <w:rFonts w:ascii="Wingdings" w:hAnsi="Wingdings" w:eastAsia="Wingdings" w:cs="Wingdings"/>
      </w:rPr>
    </w:lvl>
  </w:abstractNum>
  <w:abstractNum w:abstractNumId="41">
    <w:multiLevelType w:val="singleLevel"/>
    <w:name w:val="Bullet 41"/>
    <w:lvl w:ilvl="0">
      <w:start w:val="1"/>
      <w:numFmt w:val="ordinal"/>
      <w:suff w:val="tab"/>
      <w:lvlText w:val="%1"/>
      <w:lvlJc w:val="left"/>
      <w:pPr>
        <w:ind w:left="0" w:hanging="0"/>
      </w:pPr>
    </w:lvl>
  </w:abstractNum>
  <w:abstractNum w:abstractNumId="42">
    <w:multiLevelType w:val="singleLevel"/>
    <w:name w:val="Bullet 42"/>
    <w:lvl w:ilvl="0">
      <w:numFmt w:val="bullet"/>
      <w:suff w:val="tab"/>
      <w:lvlText w:val=""/>
      <w:lvlJc w:val="left"/>
      <w:pPr>
        <w:ind w:left="0" w:hanging="0"/>
      </w:pPr>
      <w:rPr>
        <w:rFonts w:ascii="Wingdings" w:hAnsi="Wingdings" w:eastAsia="Wingdings" w:cs="Wingdings"/>
      </w:rPr>
    </w:lvl>
  </w:abstractNum>
  <w:abstractNum w:abstractNumId="43">
    <w:multiLevelType w:val="singleLevel"/>
    <w:name w:val="Bullet 43"/>
    <w:lvl w:ilvl="0">
      <w:start w:val="1"/>
      <w:numFmt w:val="ordinal"/>
      <w:suff w:val="tab"/>
      <w:lvlText w:val="%1"/>
      <w:lvlJc w:val="left"/>
      <w:pPr>
        <w:ind w:left="0" w:hanging="0"/>
      </w:pPr>
    </w:lvl>
  </w:abstractNum>
  <w:abstractNum w:abstractNumId="44">
    <w:multiLevelType w:val="singleLevel"/>
    <w:name w:val="Bullet 44"/>
    <w:lvl w:ilvl="0">
      <w:numFmt w:val="bullet"/>
      <w:suff w:val="tab"/>
      <w:lvlText w:val=""/>
      <w:lvlJc w:val="left"/>
      <w:pPr>
        <w:ind w:left="0" w:hanging="0"/>
      </w:pPr>
      <w:rPr>
        <w:rFonts w:ascii="Wingdings" w:hAnsi="Wingdings" w:eastAsia="Wingdings" w:cs="Wingdings"/>
      </w:rPr>
    </w:lvl>
  </w:abstractNum>
  <w:abstractNum w:abstractNumId="45">
    <w:multiLevelType w:val="singleLevel"/>
    <w:name w:val="Bullet 45"/>
    <w:lvl w:ilvl="0">
      <w:start w:val="1"/>
      <w:numFmt w:val="decimal"/>
      <w:suff w:val="tab"/>
      <w:lvlText w:val="%1"/>
      <w:lvlJc w:val="left"/>
      <w:pPr>
        <w:ind w:left="0" w:hanging="0"/>
      </w:pPr>
    </w:lvl>
  </w:abstractNum>
  <w:abstractNum w:abstractNumId="46">
    <w:multiLevelType w:val="singleLevel"/>
    <w:name w:val="Bullet 46"/>
    <w:lvl w:ilvl="0">
      <w:start w:val="0"/>
      <w:numFmt w:val="decimal"/>
      <w:suff w:val="tab"/>
      <w:lvlText w:val="%1"/>
      <w:lvlJc w:val="left"/>
      <w:pPr>
        <w:ind w:left="0" w:hanging="0"/>
      </w:pPr>
    </w:lvl>
  </w:abstractNum>
  <w:abstractNum w:abstractNumId="47">
    <w:multiLevelType w:val="singleLevel"/>
    <w:name w:val="Bullet 47"/>
    <w:lvl w:ilvl="0">
      <w:start w:val="1"/>
      <w:numFmt w:val="ordinal"/>
      <w:suff w:val="tab"/>
      <w:lvlText w:val="%1"/>
      <w:lvlJc w:val="left"/>
      <w:pPr>
        <w:ind w:left="0" w:hanging="0"/>
      </w:pPr>
    </w:lvl>
  </w:abstractNum>
  <w:abstractNum w:abstractNumId="48">
    <w:multiLevelType w:val="singleLevel"/>
    <w:name w:val="Bullet 48"/>
    <w:lvl w:ilvl="0">
      <w:start w:val="1"/>
      <w:numFmt w:val="ordinal"/>
      <w:suff w:val="tab"/>
      <w:lvlText w:val="%1"/>
      <w:lvlJc w:val="left"/>
      <w:pPr>
        <w:ind w:left="0" w:hanging="0"/>
      </w:pPr>
    </w:lvl>
  </w:abstractNum>
  <w:abstractNum w:abstractNumId="49">
    <w:multiLevelType w:val="singleLevel"/>
    <w:name w:val="Bullet 49"/>
    <w:lvl w:ilvl="0">
      <w:start w:val="1"/>
      <w:numFmt w:val="decimal"/>
      <w:suff w:val="tab"/>
      <w:lvlText w:val="%1."/>
      <w:lvlJc w:val="left"/>
      <w:pPr>
        <w:ind w:left="0" w:hanging="0"/>
      </w:pPr>
    </w:lvl>
  </w:abstractNum>
  <w:abstractNum w:abstractNumId="50">
    <w:multiLevelType w:val="singleLevel"/>
    <w:name w:val="Bullet 50"/>
    <w:lvl w:ilvl="0">
      <w:numFmt w:val="bullet"/>
      <w:suff w:val="tab"/>
      <w:lvlText w:val=""/>
      <w:lvlJc w:val="left"/>
      <w:pPr>
        <w:ind w:left="0" w:hanging="0"/>
      </w:pPr>
      <w:rPr>
        <w:rFonts w:ascii="Wingdings" w:hAnsi="Wingdings" w:eastAsia="Wingdings" w:cs="Wingdings"/>
      </w:rPr>
    </w:lvl>
  </w:abstractNum>
  <w:abstractNum w:abstractNumId="51">
    <w:multiLevelType w:val="singleLevel"/>
    <w:name w:val="Bullet 51"/>
    <w:lvl w:ilvl="0">
      <w:numFmt w:val="bullet"/>
      <w:suff w:val="tab"/>
      <w:lvlText w:val=""/>
      <w:lvlJc w:val="left"/>
      <w:pPr>
        <w:ind w:left="0" w:hanging="0"/>
      </w:pPr>
      <w:rPr>
        <w:rFonts w:ascii="Wingdings" w:hAnsi="Wingdings" w:eastAsia="Wingdings" w:cs="Wingdings"/>
      </w:rPr>
    </w:lvl>
  </w:abstractNum>
  <w:abstractNum w:abstractNumId="52">
    <w:multiLevelType w:val="singleLevel"/>
    <w:name w:val="Bullet 52"/>
    <w:lvl w:ilvl="0">
      <w:start w:val="1"/>
      <w:numFmt w:val="decimal"/>
      <w:suff w:val="tab"/>
      <w:lvlText w:val="%1."/>
      <w:lvlJc w:val="left"/>
      <w:pPr>
        <w:ind w:left="0" w:hanging="0"/>
      </w:pPr>
    </w:lvl>
  </w:abstractNum>
  <w:abstractNum w:abstractNumId="53">
    <w:multiLevelType w:val="singleLevel"/>
    <w:name w:val="Bullet 53"/>
    <w:lvl w:ilvl="0">
      <w:start w:val="1"/>
      <w:numFmt w:val="ordinal"/>
      <w:suff w:val="tab"/>
      <w:lvlText w:val="%1"/>
      <w:lvlJc w:val="left"/>
      <w:pPr>
        <w:ind w:left="0" w:hanging="0"/>
      </w:pPr>
    </w:lvl>
  </w:abstractNum>
  <w:abstractNum w:abstractNumId="54">
    <w:multiLevelType w:val="singleLevel"/>
    <w:name w:val="Bullet 54"/>
    <w:lvl w:ilvl="0">
      <w:numFmt w:val="bullet"/>
      <w:suff w:val="tab"/>
      <w:lvlText w:val=""/>
      <w:lvlJc w:val="left"/>
      <w:pPr>
        <w:ind w:left="0" w:hanging="0"/>
      </w:pPr>
      <w:rPr>
        <w:rFonts w:ascii="Wingdings" w:hAnsi="Wingdings" w:eastAsia="Wingdings" w:cs="Wingdings"/>
      </w:rPr>
    </w:lvl>
  </w:abstractNum>
  <w:abstractNum w:abstractNumId="55">
    <w:multiLevelType w:val="singleLevel"/>
    <w:name w:val="Bullet 55"/>
    <w:lvl w:ilvl="0">
      <w:start w:val="1"/>
      <w:numFmt w:val="ordinal"/>
      <w:suff w:val="tab"/>
      <w:lvlText w:val="%1"/>
      <w:lvlJc w:val="left"/>
      <w:pPr>
        <w:ind w:left="0" w:hanging="0"/>
      </w:pPr>
    </w:lvl>
  </w:abstractNum>
  <w:abstractNum w:abstractNumId="56">
    <w:multiLevelType w:val="singleLevel"/>
    <w:name w:val="Bullet 56"/>
    <w:lvl w:ilvl="0">
      <w:start w:val="1"/>
      <w:numFmt w:val="ordinal"/>
      <w:suff w:val="tab"/>
      <w:lvlText w:val="%1"/>
      <w:lvlJc w:val="left"/>
      <w:pPr>
        <w:ind w:left="0" w:hanging="0"/>
      </w:pPr>
    </w:lvl>
  </w:abstractNum>
  <w:abstractNum w:abstractNumId="57">
    <w:multiLevelType w:val="singleLevel"/>
    <w:name w:val="Bullet 57"/>
    <w:lvl w:ilvl="0">
      <w:numFmt w:val="bullet"/>
      <w:suff w:val="tab"/>
      <w:lvlText w:val=""/>
      <w:lvlJc w:val="left"/>
      <w:pPr>
        <w:ind w:left="0" w:hanging="0"/>
      </w:pPr>
      <w:rPr>
        <w:rFonts w:ascii="Wingdings" w:hAnsi="Wingdings" w:eastAsia="Wingdings" w:cs="Wingdings"/>
      </w:rPr>
    </w:lvl>
  </w:abstractNum>
  <w:abstractNum w:abstractNumId="58">
    <w:multiLevelType w:val="singleLevel"/>
    <w:name w:val="Bullet 58"/>
    <w:lvl w:ilvl="0">
      <w:start w:val="1"/>
      <w:numFmt w:val="ordinal"/>
      <w:suff w:val="tab"/>
      <w:lvlText w:val="%1"/>
      <w:lvlJc w:val="left"/>
      <w:pPr>
        <w:ind w:left="0" w:hanging="0"/>
      </w:pPr>
    </w:lvl>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color w:val="007f7f"/>
      </w:rPr>
    </w:lvl>
  </w:abstractNum>
  <w:abstractNum w:abstractNumId="60">
    <w:multiLevelType w:val="singleLevel"/>
    <w:name w:val="Bullet 60_1"/>
    <w:lvl w:ilvl="0">
      <w:numFmt w:val="bullet"/>
      <w:suff w:val="tab"/>
      <w:lvlText w:val=""/>
      <w:lvlJc w:val="left"/>
      <w:pPr>
        <w:ind w:left="0" w:hanging="0"/>
      </w:pPr>
      <w:rPr>
        <w:rFonts w:ascii="Wingdings" w:hAnsi="Wingdings" w:eastAsia="Wingdings" w:cs="Wingdings"/>
      </w:rPr>
    </w:lvl>
  </w:abstractNum>
  <w:abstractNum w:abstractNumId="61">
    <w:multiLevelType w:val="singleLevel"/>
    <w:name w:val="Bullet 61_1"/>
    <w:lvl w:ilvl="0">
      <w:start w:val="1"/>
      <w:numFmt w:val="ordinal"/>
      <w:suff w:val="tab"/>
      <w:lvlText w:val="%1"/>
      <w:lvlJc w:val="left"/>
      <w:pPr>
        <w:ind w:left="0" w:hanging="0"/>
      </w:pPr>
    </w:lvl>
  </w:abstractNum>
  <w:abstractNum w:abstractNumId="62">
    <w:multiLevelType w:val="singleLevel"/>
    <w:name w:val="Bullet 62"/>
    <w:lvl w:ilvl="0">
      <w:numFmt w:val="bullet"/>
      <w:suff w:val="tab"/>
      <w:lvlText w:val=""/>
      <w:lvlJc w:val="left"/>
      <w:pPr>
        <w:ind w:left="0" w:hanging="0"/>
      </w:pPr>
      <w:rPr>
        <w:rFonts w:ascii="Wingdings" w:hAnsi="Wingdings" w:eastAsia="Wingdings" w:cs="Wingdings"/>
      </w:rPr>
    </w:lvl>
  </w:abstractNum>
  <w:abstractNum w:abstractNumId="63">
    <w:multiLevelType w:val="singleLevel"/>
    <w:name w:val="Bullet 63"/>
    <w:lvl w:ilvl="0">
      <w:start w:val="1"/>
      <w:numFmt w:val="ordinal"/>
      <w:suff w:val="tab"/>
      <w:lvlText w:val="%1"/>
      <w:lvlJc w:val="left"/>
      <w:pPr>
        <w:ind w:left="0" w:hanging="0"/>
      </w:pPr>
    </w:lvl>
  </w:abstractNum>
  <w:abstractNum w:abstractNumId="64">
    <w:multiLevelType w:val="singleLevel"/>
    <w:name w:val="Bullet 64"/>
    <w:lvl w:ilvl="0">
      <w:numFmt w:val="bullet"/>
      <w:suff w:val="tab"/>
      <w:lvlText w:val=""/>
      <w:lvlJc w:val="left"/>
      <w:pPr>
        <w:ind w:left="0" w:hanging="0"/>
      </w:pPr>
      <w:rPr>
        <w:rFonts w:ascii="Wingdings" w:hAnsi="Wingdings" w:eastAsia="Wingdings" w:cs="Wingdings"/>
      </w:rPr>
    </w:lvl>
  </w:abstractNum>
  <w:abstractNum w:abstractNumId="65">
    <w:multiLevelType w:val="singleLevel"/>
    <w:name w:val="Bullet 65"/>
    <w:lvl w:ilvl="0">
      <w:start w:val="1"/>
      <w:numFmt w:val="ordinal"/>
      <w:suff w:val="tab"/>
      <w:lvlText w:val="%1"/>
      <w:lvlJc w:val="left"/>
      <w:pPr>
        <w:ind w:left="0" w:hanging="0"/>
      </w:pPr>
    </w:lvl>
  </w:abstractNum>
  <w:abstractNum w:abstractNumId="66">
    <w:multiLevelType w:val="singleLevel"/>
    <w:name w:val="Bullet 66"/>
    <w:lvl w:ilvl="0">
      <w:numFmt w:val="bullet"/>
      <w:suff w:val="tab"/>
      <w:lvlText w:val=""/>
      <w:lvlJc w:val="left"/>
      <w:pPr>
        <w:ind w:left="0" w:hanging="0"/>
      </w:pPr>
      <w:rPr>
        <w:rFonts w:ascii="Wingdings" w:hAnsi="Wingdings" w:eastAsia="Wingdings" w:cs="Wingdings"/>
        <w:color w:val="007f7f"/>
      </w:rPr>
    </w:lvl>
  </w:abstractNum>
  <w:abstractNum w:abstractNumId="67">
    <w:multiLevelType w:val="singleLevel"/>
    <w:name w:val="Bullet 67"/>
    <w:lvl w:ilvl="0">
      <w:numFmt w:val="bullet"/>
      <w:suff w:val="tab"/>
      <w:lvlText w:val=""/>
      <w:lvlJc w:val="left"/>
      <w:pPr>
        <w:ind w:left="0" w:hanging="0"/>
      </w:pPr>
      <w:rPr>
        <w:rFonts w:ascii="Wingdings" w:hAnsi="Wingdings" w:eastAsia="Wingdings" w:cs="Wingdings"/>
      </w:rPr>
    </w:lvl>
  </w:abstractNum>
  <w:abstractNum w:abstractNumId="68">
    <w:multiLevelType w:val="singleLevel"/>
    <w:name w:val="Bullet 68"/>
    <w:lvl w:ilvl="0">
      <w:numFmt w:val="bullet"/>
      <w:suff w:val="tab"/>
      <w:lvlText w:val=""/>
      <w:lvlJc w:val="left"/>
      <w:pPr>
        <w:ind w:left="0" w:hanging="0"/>
      </w:pPr>
      <w:rPr>
        <w:rFonts w:ascii="Wingdings" w:hAnsi="Wingdings" w:eastAsia="Wingdings" w:cs="Wingdings"/>
      </w:rPr>
    </w:lvl>
  </w:abstractNum>
  <w:abstractNum w:abstractNumId="69">
    <w:multiLevelType w:val="singleLevel"/>
    <w:name w:val="Bullet 69"/>
    <w:lvl w:ilvl="0">
      <w:numFmt w:val="bullet"/>
      <w:suff w:val="tab"/>
      <w:lvlText w:val="+"/>
      <w:lvlJc w:val="left"/>
      <w:pPr>
        <w:ind w:left="0" w:hanging="0"/>
      </w:pPr>
      <w:rPr>
        <w:rFonts w:ascii="Wingdings" w:hAnsi="Wingdings" w:eastAsia="Wingdings" w:cs="Wingdings"/>
        <w:color w:val="007f7f"/>
        <w:kern w:val="1"/>
        <w:sz w:val="40"/>
        <w:szCs w:val="40"/>
        <w:u w:color="auto" w:val="single"/>
      </w:rPr>
    </w:lvl>
  </w:abstractNum>
  <w:abstractNum w:abstractNumId="70">
    <w:multiLevelType w:val="singleLevel"/>
    <w:name w:val="Bullet 70"/>
    <w:lvl w:ilvl="0">
      <w:numFmt w:val="bullet"/>
      <w:suff w:val="tab"/>
      <w:lvlText w:val="+"/>
      <w:lvlJc w:val="left"/>
      <w:pPr>
        <w:ind w:left="0" w:hanging="0"/>
      </w:pPr>
      <w:rPr>
        <w:rFonts w:ascii="Wingdings" w:hAnsi="Wingdings" w:eastAsia="Wingdings" w:cs="Wingdings"/>
        <w:color w:val="007f7f"/>
        <w:kern w:val="1"/>
        <w:u w:color="auto" w:val="single"/>
      </w:rPr>
    </w:lvl>
  </w:abstractNum>
  <w:abstractNum w:abstractNumId="71">
    <w:multiLevelType w:val="singleLevel"/>
    <w:name w:val="Bullet 71"/>
    <w:lvl w:ilvl="0">
      <w:numFmt w:val="bullet"/>
      <w:suff w:val="tab"/>
      <w:lvlText w:val="+"/>
      <w:lvlJc w:val="left"/>
      <w:pPr>
        <w:ind w:left="0" w:hanging="0"/>
      </w:pPr>
      <w:rPr>
        <w:rFonts w:ascii="Wingdings" w:hAnsi="Wingdings" w:eastAsia="Wingdings" w:cs="Wingdings"/>
        <w:color w:val="007f7f"/>
        <w:kern w:val="1"/>
        <w:sz w:val="40"/>
        <w:szCs w:val="40"/>
        <w:u w:color="auto" w:val="single"/>
      </w:rPr>
    </w:lvl>
  </w:abstractNum>
  <w:abstractNum w:abstractNumId="72">
    <w:multiLevelType w:val="singleLevel"/>
    <w:name w:val="Bullet 72"/>
    <w:lvl w:ilvl="0">
      <w:start w:val="1"/>
      <w:numFmt w:val="decimal"/>
      <w:suff w:val="tab"/>
      <w:lvlText w:val="%1."/>
      <w:lvlJc w:val="left"/>
      <w:pPr>
        <w:ind w:left="0" w:hanging="0"/>
      </w:pPr>
    </w:lvl>
  </w:abstractNum>
  <w:abstractNum w:abstractNumId="73">
    <w:multiLevelType w:val="singleLevel"/>
    <w:name w:val="Bullet 73"/>
    <w:lvl w:ilvl="0">
      <w:numFmt w:val="bullet"/>
      <w:suff w:val="tab"/>
      <w:lvlText w:val=""/>
      <w:lvlJc w:val="left"/>
      <w:pPr>
        <w:ind w:left="0" w:hanging="0"/>
      </w:pPr>
      <w:rPr>
        <w:rFonts w:ascii="Wingdings" w:hAnsi="Wingdings" w:eastAsia="Wingdings" w:cs="Wingdings"/>
      </w:rPr>
    </w:lvl>
  </w:abstractNum>
  <w:abstractNum w:abstractNumId="74">
    <w:multiLevelType w:val="singleLevel"/>
    <w:name w:val="Bullet 74"/>
    <w:lvl w:ilvl="0">
      <w:start w:val="1"/>
      <w:numFmt w:val="decimal"/>
      <w:suff w:val="tab"/>
      <w:lvlText w:val="%1."/>
      <w:lvlJc w:val="left"/>
      <w:pPr>
        <w:ind w:left="0" w:hanging="0"/>
      </w:pPr>
    </w:lvl>
  </w:abstractNum>
  <w:abstractNum w:abstractNumId="75">
    <w:multiLevelType w:val="singleLevel"/>
    <w:name w:val="Bullet 75"/>
    <w:lvl w:ilvl="0">
      <w:numFmt w:val="bullet"/>
      <w:suff w:val="tab"/>
      <w:lvlText w:val=""/>
      <w:lvlJc w:val="left"/>
      <w:pPr>
        <w:ind w:left="0" w:hanging="0"/>
      </w:pPr>
      <w:rPr>
        <w:rFonts w:ascii="Wingdings" w:hAnsi="Wingdings" w:eastAsia="Wingdings" w:cs="Wingdings"/>
        <w:color w:val="007f7f"/>
      </w:rPr>
    </w:lvl>
  </w:abstractNum>
  <w:abstractNum w:abstractNumId="76">
    <w:multiLevelType w:val="singleLevel"/>
    <w:name w:val="Bullet 76"/>
    <w:lvl w:ilvl="0">
      <w:numFmt w:val="bullet"/>
      <w:suff w:val="tab"/>
      <w:lvlText w:val=""/>
      <w:lvlJc w:val="left"/>
      <w:pPr>
        <w:ind w:left="0" w:hanging="0"/>
      </w:pPr>
      <w:rPr>
        <w:rFonts w:ascii="Wingdings" w:hAnsi="Wingdings" w:eastAsia="Wingdings" w:cs="Wingdings"/>
      </w:rPr>
    </w:lvl>
  </w:abstractNum>
  <w:abstractNum w:abstractNumId="77">
    <w:multiLevelType w:val="singleLevel"/>
    <w:name w:val="Bullet 77"/>
    <w:lvl w:ilvl="0">
      <w:start w:val="1"/>
      <w:numFmt w:val="decimal"/>
      <w:suff w:val="tab"/>
      <w:lvlText w:val="%1."/>
      <w:lvlJc w:val="left"/>
      <w:pPr>
        <w:ind w:left="0" w:hanging="0"/>
      </w:pPr>
    </w:lvl>
  </w:abstractNum>
  <w:abstractNum w:abstractNumId="78">
    <w:multiLevelType w:val="singleLevel"/>
    <w:name w:val="Bullet 78"/>
    <w:lvl w:ilvl="0">
      <w:start w:val="1"/>
      <w:numFmt w:val="ordinal"/>
      <w:suff w:val="tab"/>
      <w:lvlText w:val="%1"/>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view w:val="print"/>
  <w:defaultTabStop w:val="708"/>
  <w:evenAndOddHeaders/>
  <w:mirrorMargins/>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17409"/>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363"/>
    <w:tmReviewMarkIns w:val="4"/>
    <w:tmReviewColorIns w:val="-1"/>
    <w:tmReviewMarkDel w:val="6"/>
    <w:tmReviewColorDel w:val="-1"/>
    <w:tmReviewMarkFmt w:val="1"/>
    <w:tmReviewColorFmt w:val="-1"/>
    <w:tmReviewMarkLn w:val="1"/>
    <w:tmReviewColorLn w:val="0"/>
    <w:tmReviewToolTip w:val="1"/>
  </w:tmReviewPr>
  <w:tmLastPos>
    <w:tmLastPosPage w:val="28"/>
    <w:tmLastPosSelect w:val="1"/>
    <w:tmLastPosFrameIdx w:val="0"/>
    <w:tmLastPosCaret>
      <w:tmLastPosPgfIdx w:val="515"/>
      <w:tmLastPosIdx w:val="0"/>
    </w:tmLastPosCaret>
    <w:tmLastPosAnchor>
      <w:tmLastPosPgfIdx w:val="514"/>
      <w:tmLastPosIdx w:val="1"/>
    </w:tmLastPosAnchor>
    <w:tmLastPosTblRect w:left="0" w:top="0" w:right="0" w:bottom="0"/>
  </w:tmLastPos>
  <w:tmAppRevision w:date="1766737683" w:val="1228" w:fileVer="342" w:fileVer64="64" w:fileVerOS="1"/>
  <w:guidesAndGrid showGuides="1" lockGuides="0" snapToGuides="1" snapToPageMargins="0" snapToOtherObjects="1" tolerance="8" gridDistanceHorizontal="283" gridDistanceVertical="283" showGrid="0" snapToGrid="0"/>
  <w:pdfExportOpt pagesRangeIndex="1"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dpi="0" resample="0" name="/Users/gerhard/Documents/SoftMaker/Settings/Temp/Unbenanntes Dokument begonnen am 07.10.25 20.42-1.pdf"/>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00" w:line="264"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22"/>
      <w:szCs w:val="22"/>
    </w:rPr>
  </w:style>
  <w:style w:type="paragraph" w:styleId="para1">
    <w:name w:val="heading 1"/>
    <w:qFormat/>
    <w:basedOn w:val="para0"/>
    <w:next w:val="para0"/>
    <w:pPr>
      <w:numPr>
        <w:ilvl w:val="0"/>
        <w:numId w:val="1"/>
      </w:numPr>
      <w:ind w:left="432" w:hanging="432"/>
      <w:spacing w:before="200"/>
      <w:jc w:val="left"/>
      <w:keepNext/>
      <w:outlineLvl w:val="0"/>
      <w:keepLines/>
    </w:pPr>
    <w:rPr>
      <w:rFonts w:eastAsia="Tahoma" w:cs="Tahoma"/>
      <w:color w:val="007f7f"/>
      <w:sz w:val="28"/>
      <w:szCs w:val="28"/>
      <w:lang w:eastAsia="de-de" w:bidi="de-de"/>
    </w:rPr>
  </w:style>
  <w:style w:type="paragraph" w:styleId="para2">
    <w:name w:val="heading 2"/>
    <w:qFormat/>
    <w:basedOn w:val="para0"/>
    <w:next w:val="para0"/>
    <w:pPr>
      <w:numPr>
        <w:ilvl w:val="1"/>
        <w:numId w:val="1"/>
      </w:numPr>
      <w:ind w:left="576" w:hanging="576"/>
      <w:spacing w:before="240"/>
      <w:jc w:val="left"/>
      <w:keepNext/>
      <w:outlineLvl w:val="1"/>
      <w:keepLines/>
    </w:pPr>
    <w:rPr>
      <w:rFonts w:eastAsia="Tahoma" w:cs="Tahoma"/>
      <w:color w:val="007f7f"/>
      <w:sz w:val="24"/>
      <w:szCs w:val="24"/>
      <w:lang w:eastAsia="de-de" w:bidi="de-de"/>
    </w:rPr>
  </w:style>
  <w:style w:type="paragraph" w:styleId="para3">
    <w:name w:val="heading 3"/>
    <w:qFormat/>
    <w:basedOn w:val="para0"/>
    <w:next w:val="para0"/>
    <w:pPr>
      <w:numPr>
        <w:ilvl w:val="2"/>
        <w:numId w:val="1"/>
      </w:numPr>
      <w:ind w:left="720" w:hanging="720"/>
      <w:spacing w:before="240"/>
      <w:jc w:val="left"/>
      <w:keepNext/>
      <w:outlineLvl w:val="2"/>
      <w:keepLines/>
    </w:pPr>
    <w:rPr>
      <w:rFonts w:eastAsia="Tahoma" w:cs="Tahoma"/>
      <w:color w:val="007f7f"/>
      <w:lang w:eastAsia="de-de" w:bidi="de-de"/>
    </w:rPr>
  </w:style>
  <w:style w:type="paragraph" w:styleId="para4">
    <w:name w:val="heading 4"/>
    <w:qFormat/>
    <w:basedOn w:val="para0"/>
    <w:next w:val="para0"/>
    <w:pPr>
      <w:numPr>
        <w:ilvl w:val="3"/>
        <w:numId w:val="1"/>
      </w:numPr>
      <w:ind w:left="1077" w:hanging="1077"/>
      <w:spacing w:before="240"/>
      <w:keepNext/>
      <w:outlineLvl w:val="3"/>
      <w:keepLines/>
    </w:pPr>
    <w:rPr>
      <w:rFonts w:eastAsia="Tahoma" w:cs="Tahoma"/>
      <w:color w:val="007f7f"/>
      <w:sz w:val="20"/>
      <w:szCs w:val="20"/>
      <w:lang w:eastAsia="de-de" w:bidi="de-de"/>
    </w:rPr>
  </w:style>
  <w:style w:type="paragraph" w:styleId="para5">
    <w:name w:val="heading 5"/>
    <w:qFormat/>
    <w:basedOn w:val="para0"/>
    <w:next w:val="para0"/>
    <w:pPr>
      <w:numPr>
        <w:ilvl w:val="4"/>
        <w:numId w:val="1"/>
      </w:numPr>
      <w:ind w:left="1134" w:hanging="1134"/>
      <w:spacing w:before="200"/>
      <w:keepNext/>
      <w:outlineLvl w:val="4"/>
      <w:keepLines/>
    </w:pPr>
    <w:rPr>
      <w:rFonts w:eastAsia="Tahoma" w:cs="Tahoma"/>
      <w:color w:val="007f7f"/>
      <w:sz w:val="20"/>
      <w:szCs w:val="20"/>
      <w:lang w:eastAsia="de-de" w:bidi="de-de"/>
    </w:rPr>
  </w:style>
  <w:style w:type="paragraph" w:styleId="para6">
    <w:name w:val="heading 6"/>
    <w:qFormat/>
    <w:basedOn w:val="para0"/>
    <w:next w:val="para0"/>
    <w:pPr>
      <w:numPr>
        <w:ilvl w:val="5"/>
        <w:numId w:val="1"/>
      </w:numPr>
      <w:ind w:left="1152" w:hanging="1152"/>
      <w:spacing w:before="200"/>
      <w:keepNext/>
      <w:outlineLvl w:val="5"/>
      <w:keepLines/>
    </w:pPr>
    <w:rPr>
      <w:rFonts w:eastAsia="Tahoma" w:cs="Tahoma"/>
      <w:i/>
      <w:iCs/>
      <w:color w:val="007f7f"/>
      <w:lang w:eastAsia="de-de" w:bidi="de-de"/>
    </w:rPr>
  </w:style>
  <w:style w:type="paragraph" w:styleId="para7">
    <w:name w:val="heading 7"/>
    <w:qFormat/>
    <w:basedOn w:val="para0"/>
    <w:next w:val="para0"/>
    <w:p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2"/>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97"/>
      <w:spacing w:after="80"/>
      <w:tabs defTabSz="708">
        <w:tab w:val="left" w:pos="850" w:leader="none"/>
        <w:tab w:val="right" w:pos="9056" w:leader="dot"/>
      </w:tabs>
    </w:pPr>
    <w:rPr>
      <w:lang w:eastAsia="de-de" w:bidi="de-de"/>
    </w:rPr>
  </w:style>
  <w:style w:type="paragraph" w:styleId="para21">
    <w:name w:val="toc 3"/>
    <w:qFormat/>
    <w:basedOn w:val="para0"/>
    <w:next w:val="para0"/>
    <w:pPr>
      <w:ind w:left="907"/>
      <w:spacing w:after="80"/>
      <w:tabs defTabSz="708">
        <w:tab w:val="left" w:pos="1587" w:leader="none"/>
        <w:tab w:val="right" w:pos="9056" w:leader="dot"/>
      </w:tabs>
    </w:pPr>
    <w:rPr>
      <w:lang w:eastAsia="de-de" w:bidi="de-de"/>
    </w:rPr>
  </w:style>
  <w:style w:type="paragraph" w:styleId="para22">
    <w:name w:val="toc 4"/>
    <w:qFormat/>
    <w:basedOn w:val="para0"/>
    <w:next w:val="para0"/>
    <w:pPr>
      <w:ind w:left="1644"/>
      <w:spacing w:after="80"/>
      <w:tabs defTabSz="708">
        <w:tab w:val="left" w:pos="2438" w:leader="none"/>
        <w:tab w:val="right" w:pos="9056" w:leader="dot"/>
      </w:tabs>
    </w:pPr>
    <w:rPr>
      <w:lang w:eastAsia="de-de" w:bidi="de-de"/>
    </w:rPr>
  </w:style>
  <w:style w:type="paragraph" w:styleId="para23">
    <w:name w:val="toc 5"/>
    <w:qFormat/>
    <w:basedOn w:val="para0"/>
    <w:next w:val="para0"/>
    <w:pPr>
      <w:ind w:left="2211"/>
      <w:spacing w:after="80"/>
      <w:tabs defTabSz="708">
        <w:tab w:val="left" w:pos="3288" w:leader="none"/>
        <w:tab w:val="right" w:pos="9056" w:leader="dot"/>
      </w:tabs>
    </w:pPr>
    <w:rPr>
      <w:lang w:eastAsia="de-de" w:bidi="de-de"/>
    </w:rPr>
  </w:style>
  <w:style w:type="paragraph" w:styleId="para24">
    <w:name w:val="toc 6"/>
    <w:qFormat/>
    <w:basedOn w:val="para0"/>
    <w:next w:val="para0"/>
    <w:pPr>
      <w:ind w:left="3345"/>
      <w:tabs defTabSz="708">
        <w:tab w:val="left" w:pos="4479" w:leader="none"/>
        <w:tab w:val="right" w:pos="9066" w:leader="dot"/>
      </w:tabs>
    </w:pPr>
    <w:rPr>
      <w:lang w:eastAsia="de-de" w:bidi="de-de"/>
    </w:r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1"/>
        <w:numId w:val="2"/>
      </w:numPr>
      <w:ind w:left="397" w:hanging="197"/>
      <w:spacing/>
      <w:contextualSpacing/>
      <w:jc w:val="left"/>
    </w:pPr>
    <w:rPr>
      <w:rFonts w:eastAsia="Times New Roman" w:cs="Tahoma"/>
      <w:color w:val="000000"/>
    </w:rPr>
  </w:style>
  <w:style w:type="paragraph" w:styleId="para29" w:customStyle="1">
    <w:name w:val="Nummerierung"/>
    <w:qFormat/>
    <w:basedOn w:val="para0"/>
    <w:pPr>
      <w:numPr>
        <w:ilvl w:val="0"/>
        <w:numId w:val="4"/>
      </w:numPr>
      <w:ind w:left="360" w:hanging="360"/>
      <w:spacing/>
      <w:jc w:val="left"/>
    </w:pPr>
  </w:style>
  <w:style w:type="paragraph" w:styleId="para30" w:customStyle="1">
    <w:name w:val="Nummerierung ohne 5 pt"/>
    <w:qFormat/>
    <w:basedOn w:val="para29"/>
    <w:pPr>
      <w:numPr>
        <w:ilvl w:val="0"/>
        <w:numId w:val="0"/>
      </w:numPr>
      <w:ind w:left="340" w:hanging="283"/>
      <w:contextualSpacing/>
    </w:pPr>
  </w:style>
  <w:style w:type="paragraph" w:styleId="para31">
    <w:name w:val="Endnote Text"/>
    <w:qFormat/>
    <w:basedOn w:val="para0"/>
    <w:pPr>
      <w:spacing w:after="0" w:line="240" w:lineRule="auto"/>
    </w:pPr>
  </w:style>
  <w:style w:type="paragraph" w:styleId="para32" w:customStyle="1">
    <w:name w:val="Footer"/>
    <w:qFormat/>
    <w:basedOn w:val="para0"/>
    <w:pPr>
      <w:spacing w:after="0" w:line="240" w:lineRule="auto"/>
      <w:tabs defTabSz="708">
        <w:tab w:val="center" w:pos="4536" w:leader="none"/>
        <w:tab w:val="right" w:pos="9072" w:leader="none"/>
      </w:tabs>
    </w:pPr>
  </w:style>
  <w:style w:type="paragraph" w:styleId="para33">
    <w:name w:val="Index Heading"/>
    <w:qFormat/>
    <w:basedOn w:val="para0"/>
    <w:next w:val="para0"/>
    <w:pPr>
      <w:spacing w:before="80"/>
      <w:keepNext/>
      <w:keepLines/>
    </w:pPr>
    <w:rPr>
      <w:rFonts w:ascii="Arial" w:hAnsi="Arial" w:eastAsia="SimSun" w:cs="Arial"/>
      <w:b/>
      <w:bCs/>
      <w:sz w:val="28"/>
      <w:szCs w:val="28"/>
    </w:rPr>
  </w:style>
  <w:style w:type="paragraph" w:styleId="para34">
    <w:name w:val="index 1"/>
    <w:qFormat/>
    <w:basedOn w:val="para0"/>
    <w:pPr>
      <w:ind w:left="180" w:hanging="180"/>
      <w:spacing w:after="0" w:line="240" w:lineRule="auto"/>
      <w:keepLines/>
      <w:tabs defTabSz="708">
        <w:tab w:val="right" w:pos="9066" w:leader="dot"/>
      </w:tabs>
    </w:pPr>
  </w:style>
  <w:style w:type="paragraph" w:styleId="para35">
    <w:name w:val="Footnote Text"/>
    <w:qFormat/>
    <w:basedOn w:val="para0"/>
    <w:pPr>
      <w:spacing w:after="0" w:line="240" w:lineRule="auto"/>
    </w:pPr>
    <w:rPr>
      <w:sz w:val="18"/>
      <w:szCs w:val="18"/>
    </w:rPr>
  </w:style>
  <w:style w:type="paragraph" w:styleId="para36" w:customStyle="1">
    <w:name w:val="tm6"/>
    <w:qFormat/>
    <w:basedOn w:val="para0"/>
    <w:next w:val="para0"/>
    <w:pPr>
      <w:spacing/>
      <w:jc w:val="righ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Basic Roman" w:hAnsi="Basic Roman" w:eastAsia="Basic Roman"/>
      <w:kern w:val="1"/>
      <w:sz w:val="20"/>
      <w:szCs w:val="20"/>
    </w:r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40404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character" w:styleId="char19">
    <w:name w:val="Footnote Reference"/>
    <w:rPr>
      <w:vertAlign w:val="superscript"/>
    </w:rPr>
  </w:style>
  <w:style w:type="character" w:styleId="char20">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00" w:line="264"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22"/>
      <w:szCs w:val="22"/>
    </w:rPr>
  </w:style>
  <w:style w:type="paragraph" w:styleId="para1">
    <w:name w:val="heading 1"/>
    <w:qFormat/>
    <w:basedOn w:val="para0"/>
    <w:next w:val="para0"/>
    <w:pPr>
      <w:numPr>
        <w:ilvl w:val="0"/>
        <w:numId w:val="1"/>
      </w:numPr>
      <w:ind w:left="432" w:hanging="432"/>
      <w:spacing w:before="200"/>
      <w:jc w:val="left"/>
      <w:keepNext/>
      <w:outlineLvl w:val="0"/>
      <w:keepLines/>
    </w:pPr>
    <w:rPr>
      <w:rFonts w:eastAsia="Tahoma" w:cs="Tahoma"/>
      <w:color w:val="007f7f"/>
      <w:sz w:val="28"/>
      <w:szCs w:val="28"/>
      <w:lang w:eastAsia="de-de" w:bidi="de-de"/>
    </w:rPr>
  </w:style>
  <w:style w:type="paragraph" w:styleId="para2">
    <w:name w:val="heading 2"/>
    <w:qFormat/>
    <w:basedOn w:val="para0"/>
    <w:next w:val="para0"/>
    <w:pPr>
      <w:numPr>
        <w:ilvl w:val="1"/>
        <w:numId w:val="1"/>
      </w:numPr>
      <w:ind w:left="576" w:hanging="576"/>
      <w:spacing w:before="240"/>
      <w:jc w:val="left"/>
      <w:keepNext/>
      <w:outlineLvl w:val="1"/>
      <w:keepLines/>
    </w:pPr>
    <w:rPr>
      <w:rFonts w:eastAsia="Tahoma" w:cs="Tahoma"/>
      <w:color w:val="007f7f"/>
      <w:sz w:val="24"/>
      <w:szCs w:val="24"/>
      <w:lang w:eastAsia="de-de" w:bidi="de-de"/>
    </w:rPr>
  </w:style>
  <w:style w:type="paragraph" w:styleId="para3">
    <w:name w:val="heading 3"/>
    <w:qFormat/>
    <w:basedOn w:val="para0"/>
    <w:next w:val="para0"/>
    <w:pPr>
      <w:numPr>
        <w:ilvl w:val="2"/>
        <w:numId w:val="1"/>
      </w:numPr>
      <w:ind w:left="720" w:hanging="720"/>
      <w:spacing w:before="240"/>
      <w:jc w:val="left"/>
      <w:keepNext/>
      <w:outlineLvl w:val="2"/>
      <w:keepLines/>
    </w:pPr>
    <w:rPr>
      <w:rFonts w:eastAsia="Tahoma" w:cs="Tahoma"/>
      <w:color w:val="007f7f"/>
      <w:lang w:eastAsia="de-de" w:bidi="de-de"/>
    </w:rPr>
  </w:style>
  <w:style w:type="paragraph" w:styleId="para4">
    <w:name w:val="heading 4"/>
    <w:qFormat/>
    <w:basedOn w:val="para0"/>
    <w:next w:val="para0"/>
    <w:pPr>
      <w:numPr>
        <w:ilvl w:val="3"/>
        <w:numId w:val="1"/>
      </w:numPr>
      <w:ind w:left="1077" w:hanging="1077"/>
      <w:spacing w:before="240"/>
      <w:keepNext/>
      <w:outlineLvl w:val="3"/>
      <w:keepLines/>
    </w:pPr>
    <w:rPr>
      <w:rFonts w:eastAsia="Tahoma" w:cs="Tahoma"/>
      <w:color w:val="007f7f"/>
      <w:sz w:val="20"/>
      <w:szCs w:val="20"/>
      <w:lang w:eastAsia="de-de" w:bidi="de-de"/>
    </w:rPr>
  </w:style>
  <w:style w:type="paragraph" w:styleId="para5">
    <w:name w:val="heading 5"/>
    <w:qFormat/>
    <w:basedOn w:val="para0"/>
    <w:next w:val="para0"/>
    <w:pPr>
      <w:numPr>
        <w:ilvl w:val="4"/>
        <w:numId w:val="1"/>
      </w:numPr>
      <w:ind w:left="1134" w:hanging="1134"/>
      <w:spacing w:before="200"/>
      <w:keepNext/>
      <w:outlineLvl w:val="4"/>
      <w:keepLines/>
    </w:pPr>
    <w:rPr>
      <w:rFonts w:eastAsia="Tahoma" w:cs="Tahoma"/>
      <w:color w:val="007f7f"/>
      <w:sz w:val="20"/>
      <w:szCs w:val="20"/>
      <w:lang w:eastAsia="de-de" w:bidi="de-de"/>
    </w:rPr>
  </w:style>
  <w:style w:type="paragraph" w:styleId="para6">
    <w:name w:val="heading 6"/>
    <w:qFormat/>
    <w:basedOn w:val="para0"/>
    <w:next w:val="para0"/>
    <w:pPr>
      <w:numPr>
        <w:ilvl w:val="5"/>
        <w:numId w:val="1"/>
      </w:numPr>
      <w:ind w:left="1152" w:hanging="1152"/>
      <w:spacing w:before="200"/>
      <w:keepNext/>
      <w:outlineLvl w:val="5"/>
      <w:keepLines/>
    </w:pPr>
    <w:rPr>
      <w:rFonts w:eastAsia="Tahoma" w:cs="Tahoma"/>
      <w:i/>
      <w:iCs/>
      <w:color w:val="007f7f"/>
      <w:lang w:eastAsia="de-de" w:bidi="de-de"/>
    </w:rPr>
  </w:style>
  <w:style w:type="paragraph" w:styleId="para7">
    <w:name w:val="heading 7"/>
    <w:qFormat/>
    <w:basedOn w:val="para0"/>
    <w:next w:val="para0"/>
    <w:p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2"/>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97"/>
      <w:spacing w:after="80"/>
      <w:tabs defTabSz="708">
        <w:tab w:val="left" w:pos="850" w:leader="none"/>
        <w:tab w:val="right" w:pos="9056" w:leader="dot"/>
      </w:tabs>
    </w:pPr>
    <w:rPr>
      <w:lang w:eastAsia="de-de" w:bidi="de-de"/>
    </w:rPr>
  </w:style>
  <w:style w:type="paragraph" w:styleId="para21">
    <w:name w:val="toc 3"/>
    <w:qFormat/>
    <w:basedOn w:val="para0"/>
    <w:next w:val="para0"/>
    <w:pPr>
      <w:ind w:left="907"/>
      <w:spacing w:after="80"/>
      <w:tabs defTabSz="708">
        <w:tab w:val="left" w:pos="1587" w:leader="none"/>
        <w:tab w:val="right" w:pos="9056" w:leader="dot"/>
      </w:tabs>
    </w:pPr>
    <w:rPr>
      <w:lang w:eastAsia="de-de" w:bidi="de-de"/>
    </w:rPr>
  </w:style>
  <w:style w:type="paragraph" w:styleId="para22">
    <w:name w:val="toc 4"/>
    <w:qFormat/>
    <w:basedOn w:val="para0"/>
    <w:next w:val="para0"/>
    <w:pPr>
      <w:ind w:left="1644"/>
      <w:spacing w:after="80"/>
      <w:tabs defTabSz="708">
        <w:tab w:val="left" w:pos="2438" w:leader="none"/>
        <w:tab w:val="right" w:pos="9056" w:leader="dot"/>
      </w:tabs>
    </w:pPr>
    <w:rPr>
      <w:lang w:eastAsia="de-de" w:bidi="de-de"/>
    </w:rPr>
  </w:style>
  <w:style w:type="paragraph" w:styleId="para23">
    <w:name w:val="toc 5"/>
    <w:qFormat/>
    <w:basedOn w:val="para0"/>
    <w:next w:val="para0"/>
    <w:pPr>
      <w:ind w:left="2211"/>
      <w:spacing w:after="80"/>
      <w:tabs defTabSz="708">
        <w:tab w:val="left" w:pos="3288" w:leader="none"/>
        <w:tab w:val="right" w:pos="9056" w:leader="dot"/>
      </w:tabs>
    </w:pPr>
    <w:rPr>
      <w:lang w:eastAsia="de-de" w:bidi="de-de"/>
    </w:rPr>
  </w:style>
  <w:style w:type="paragraph" w:styleId="para24">
    <w:name w:val="toc 6"/>
    <w:qFormat/>
    <w:basedOn w:val="para0"/>
    <w:next w:val="para0"/>
    <w:pPr>
      <w:ind w:left="3345"/>
      <w:tabs defTabSz="708">
        <w:tab w:val="left" w:pos="4479" w:leader="none"/>
        <w:tab w:val="right" w:pos="9066" w:leader="dot"/>
      </w:tabs>
    </w:pPr>
    <w:rPr>
      <w:lang w:eastAsia="de-de" w:bidi="de-de"/>
    </w:r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1"/>
        <w:numId w:val="2"/>
      </w:numPr>
      <w:ind w:left="397" w:hanging="197"/>
      <w:spacing/>
      <w:contextualSpacing/>
      <w:jc w:val="left"/>
    </w:pPr>
    <w:rPr>
      <w:rFonts w:eastAsia="Times New Roman" w:cs="Tahoma"/>
      <w:color w:val="000000"/>
    </w:rPr>
  </w:style>
  <w:style w:type="paragraph" w:styleId="para29" w:customStyle="1">
    <w:name w:val="Nummerierung"/>
    <w:qFormat/>
    <w:basedOn w:val="para0"/>
    <w:pPr>
      <w:numPr>
        <w:ilvl w:val="0"/>
        <w:numId w:val="4"/>
      </w:numPr>
      <w:ind w:left="360" w:hanging="360"/>
      <w:spacing/>
      <w:jc w:val="left"/>
    </w:pPr>
  </w:style>
  <w:style w:type="paragraph" w:styleId="para30" w:customStyle="1">
    <w:name w:val="Nummerierung ohne 5 pt"/>
    <w:qFormat/>
    <w:basedOn w:val="para29"/>
    <w:pPr>
      <w:numPr>
        <w:ilvl w:val="0"/>
        <w:numId w:val="0"/>
      </w:numPr>
      <w:ind w:left="340" w:hanging="283"/>
      <w:contextualSpacing/>
    </w:pPr>
  </w:style>
  <w:style w:type="paragraph" w:styleId="para31">
    <w:name w:val="Endnote Text"/>
    <w:qFormat/>
    <w:basedOn w:val="para0"/>
    <w:pPr>
      <w:spacing w:after="0" w:line="240" w:lineRule="auto"/>
    </w:pPr>
  </w:style>
  <w:style w:type="paragraph" w:styleId="para32" w:customStyle="1">
    <w:name w:val="Footer"/>
    <w:qFormat/>
    <w:basedOn w:val="para0"/>
    <w:pPr>
      <w:spacing w:after="0" w:line="240" w:lineRule="auto"/>
      <w:tabs defTabSz="708">
        <w:tab w:val="center" w:pos="4536" w:leader="none"/>
        <w:tab w:val="right" w:pos="9072" w:leader="none"/>
      </w:tabs>
    </w:pPr>
  </w:style>
  <w:style w:type="paragraph" w:styleId="para33">
    <w:name w:val="Index Heading"/>
    <w:qFormat/>
    <w:basedOn w:val="para0"/>
    <w:next w:val="para0"/>
    <w:pPr>
      <w:spacing w:before="80"/>
      <w:keepNext/>
      <w:keepLines/>
    </w:pPr>
    <w:rPr>
      <w:rFonts w:ascii="Arial" w:hAnsi="Arial" w:eastAsia="SimSun" w:cs="Arial"/>
      <w:b/>
      <w:bCs/>
      <w:sz w:val="28"/>
      <w:szCs w:val="28"/>
    </w:rPr>
  </w:style>
  <w:style w:type="paragraph" w:styleId="para34">
    <w:name w:val="index 1"/>
    <w:qFormat/>
    <w:basedOn w:val="para0"/>
    <w:pPr>
      <w:ind w:left="180" w:hanging="180"/>
      <w:spacing w:after="0" w:line="240" w:lineRule="auto"/>
      <w:keepLines/>
      <w:tabs defTabSz="708">
        <w:tab w:val="right" w:pos="9066" w:leader="dot"/>
      </w:tabs>
    </w:pPr>
  </w:style>
  <w:style w:type="paragraph" w:styleId="para35">
    <w:name w:val="Footnote Text"/>
    <w:qFormat/>
    <w:basedOn w:val="para0"/>
    <w:pPr>
      <w:spacing w:after="0" w:line="240" w:lineRule="auto"/>
    </w:pPr>
    <w:rPr>
      <w:sz w:val="18"/>
      <w:szCs w:val="18"/>
    </w:rPr>
  </w:style>
  <w:style w:type="paragraph" w:styleId="para36" w:customStyle="1">
    <w:name w:val="tm6"/>
    <w:qFormat/>
    <w:basedOn w:val="para0"/>
    <w:next w:val="para0"/>
    <w:pPr>
      <w:spacing/>
      <w:jc w:val="righ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Basic Roman" w:hAnsi="Basic Roman" w:eastAsia="Basic Roman"/>
      <w:kern w:val="1"/>
      <w:sz w:val="20"/>
      <w:szCs w:val="20"/>
    </w:r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40404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character" w:styleId="char19">
    <w:name w:val="Footnote Reference"/>
    <w:rPr>
      <w:vertAlign w:val="superscript"/>
    </w:rPr>
  </w:style>
  <w:style w:type="character" w:styleId="char20">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hyperlink" Target="https://www.orthomol.com/de-de/ernaehrung/naehrstoffe/kohlenhydrate-lebensmittel#tabelle-lebensmittel-mit-kohlenhydraten" TargetMode="External"/><Relationship Id="rId24" Type="http://schemas.openxmlformats.org/officeDocument/2006/relationships/header" Target="header7.xml"/><Relationship Id="rId25" Type="http://schemas.openxmlformats.org/officeDocument/2006/relationships/footer" Target="footer7.xml"/><Relationship Id="rId26" Type="http://schemas.openxmlformats.org/officeDocument/2006/relationships/header" Target="header8.xml"/><Relationship Id="rId27" Type="http://schemas.openxmlformats.org/officeDocument/2006/relationships/footer" Target="footer8.xml"/><Relationship Id="rId28" Type="http://schemas.openxmlformats.org/officeDocument/2006/relationships/hyperlink" Target="https://www.eucell.de/ernaehrung/lebensmittellisten/zusammensetzung-der-wichtigsten-lebensmittel-kohlenhydrate-proteine-fette-ballaststoffe-kalorien/fette-und-oele/fettreiche-lebensmittel" TargetMode="External"/><Relationship Id="rId29" Type="http://schemas.openxmlformats.org/officeDocument/2006/relationships/hyperlink" Target="https://www.nu3.de/blogs/nutrition/eiweisshaltige-lebensmittel" TargetMode="External"/><Relationship Id="rId30" Type="http://schemas.openxmlformats.org/officeDocument/2006/relationships/image" Target="media/image4.jpeg"/><Relationship Id="rId31" Type="http://schemas.openxmlformats.org/officeDocument/2006/relationships/hyperlink" Target="https://www.lebensmittelverband.de/de/lebensmittel/inhaltsstoffe/kohlenhydrate-und-zucker" TargetMode="External"/><Relationship Id="rId32" Type="http://schemas.openxmlformats.org/officeDocument/2006/relationships/image" Target="media/image5.png"/><Relationship Id="rId33" Type="http://schemas.openxmlformats.org/officeDocument/2006/relationships/image" Target="media/image6.png"/><Relationship Id="rId34" Type="http://schemas.openxmlformats.org/officeDocument/2006/relationships/image" Target="media/image7.png"/><Relationship Id="rId35" Type="http://schemas.openxmlformats.org/officeDocument/2006/relationships/image" Target="media/image8.png"/><Relationship Id="rId36" Type="http://schemas.openxmlformats.org/officeDocument/2006/relationships/hyperlink" Target="https://commons.wikimedia.org/w/index.php?curid=13371861" TargetMode="External"/><Relationship Id="rId37" Type="http://schemas.openxmlformats.org/officeDocument/2006/relationships/image" Target="media/image9.jpeg"/><Relationship Id="rId38" Type="http://schemas.openxmlformats.org/officeDocument/2006/relationships/image" Target="media/image10.jpeg"/><Relationship Id="rId39" Type="http://schemas.openxmlformats.org/officeDocument/2006/relationships/image" Target="media/image11.jpeg"/><Relationship Id="rId40" Type="http://schemas.openxmlformats.org/officeDocument/2006/relationships/image" Target="media/image12.jpeg"/><Relationship Id="rId41" Type="http://schemas.openxmlformats.org/officeDocument/2006/relationships/hyperlink" Target="https://www.ages.at/mensch/ernaehrung-lebensmittel/rueckstaende-kontaminanten-von-a-bis-z/lektine" TargetMode="External"/><Relationship Id="rId42" Type="http://schemas.openxmlformats.org/officeDocument/2006/relationships/hyperlink" Target="https://www.kochenohne.de/lektine-lebensmittel/" TargetMode="External"/><Relationship Id="rId43" Type="http://schemas.openxmlformats.org/officeDocument/2006/relationships/hyperlink" Target="http://www.zentrum-der-gesundheit.de/ernaehrung/lebensmittel/inhaltsstoffe/phytinsaeure" TargetMode="External"/><Relationship Id="rId44" Type="http://schemas.openxmlformats.org/officeDocument/2006/relationships/hyperlink" Target="https://www.infomedizin.de/fileadmin/user_upload/PDF/info-medizin-glutengehalt-getreide-bier.pdf" TargetMode="External"/><Relationship Id="rId45" Type="http://schemas.openxmlformats.org/officeDocument/2006/relationships/image" Target="media/image13.jpeg"/><Relationship Id="rId46" Type="http://schemas.openxmlformats.org/officeDocument/2006/relationships/image" Target="media/image14.jpeg"/><Relationship Id="rId47" Type="http://schemas.openxmlformats.org/officeDocument/2006/relationships/image" Target="media/image15.jpeg"/><Relationship Id="rId48" Type="http://schemas.openxmlformats.org/officeDocument/2006/relationships/hyperlink" Target="https://www.regenwald.org/themen/palmoel" TargetMode="External"/><Relationship Id="rId49" Type="http://schemas.openxmlformats.org/officeDocument/2006/relationships/hyperlink" Target="https://www.4yourfitness.com/blog/transfette-erkennen-und-vermeiden" TargetMode="External"/><Relationship Id="rId50" Type="http://schemas.openxmlformats.org/officeDocument/2006/relationships/hyperlink" Target="https://www.deli-reform.de/magazin/gehaertete-fette-1#c27046" TargetMode="External"/><Relationship Id="rId51" Type="http://schemas.openxmlformats.org/officeDocument/2006/relationships/image" Target="media/image16.jpeg"/><Relationship Id="rId52" Type="http://schemas.openxmlformats.org/officeDocument/2006/relationships/image" Target="media/image17.jpeg"/><Relationship Id="rId53" Type="http://schemas.openxmlformats.org/officeDocument/2006/relationships/hyperlink" Target="https://www.eucell.de/ernaehrung/lebensmittellisten/makro-und-mikronaehrstoffgehalt/fettsaeuren/mehrfach-ungesaettigte-fettsaeuren-pufa/omega-6-fettsaeuren/arachidonsaeure" TargetMode="External"/><Relationship Id="rId54" Type="http://schemas.openxmlformats.org/officeDocument/2006/relationships/image" Target="media/image18.jpeg"/><Relationship Id="rId55" Type="http://schemas.openxmlformats.org/officeDocument/2006/relationships/hyperlink" Target="https://www.vitalarzt-marquardt.de/omega-3/omega-tabelle/" TargetMode="External"/><Relationship Id="rId56" Type="http://schemas.openxmlformats.org/officeDocument/2006/relationships/image" Target="media/image19.jpeg"/><Relationship Id="rId57" Type="http://schemas.openxmlformats.org/officeDocument/2006/relationships/image" Target="media/image20.jpeg"/><Relationship Id="rId58" Type="http://schemas.openxmlformats.org/officeDocument/2006/relationships/image" Target="media/image21.jpeg"/><Relationship Id="rId59" Type="http://schemas.openxmlformats.org/officeDocument/2006/relationships/image" Target="media/image22.jpeg"/><Relationship Id="rId60" Type="http://schemas.openxmlformats.org/officeDocument/2006/relationships/image" Target="media/image23.jpeg"/><Relationship Id="rId61" Type="http://schemas.openxmlformats.org/officeDocument/2006/relationships/image" Target="media/image24.jpeg"/><Relationship Id="rId62" Type="http://schemas.openxmlformats.org/officeDocument/2006/relationships/image" Target="media/image25.png"/><Relationship Id="rId63" Type="http://schemas.openxmlformats.org/officeDocument/2006/relationships/hyperlink" Target="https://www.miomente.de/entdeckermagazin/scoville-die-schaerfeskala/" TargetMode="External"/><Relationship Id="rId64" Type="http://schemas.openxmlformats.org/officeDocument/2006/relationships/hyperlink" Target="https://www.paracelsus.de/magazin/ausgabe/201504/kurkuma-schwarzer-pfeffer" TargetMode="External"/><Relationship Id="rId65" Type="http://schemas.openxmlformats.org/officeDocument/2006/relationships/hyperlink" Target="https://www.avogel.ch/de/pflanzenlexikon/merrettich.php#foerdert-meerrettich-die-gesundheit" TargetMode="External"/><Relationship Id="rId66" Type="http://schemas.openxmlformats.org/officeDocument/2006/relationships/image" Target="media/image26.jpeg"/><Relationship Id="rId67" Type="http://schemas.openxmlformats.org/officeDocument/2006/relationships/hyperlink" Target="https://madena.de/blogs/news/was-sind-eigentlich-praebiotika-und-wo-stecken-sie-drin" TargetMode="External"/><Relationship Id="rId68" Type="http://schemas.openxmlformats.org/officeDocument/2006/relationships/hyperlink" Target="https://www.eisenmangel.de/ernaehrung-eisenmangel/eisenaufnahme-hemmstoffe-foerderstoffe" TargetMode="External"/><Relationship Id="rId69" Type="http://schemas.openxmlformats.org/officeDocument/2006/relationships/image" Target="media/image27.jpeg"/><Relationship Id="rId70" Type="http://schemas.openxmlformats.org/officeDocument/2006/relationships/hyperlink" Target="https://www.eisencheck.at/eisen-im-koerper/eisenhaltige-lebensmittel/#eisenhaltige-lebensmittel" TargetMode="External"/><Relationship Id="rId71" Type="http://schemas.openxmlformats.org/officeDocument/2006/relationships/image" Target="media/image28.png"/><Relationship Id="rId72" Type="http://schemas.openxmlformats.org/officeDocument/2006/relationships/hyperlink" Target="https://www.aok.de/pk/magazin/ernaehrung/lebensmittel/oxalsaeure-welche-lebensmittel-oxalat-enthalten-und-was-es-bewirkt/" TargetMode="External"/><Relationship Id="rId73" Type="http://schemas.openxmlformats.org/officeDocument/2006/relationships/hyperlink" Target="https://www.n-tv.de/wissen/Wer-viel-Hochverarbeitetes-isst-martert-seine-Gesundheit-id30039167.html" TargetMode="External"/><Relationship Id="rId74" Type="http://schemas.openxmlformats.org/officeDocument/2006/relationships/image" Target="media/image29.png"/><Relationship Id="rId75" Type="http://schemas.openxmlformats.org/officeDocument/2006/relationships/hyperlink" Target="https://www.meincareplus.de/de_DE/home/therapiegebiete/gelenk/wissenswertes-rheuma/meine-gelenke.html" TargetMode="External"/><Relationship Id="rId76" Type="http://schemas.openxmlformats.org/officeDocument/2006/relationships/image" Target="media/image30.png"/><Relationship Id="rId77" Type="http://schemas.openxmlformats.org/officeDocument/2006/relationships/image" Target="media/image31.png"/><Relationship Id="rId78" Type="http://schemas.openxmlformats.org/officeDocument/2006/relationships/image" Target="media/image32.png"/><Relationship Id="rId79" Type="http://schemas.openxmlformats.org/officeDocument/2006/relationships/image" Target="media/image33.png"/><Relationship Id="rId80" Type="http://schemas.openxmlformats.org/officeDocument/2006/relationships/image" Target="media/image34.png"/><Relationship Id="rId81" Type="http://schemas.openxmlformats.org/officeDocument/2006/relationships/image" Target="media/image35.png"/><Relationship Id="rId82" Type="http://schemas.openxmlformats.org/officeDocument/2006/relationships/image" Target="media/image36.jpeg"/><Relationship Id="rId83" Type="http://schemas.openxmlformats.org/officeDocument/2006/relationships/image" Target="media/image37.png"/><Relationship Id="rId84" Type="http://schemas.openxmlformats.org/officeDocument/2006/relationships/image" Target="media/image38.png"/><Relationship Id="rId85" Type="http://schemas.openxmlformats.org/officeDocument/2006/relationships/image" Target="media/image39.png"/><Relationship Id="rId86" Type="http://schemas.openxmlformats.org/officeDocument/2006/relationships/image" Target="media/image40.jpeg"/><Relationship Id="rId87" Type="http://schemas.openxmlformats.org/officeDocument/2006/relationships/image" Target="media/image41.jpeg"/><Relationship Id="rId88" Type="http://schemas.openxmlformats.org/officeDocument/2006/relationships/image" Target="media/image42.jpeg"/><Relationship Id="rId89" Type="http://schemas.openxmlformats.org/officeDocument/2006/relationships/image" Target="media/image43.jpeg"/><Relationship Id="rId90" Type="http://schemas.openxmlformats.org/officeDocument/2006/relationships/image" Target="media/image44.jpeg"/><Relationship Id="rId91" Type="http://schemas.openxmlformats.org/officeDocument/2006/relationships/image" Target="media/image45.jpeg"/><Relationship Id="rId92" Type="http://schemas.openxmlformats.org/officeDocument/2006/relationships/image" Target="media/image46.jpeg"/><Relationship Id="rId93" Type="http://schemas.openxmlformats.org/officeDocument/2006/relationships/image" Target="media/image47.jpeg"/><Relationship Id="rId94" Type="http://schemas.openxmlformats.org/officeDocument/2006/relationships/image" Target="media/image48.jpeg"/><Relationship Id="rId95" Type="http://schemas.openxmlformats.org/officeDocument/2006/relationships/image" Target="media/image49.jpeg"/><Relationship Id="rId96" Type="http://schemas.openxmlformats.org/officeDocument/2006/relationships/image" Target="media/image50.jpeg"/><Relationship Id="rId97" Type="http://schemas.openxmlformats.org/officeDocument/2006/relationships/image" Target="media/image51.jpeg"/><Relationship Id="rId98" Type="http://schemas.openxmlformats.org/officeDocument/2006/relationships/image" Target="media/image52.jpeg"/><Relationship Id="rId99" Type="http://schemas.openxmlformats.org/officeDocument/2006/relationships/image" Target="media/image53.jpeg"/><Relationship Id="rId100" Type="http://schemas.openxmlformats.org/officeDocument/2006/relationships/image" Target="media/image54.jpeg"/><Relationship Id="rId101" Type="http://schemas.openxmlformats.org/officeDocument/2006/relationships/image" Target="media/image55.jpeg"/><Relationship Id="rId102" Type="http://schemas.openxmlformats.org/officeDocument/2006/relationships/hyperlink" Target="https://sportaerztezeitung.com/rubriken/therapie/16590/arthrose-ist-heilbar/" TargetMode="External"/><Relationship Id="rId103" Type="http://schemas.openxmlformats.org/officeDocument/2006/relationships/hyperlink" Target="https://sportaerztezeitung.com/rubriken/therapie/19614/neues-aus-der-arthroseforschung/" TargetMode="External"/><Relationship Id="rId104" Type="http://schemas.openxmlformats.org/officeDocument/2006/relationships/hyperlink" Target="https://sendy.dr-feil.com/l/zKZZ892ZruGM44E49HQuJZAg/MYt8f5cHtqWQDNwLFkGsPg/D6HzRWIa0WvFe5y5KtJbPA" TargetMode="External"/><Relationship Id="rId105" Type="http://schemas.openxmlformats.org/officeDocument/2006/relationships/footnotes" Target="footnotes.xml"/><Relationship Id="rId106" Type="http://schemas.openxmlformats.org/officeDocument/2006/relationships/image" Target="media/image56.png"/><Relationship Id="rId107" Type="http://schemas.openxmlformats.org/officeDocument/2006/relationships/hyperlink" Target="https://allsani.com/arthrose-buch" TargetMode="External"/><Relationship Id="rId108" Type="http://schemas.openxmlformats.org/officeDocument/2006/relationships/hyperlink" Target="https://allsani.com/grosse-lauf-diaet.html" TargetMode="External"/><Relationship Id="rId109" Type="http://schemas.openxmlformats.org/officeDocument/2006/relationships/hyperlink" Target="https://allsani.com/dr-food-gesunde-ernaehrung-fuer-starke-gelenke" TargetMode="External"/><Relationship Id="rId110" Type="http://schemas.openxmlformats.org/officeDocument/2006/relationships/hyperlink" Target="https://allsani.com/lauf-dich-gesund-in-6-monaten-mit-begeisterung-zum-halbmarathon.html" TargetMode="External"/><Relationship Id="rId111" Type="http://schemas.openxmlformats.org/officeDocument/2006/relationships/hyperlink" Target="https://allsani.com/lauf-dich-gesund-in-6-monaten-mit-begeisterung-zum-halbmarathon" TargetMode="External"/><Relationship Id="rId112" Type="http://schemas.openxmlformats.org/officeDocument/2006/relationships/hyperlink" Target="https://allsani.com/arthrose-buch.html" TargetMode="External"/><Relationship Id="rId113" Type="http://schemas.openxmlformats.org/officeDocument/2006/relationships/hyperlink" Target="https://www.amazon.de/Die-gro&#223;e-Lauf-Di&#228;t-detaillierten-Ern&#228;hrungs/dp/3517099821/" TargetMode="External"/><Relationship Id="rId114" Type="http://schemas.openxmlformats.org/officeDocument/2006/relationships/hyperlink" Target="https://allsani.com/dr-food-gesunde-ernaehrung-fuer-starke-gelenke.html" TargetMode="External"/><Relationship Id="rId115" Type="http://schemas.openxmlformats.org/officeDocument/2006/relationships/hyperlink" Target="https://allsani.com/die-f-as-t-formel-was-erfolgreiche-sportler-anders-machen.html"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Tahoma"/>
        <a:cs typeface="Tahoma"/>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 Peise</cp:lastModifiedBy>
  <cp:revision>363</cp:revision>
  <cp:lastPrinted>2025-10-06T12:16:33Z</cp:lastPrinted>
  <dcterms:created xsi:type="dcterms:W3CDTF">2025-05-09T06:31:17Z</dcterms:created>
  <dcterms:modified xsi:type="dcterms:W3CDTF">2025-12-26T08:28:03Z</dcterms:modified>
</cp:coreProperties>
</file>