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Calibri"/>
          <w:b/>
          <w:bCs/>
          <w:color w:val="007f7f"/>
          <w:sz w:val="28"/>
          <w:szCs w:val="28"/>
          <w:lang w:eastAsia="de-de" w:bidi="de-de"/>
        </w:rPr>
      </w:pPr>
      <w:bookmarkStart w:id="0" w:name="_Toc367795324"/>
      <w:r/>
      <w:bookmarkEnd w:id="0"/>
      <w:r/>
      <w:r>
        <w:rPr>
          <w:rFonts w:eastAsia="Calibri"/>
          <w:b/>
          <w:bCs/>
          <w:color w:val="007f7f"/>
          <w:sz w:val="28"/>
          <w:szCs w:val="28"/>
          <w:lang w:eastAsia="de-de" w:bidi="de-de"/>
        </w:rPr>
      </w:r>
      <w:bookmarkStart w:id="1" w:name="_TOC000077"/>
      <w:r>
        <w:rPr>
          <w:rFonts w:eastAsia="Calibri"/>
          <w:b/>
          <w:bCs/>
          <w:color w:val="007f7f"/>
          <w:sz w:val="28"/>
          <w:szCs w:val="28"/>
          <w:lang w:eastAsia="de-de" w:bidi="de-de"/>
        </w:rPr>
        <w:t>Manipulation</w:t>
      </w:r>
      <w:bookmarkEnd w:id="1"/>
      <w:r>
        <w:rPr>
          <w:rFonts w:eastAsia="Calibri"/>
          <w:b/>
          <w:bCs/>
          <w:color w:val="007f7f"/>
          <w:sz w:val="28"/>
          <w:szCs w:val="28"/>
          <w:lang w:eastAsia="de-de" w:bidi="de-de"/>
        </w:rPr>
      </w:r>
    </w:p>
    <w:p>
      <w:pPr>
        <w:pStyle w:val="para4"/>
        <w:numPr>
          <w:ilvl w:val="2"/>
          <w:numId w:val="63"/>
        </w:numPr>
        <w:ind w:left="720" w:hanging="720"/>
        <w:spacing w:before="240"/>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Basic Roman"/>
          <w:b/>
          <w:iCs w:val="0"/>
          <w:color w:val="007f7f"/>
          <w:kern w:val="1"/>
          <w:sz w:val="24"/>
          <w:szCs w:val="24"/>
          <w:lang w:eastAsia="de-de" w:bidi="de-de"/>
        </w:rPr>
      </w:pPr>
      <w:bookmarkStart w:id="2" w:name="_TOC001724"/>
      <w:r>
        <w:rPr>
          <w:rFonts w:cs="Basic Roman"/>
          <w:b/>
          <w:iCs w:val="0"/>
          <w:color w:val="007f7f"/>
          <w:kern w:val="1"/>
          <w:sz w:val="24"/>
          <w:szCs w:val="24"/>
          <w:lang w:eastAsia="de-de" w:bidi="de-de"/>
        </w:rPr>
        <w:t>Manipulative Fragen</w:t>
      </w:r>
      <w:bookmarkEnd w:id="2"/>
      <w:r>
        <w:rPr>
          <w:rFonts w:cs="Basic Roman"/>
          <w:b/>
          <w:iCs w:val="0"/>
          <w:color w:val="007f7f"/>
          <w:kern w:val="1"/>
          <w:sz w:val="24"/>
          <w:szCs w:val="24"/>
          <w:lang w:eastAsia="de-de" w:bidi="de-de"/>
        </w:rPr>
      </w:r>
    </w:p>
    <w:p>
      <w:r>
        <w:t>Manipulative Fragen sollen den Mitarbeiter dazu bringen, das zu sagen, was Sie als Vorgesetzter gerne hören möchten, und nicht das, was dem Mitarbeiter am Herzen liegt. Diese Art des Fragens hat nichts mit Führung zu tun, sondern ist nur ein menschenunwürdiger Stil. Trotzdem werden diese Fragetechniken hier behandelt. Denn nur, wer Manipulationstechniken kennt, kann diese bei anderen erkennen und bei eigenen Fragen vermeiden.</w:t>
      </w:r>
    </w:p>
    <w:p>
      <w:r>
        <w:t>Hier sind vier Beispiele für manipulative Fragen.</w:t>
      </w:r>
    </w:p>
    <w:p>
      <w:pPr>
        <w:pStyle w:val="para5"/>
        <w:numPr>
          <w:ilvl w:val="3"/>
          <w:numId w:val="63"/>
        </w:numPr>
        <w:ind w:left="964" w:hanging="964"/>
        <w:spacing/>
        <w:jc w:val="left"/>
        <w:outlineLvl w:val="3"/>
        <w:rPr>
          <w:b/>
          <w:bCs/>
          <w:iCs/>
          <w:color w:val="007f7f"/>
          <w:lang w:eastAsia="de-de" w:bidi="de-de"/>
        </w:rPr>
      </w:pPr>
      <w:bookmarkStart w:id="3" w:name="_TOC001725"/>
      <w:r>
        <w:rPr>
          <w:b/>
          <w:bCs/>
          <w:iCs/>
          <w:color w:val="007f7f"/>
          <w:lang w:eastAsia="de-de" w:bidi="de-de"/>
        </w:rPr>
        <w:t>Voranstellen oder umrahmen</w:t>
      </w:r>
      <w:bookmarkEnd w:id="3"/>
      <w:r>
        <w:rPr>
          <w:b/>
          <w:bCs/>
          <w:iCs/>
          <w:color w:val="007f7f"/>
          <w:lang w:eastAsia="de-de" w:bidi="de-de"/>
        </w:rPr>
      </w:r>
    </w:p>
    <w:p>
      <w:r>
        <w:t>Hier wird zuerst eine wesentliche Feststellung gemacht, um die Antwort auf die folgende Frage zu beeinflussen, z.B. aus dem Verkauf: "Wenn Sie an die starke Zunahme von Einbrüchen in diesem Wohngebiet denken, was halten Sie von Alarmanlagen für Privathäuser?" Die nicht manipulative Form ist: "Was halten Sie von Alarmanlagen als Abschreckungsmaßnahme gegen Einbrüche?" Übertragen Sie diesen Fragestil bitte auf Ihre Mitarbeitergespräche.</w:t>
      </w:r>
    </w:p>
    <w:p>
      <w:pPr>
        <w:pStyle w:val="para5"/>
        <w:numPr>
          <w:ilvl w:val="3"/>
          <w:numId w:val="63"/>
        </w:numPr>
        <w:ind w:left="964" w:hanging="964"/>
        <w:spacing/>
        <w:jc w:val="left"/>
        <w:outlineLvl w:val="3"/>
        <w:rPr>
          <w:b/>
          <w:bCs/>
          <w:iCs/>
          <w:color w:val="007f7f"/>
          <w:lang w:eastAsia="de-de" w:bidi="de-de"/>
        </w:rPr>
      </w:pPr>
      <w:bookmarkStart w:id="4" w:name="_TOC001726"/>
      <w:r>
        <w:rPr>
          <w:b/>
          <w:bCs/>
          <w:iCs/>
          <w:color w:val="007f7f"/>
          <w:lang w:eastAsia="de-de" w:bidi="de-de"/>
        </w:rPr>
        <w:t xml:space="preserve">Negative Fragen </w:t>
      </w:r>
      <w:bookmarkEnd w:id="4"/>
      <w:r>
        <w:rPr>
          <w:b/>
          <w:bCs/>
          <w:iCs/>
          <w:color w:val="007f7f"/>
          <w:lang w:eastAsia="de-de" w:bidi="de-de"/>
        </w:rPr>
      </w:r>
    </w:p>
    <w:p>
      <w:r>
        <w:t>Negativ formulierte Fragen sollen dazu dienen, eventuellen Widerstand beim Mitarbeiter auszuschalten, z.B.: "Würden Sie mir in diesem Punkt nicht zustimmen?" Diese Frage setzt voraus, dass es eine Übereinstimmung mit der Meinung des Vorgesetzten gibt. Eine neutrale Frage wäre: "Was halten Sie von ...?"</w:t>
      </w:r>
    </w:p>
    <w:p>
      <w:pPr>
        <w:pStyle w:val="para5"/>
        <w:numPr>
          <w:ilvl w:val="3"/>
          <w:numId w:val="63"/>
        </w:numPr>
        <w:ind w:left="964" w:hanging="964"/>
        <w:spacing/>
        <w:jc w:val="left"/>
        <w:outlineLvl w:val="3"/>
        <w:rPr>
          <w:b/>
          <w:bCs/>
          <w:iCs/>
          <w:color w:val="007f7f"/>
          <w:lang w:eastAsia="de-de" w:bidi="de-de"/>
        </w:rPr>
      </w:pPr>
      <w:bookmarkStart w:id="5" w:name="_TOC001727"/>
      <w:r>
        <w:rPr>
          <w:b/>
          <w:bCs/>
          <w:iCs/>
          <w:color w:val="007f7f"/>
          <w:lang w:eastAsia="de-de" w:bidi="de-de"/>
        </w:rPr>
      </w:r>
      <w:bookmarkStart w:id="6" w:name="_TOC002601"/>
      <w:r>
        <w:rPr>
          <w:b/>
          <w:bCs/>
          <w:iCs/>
          <w:color w:val="007f7f"/>
          <w:lang w:eastAsia="de-de" w:bidi="de-de"/>
        </w:rPr>
        <w:t>Manipulative Feststellungen</w:t>
      </w:r>
      <w:bookmarkEnd w:id="5"/>
      <w:r>
        <w:rPr>
          <w:b/>
          <w:bCs/>
          <w:iCs/>
          <w:color w:val="007f7f"/>
          <w:lang w:eastAsia="de-de" w:bidi="de-de"/>
        </w:rPr>
      </w:r>
      <w:bookmarkEnd w:id="6"/>
      <w:r>
        <w:rPr>
          <w:b/>
          <w:bCs/>
          <w:iCs/>
          <w:color w:val="007f7f"/>
          <w:lang w:eastAsia="de-de" w:bidi="de-de"/>
        </w:rPr>
      </w:r>
    </w:p>
    <w:p>
      <w:r>
        <w:t>Auf manipulative Feststellungen folgt Schweigen, welches dann als Zustimmung gewertet wird. "Offensichtlich möchten Sie sich in Zukunft verstärkt um XY kümmern." Oder: "Ich nehme an, dass Sie in zwei Wochen mit dem Projekt fertig sind."</w:t>
      </w:r>
    </w:p>
    <w:p>
      <w:r>
        <w:t>Gute Beispiele für diese schlechte Kommunikationsform sind parlamentarische Anfragen. Es sind keine ernsthaften Fragen, sondern politische Selbstdarstellungen. Sie beginnen meist mit: "Ist es nicht eine Tatsache, dass ...?" oder "Angesichts ..., glauben Sie nicht, dass ...?" Jede Frage, die mit "offensichtlich" oder ähnlichen Wörtern beginnt, ist offensichtlich ein Urteil, das sich als Frage verkleidet, nicht wahr? (Dieser letzte Satz ist eine manipulative Suggestion.)</w:t>
      </w:r>
    </w:p>
    <w:p>
      <w:pPr>
        <w:pStyle w:val="para5"/>
        <w:numPr>
          <w:ilvl w:val="3"/>
          <w:numId w:val="63"/>
        </w:numPr>
        <w:ind w:left="964" w:hanging="964"/>
        <w:spacing/>
        <w:jc w:val="left"/>
        <w:outlineLvl w:val="3"/>
        <w:rPr>
          <w:b/>
          <w:bCs/>
          <w:iCs/>
          <w:color w:val="007f7f"/>
          <w:lang w:eastAsia="de-de" w:bidi="de-de"/>
        </w:rPr>
      </w:pPr>
      <w:bookmarkStart w:id="7" w:name="_TOC001728"/>
      <w:r>
        <w:rPr>
          <w:b/>
          <w:bCs/>
          <w:iCs/>
          <w:color w:val="007f7f"/>
          <w:lang w:eastAsia="de-de" w:bidi="de-de"/>
        </w:rPr>
        <w:t xml:space="preserve">Die Antwort anbieten </w:t>
      </w:r>
      <w:bookmarkEnd w:id="7"/>
      <w:r>
        <w:rPr>
          <w:b/>
          <w:bCs/>
          <w:iCs/>
          <w:color w:val="007f7f"/>
          <w:lang w:eastAsia="de-de" w:bidi="de-de"/>
        </w:rPr>
      </w:r>
    </w:p>
    <w:p>
      <w:r>
        <w:t>Hier wird dem Mitarbeiter etwas untergeschoben: "Wie lange benötigen Sie noch für das Projekt XY, zwei Wochen?" Die Meinung des Vorgesetzten gibt damit den Rahmen für die Antwort des Mitarbeiters vor.</w:t>
      </w:r>
    </w:p>
    <w:p>
      <w:bookmarkStart w:id="8" w:name="_TOC001729"/>
      <w:r/>
    </w:p>
    <w:p>
      <w:pPr>
        <w:pStyle w:val="para4"/>
        <w:numPr>
          <w:ilvl w:val="2"/>
          <w:numId w:val="63"/>
        </w:numPr>
        <w:ind w:left="720" w:hanging="720"/>
        <w:spacing w:before="240"/>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Basic Roman"/>
          <w:b/>
          <w:iCs w:val="0"/>
          <w:color w:val="007f7f"/>
          <w:kern w:val="1"/>
          <w:sz w:val="24"/>
          <w:szCs w:val="24"/>
          <w:lang w:eastAsia="de-de" w:bidi="de-de"/>
        </w:rPr>
      </w:pPr>
      <w:r>
        <w:br w:type="page"/>
      </w:r>
      <w:bookmarkStart w:id="9" w:name="_TOC000122"/>
      <w:r>
        <w:rPr>
          <w:rFonts w:cs="Basic Roman"/>
          <w:b/>
          <w:iCs w:val="0"/>
          <w:color w:val="007f7f"/>
          <w:kern w:val="1"/>
          <w:sz w:val="24"/>
          <w:szCs w:val="24"/>
          <w:lang w:eastAsia="de-de" w:bidi="de-de"/>
        </w:rPr>
        <w:t>Manipulation auf der Beziehungsebene</w:t>
      </w:r>
      <w:bookmarkEnd w:id="8"/>
      <w:r>
        <w:rPr>
          <w:rFonts w:cs="Basic Roman"/>
          <w:b/>
          <w:iCs w:val="0"/>
          <w:color w:val="007f7f"/>
          <w:kern w:val="1"/>
          <w:sz w:val="24"/>
          <w:szCs w:val="24"/>
          <w:lang w:eastAsia="de-de" w:bidi="de-de"/>
        </w:rPr>
      </w:r>
      <w:bookmarkEnd w:id="9"/>
      <w:r>
        <w:rPr>
          <w:rFonts w:cs="Basic Roman"/>
          <w:b/>
          <w:iCs w:val="0"/>
          <w:color w:val="007f7f"/>
          <w:kern w:val="1"/>
          <w:sz w:val="24"/>
          <w:szCs w:val="24"/>
          <w:lang w:eastAsia="de-de" w:bidi="de-de"/>
        </w:rPr>
      </w:r>
    </w:p>
    <w:p>
      <w:pPr>
        <w:spacing w:line="240" w:lineRule="auto"/>
        <w:rPr>
          <w:sz w:val="14"/>
          <w:szCs w:val="14"/>
        </w:rPr>
      </w:pPr>
      <w:r>
        <w:rPr>
          <w:sz w:val="14"/>
          <w:szCs w:val="14"/>
        </w:rPr>
        <w:t>Quelle: Gehirn &amp; Geist 2/2022, S. 23: Zusammenfassung aus: Sachse, R.: Manipulation und Selbsttäuschung. Wie gestalte ich mir die Welt so, dass sie mir gefällt: Manipulationen nutzen und abwenden. Springer, 2014</w:t>
      </w:r>
    </w:p>
    <w:p>
      <w:r>
        <w:t>Wer andere für seine Ziele missbrauchen oder steuern möchte, sendet statt Inhalts- vor allem Beziehungsbotschaften. Der Manipulator will sich so zum Beispiel ein bestimmtes Image geben oder mittels Appellen aktiv Einfluss auf das Denken und Handeln seiner Nächsten nehmen. Oft ist dabei weniger wichtig, was gesagt wird, als vielmehr wie. Der Bochumer Psychologe Rainer Sachse schildert fünf beliebte 'Psychospiele', die im Alltag häufig anzutreffen sind.</w:t>
      </w:r>
    </w:p>
    <w:p>
      <w:pPr>
        <w:pStyle w:val="para5"/>
        <w:numPr>
          <w:ilvl w:val="3"/>
          <w:numId w:val="63"/>
        </w:numPr>
        <w:ind w:left="964" w:hanging="964"/>
        <w:spacing/>
        <w:jc w:val="left"/>
        <w:outlineLvl w:val="3"/>
        <w:rPr>
          <w:b/>
          <w:bCs/>
          <w:iCs/>
          <w:color w:val="007f7f"/>
          <w:lang w:eastAsia="de-de" w:bidi="de-de"/>
        </w:rPr>
      </w:pPr>
      <w:bookmarkStart w:id="10" w:name="_TOC001761"/>
      <w:r>
        <w:rPr>
          <w:b/>
          <w:bCs/>
          <w:iCs/>
          <w:color w:val="007f7f"/>
          <w:lang w:eastAsia="de-de" w:bidi="de-de"/>
        </w:rPr>
        <w:t>Angeber-Spiel</w:t>
      </w:r>
      <w:bookmarkEnd w:id="10"/>
      <w:r>
        <w:rPr>
          <w:b/>
          <w:bCs/>
          <w:iCs/>
          <w:color w:val="007f7f"/>
          <w:lang w:eastAsia="de-de" w:bidi="de-de"/>
        </w:rPr>
      </w:r>
    </w:p>
    <w:p>
      <w:r>
        <w:t>Diese Strategie dient dazu, sich selbst als etwas ganz Besonderes darzustellen: als schön, klug, erfolgreich oder vermögend. Die Person prahlt mit ihrem neuen Sportwagen oder ihrem IQ oder geriert sich als Kosmopolit oder Gourmet, indem sie zum Beispiel ungefragt betont, sie kenne die New Yorker Restaurantszene wie ihre Westentasche. Dieses Spiel wird oft von narzisstischen Menschen betrieben, häufig in Verbindung mit dem Herabsetzen anderer.</w:t>
      </w:r>
    </w:p>
    <w:p>
      <w:r>
        <w:t>Das Ziel: Bewunderung heischen und darüber Macht gewinnen. Der Angeber versucht, den eigenen Selbstwert zu erhöhen, um andere um den Finger zu wickeln. Das kann harmlos sein, manchmal ist es aber auch der Einstieg in eine Beziehung, die auf Abhängigkeit und Einschüchterung beruht.</w:t>
      </w:r>
    </w:p>
    <w:p>
      <w:pPr>
        <w:pStyle w:val="para5"/>
        <w:numPr>
          <w:ilvl w:val="3"/>
          <w:numId w:val="63"/>
        </w:numPr>
        <w:ind w:left="964" w:hanging="964"/>
        <w:spacing/>
        <w:jc w:val="left"/>
        <w:outlineLvl w:val="3"/>
        <w:rPr>
          <w:b/>
          <w:bCs/>
          <w:iCs/>
          <w:color w:val="007f7f"/>
          <w:lang w:eastAsia="de-de" w:bidi="de-de"/>
        </w:rPr>
      </w:pPr>
      <w:bookmarkStart w:id="11" w:name="_TOC001762"/>
      <w:r>
        <w:rPr>
          <w:b/>
          <w:bCs/>
          <w:iCs/>
          <w:color w:val="007f7f"/>
          <w:lang w:eastAsia="de-de" w:bidi="de-de"/>
        </w:rPr>
      </w:r>
      <w:bookmarkStart w:id="12" w:name="_TOC002602"/>
      <w:r>
        <w:rPr>
          <w:b/>
          <w:bCs/>
          <w:iCs/>
          <w:color w:val="007f7f"/>
          <w:lang w:eastAsia="de-de" w:bidi="de-de"/>
        </w:rPr>
        <w:t>Armes-Schwein-Spiel</w:t>
      </w:r>
      <w:bookmarkEnd w:id="11"/>
      <w:r>
        <w:rPr>
          <w:b/>
          <w:bCs/>
          <w:iCs/>
          <w:color w:val="007f7f"/>
          <w:lang w:eastAsia="de-de" w:bidi="de-de"/>
        </w:rPr>
      </w:r>
      <w:bookmarkEnd w:id="12"/>
      <w:r>
        <w:rPr>
          <w:b/>
          <w:bCs/>
          <w:iCs/>
          <w:color w:val="007f7f"/>
          <w:lang w:eastAsia="de-de" w:bidi="de-de"/>
        </w:rPr>
      </w:r>
    </w:p>
    <w:p>
      <w:r>
        <w:t>Hier will die Person im Gegenteil als schwach, hilflos und leidend gelten. Jede missliche Lage wird dramatisiert, das Leiden übertrieben, ausgeschmückt und mit dem Appell verbunden, andere müssten einem beistehen oder helfen. Manchmal werden dabei Doppelbotschaften gesendet: einerseits 'tu etwas', andererseits 'schone mich!'. So bekommt das Gegenüber den Eindruck, das Problem für den anderen lösen zu müssen, ohne denjenigen weiter zu belasten. Ein Anlehnungsbedürfnis in schwierigen Situationen ist normal, das 'Arme-Schwein-Spiel' ist jedoch manipulativ, da wir uns ihm als empathische Wesen kaum entziehen können. Das Ziel, Fürsorge und Unterstützung zu bekommen, wird auf diese Weise häufig erreicht.</w:t>
      </w:r>
    </w:p>
    <w:p>
      <w:r>
        <w:t>Manchmal dient die Strategie aber auch nur dazu, andere an sich zu binden oder sich vor ungeliebten Aufgaben zu drücken.</w:t>
      </w:r>
    </w:p>
    <w:p>
      <w:pPr>
        <w:pStyle w:val="para5"/>
        <w:numPr>
          <w:ilvl w:val="3"/>
          <w:numId w:val="63"/>
        </w:numPr>
        <w:ind w:left="964" w:hanging="964"/>
        <w:spacing/>
        <w:jc w:val="left"/>
        <w:outlineLvl w:val="3"/>
        <w:rPr>
          <w:b/>
          <w:bCs/>
          <w:iCs/>
          <w:color w:val="007f7f"/>
          <w:lang w:eastAsia="de-de" w:bidi="de-de"/>
        </w:rPr>
      </w:pPr>
      <w:bookmarkStart w:id="13" w:name="_TOC001763"/>
      <w:r>
        <w:rPr>
          <w:b/>
          <w:bCs/>
          <w:iCs/>
          <w:color w:val="007f7f"/>
          <w:lang w:eastAsia="de-de" w:bidi="de-de"/>
        </w:rPr>
        <w:t>Opfer-Spiel</w:t>
      </w:r>
      <w:bookmarkEnd w:id="13"/>
      <w:r>
        <w:rPr>
          <w:b/>
          <w:bCs/>
          <w:iCs/>
          <w:color w:val="007f7f"/>
          <w:lang w:eastAsia="de-de" w:bidi="de-de"/>
        </w:rPr>
      </w:r>
    </w:p>
    <w:p>
      <w:r>
        <w:t>Hier inszeniert sich jemand als Opfer - der Umstände oder anderer Menschen. Dann heißt es 'Ich hatte keine andere Wahl« oder 'Ich bin nur der Fußabtreter für dich!'. Manchmal geht das Opfer-Spiel mit Anschuldigungen einher. Es geht meist darum, sich selbst von Schuld freizusprechen und Aufmerksamkeit zu erhalten. Eine abgeschwächte Version dieser Masche kommt zum Tragen, wenn wir 'Ich kann nicht' sagen, aber 'Ich will nicht' meinen. Wir machen äußere Umstände dafür verantwortlich, dass wir einer Aufgabe oder den Ansprüchen anderer nicht nachkommen wollen - und sind damit fein raus. Verwandt ist das 'Opfer-Spiel' mit passiv-aggressiver Sabotage: trödeln, mauern und schmollen, bis man sein Ziel erreicht.</w:t>
      </w:r>
    </w:p>
    <w:p>
      <w:pPr>
        <w:pStyle w:val="para5"/>
        <w:numPr>
          <w:ilvl w:val="3"/>
          <w:numId w:val="63"/>
        </w:numPr>
        <w:ind w:left="964" w:hanging="964"/>
        <w:spacing/>
        <w:jc w:val="left"/>
        <w:outlineLvl w:val="3"/>
        <w:rPr>
          <w:b/>
          <w:bCs/>
          <w:iCs/>
          <w:color w:val="007f7f"/>
          <w:lang w:eastAsia="de-de" w:bidi="de-de"/>
        </w:rPr>
      </w:pPr>
      <w:bookmarkStart w:id="14" w:name="_TOC001764"/>
      <w:r>
        <w:rPr>
          <w:b/>
          <w:bCs/>
          <w:iCs/>
          <w:color w:val="007f7f"/>
          <w:lang w:eastAsia="de-de" w:bidi="de-de"/>
        </w:rPr>
        <w:t>Blöd-Spiel</w:t>
      </w:r>
      <w:bookmarkEnd w:id="14"/>
      <w:r>
        <w:rPr>
          <w:b/>
          <w:bCs/>
          <w:iCs/>
          <w:color w:val="007f7f"/>
          <w:lang w:eastAsia="de-de" w:bidi="de-de"/>
        </w:rPr>
      </w:r>
    </w:p>
    <w:p>
      <w:r>
        <w:t>Diese Strategie besteht darin, sich dumm zu stellen, um einer Aufgabe zu entgehen. Sie wird häufig in Verbindung mit Schmeicheleien eingesetzt. Erster Zug: 'Schatz, ich weiß nicht, wie die Waschmaschine funktioniert.' Zweitens: 'Ich kann es gern probieren, aber es könnte sein, dass deine Bluse dann einläuft.' Drittens: 'Wenn du die Wäsche machst, ist sie immer so schön weich!' Dem 'Blöd-Spiel' begegnet man sowohl im Privaten als auch im Beruf. Die manipulierte Person möchte sich geschickt und kompetent fühlen und gibt in der Regel nach.</w:t>
      </w:r>
    </w:p>
    <w:p>
      <w:pPr>
        <w:pStyle w:val="para5"/>
        <w:numPr>
          <w:ilvl w:val="3"/>
          <w:numId w:val="63"/>
        </w:numPr>
        <w:ind w:left="964" w:hanging="964"/>
        <w:spacing/>
        <w:jc w:val="left"/>
        <w:outlineLvl w:val="3"/>
        <w:rPr>
          <w:b/>
          <w:bCs/>
          <w:iCs/>
          <w:color w:val="007f7f"/>
          <w:lang w:eastAsia="de-de" w:bidi="de-de"/>
        </w:rPr>
      </w:pPr>
      <w:bookmarkStart w:id="15" w:name="_TOC001765"/>
      <w:r>
        <w:rPr>
          <w:b/>
          <w:bCs/>
          <w:iCs/>
          <w:color w:val="007f7f"/>
          <w:lang w:eastAsia="de-de" w:bidi="de-de"/>
        </w:rPr>
        <w:t>Regelsetzer-Spiel</w:t>
      </w:r>
      <w:bookmarkEnd w:id="15"/>
      <w:r>
        <w:rPr>
          <w:b/>
          <w:bCs/>
          <w:iCs/>
          <w:color w:val="007f7f"/>
          <w:lang w:eastAsia="de-de" w:bidi="de-de"/>
        </w:rPr>
      </w:r>
    </w:p>
    <w:p>
      <w:r>
        <w:t>Regelsetzer treten ausgesprochen beherrscht, teils autoritär auf und haben klare Erwartungen an andere. Dabei offenbaren sie oft narzisstische Züge. Verteilt jemand Anweisungen nach dem Motto 'weil ich es sage', kann diese forsche Art das Gegenüber beeindrucken, einschüchtern und gefügig machen. Werden die Vorstellungen des Regelsetzers missachtet, reagiert er leicht gekränkt oder verärgert bis aggressiv. Diese Manipulationsform kann ein Hinweis auf erlittenen psychischen Missbrauch in der Kindheit oder Jugend sein.</w:t>
      </w:r>
    </w:p>
    <w:p>
      <w:pPr>
        <w:ind w:left="432" w:hanging="432"/>
      </w:pPr>
      <w:r/>
    </w:p>
    <w:p>
      <w:r>
        <w:br w:type="page"/>
      </w:r>
      <w:bookmarkStart w:id="16" w:name="_TOC000076"/>
      <w:r/>
      <w:bookmarkEnd w:id="16"/>
      <w:r/>
      <w:bookmarkStart w:id="17" w:name="_TOC000067"/>
      <w:r/>
      <w:bookmarkStart w:id="18" w:name="_TOC000154"/>
      <w:r/>
      <w:bookmarkStart w:id="19" w:name="_TOC000147"/>
      <w:r/>
      <w:bookmarkStart w:id="20" w:name="_TOC000116"/>
      <w:r/>
      <w:bookmarkStart w:id="21" w:name="_TOC000151"/>
      <w:r/>
      <w:bookmarkStart w:id="22" w:name="_TOC000304"/>
      <w:r/>
      <w:bookmarkStart w:id="23" w:name="_TOC000368"/>
      <w:r/>
      <w:bookmarkStart w:id="24" w:name="_TOC000109"/>
      <w:r/>
      <w:bookmarkStart w:id="25" w:name="_TOC000121"/>
      <w:r/>
      <w:bookmarkStart w:id="26" w:name="_TOC000167"/>
      <w:r/>
      <w:bookmarkStart w:id="27" w:name="_TOC000170"/>
      <w:r/>
    </w:p>
    <w:p>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hybridMultilevel"/>
    <w:name w:val="Nummerierungsliste 42"/>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64">
    <w:multiLevelType w:val="singleLevel"/>
    <w:name w:val="Bullet 64"/>
    <w:lvl w:ilvl="0">
      <w:start w:val="1"/>
      <w:numFmt w:val="decimal"/>
      <w:lvlText w:val="%1."/>
      <w:lvlJc w:val="left"/>
      <w:pPr>
        <w:tabs>
          <w:tab w:val="num" w:pos="360"/>
        </w:tabs>
        <w:ind w:left="360" w:hanging="360"/>
      </w:pPr>
    </w:lvl>
  </w:abstractNum>
  <w:abstractNum w:abstractNumId="65">
    <w:multiLevelType w:val="singleLevel"/>
    <w:name w:val="Bullet 65"/>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0"/>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0"/>
  </w:tmReviewPr>
  <w:tmLastPos>
    <w:tmLastPosPage w:val="2"/>
    <w:tmLastPosSelect w:val="0"/>
    <w:tmLastPosFrameIdx w:val="0"/>
    <w:tmLastPosCaret>
      <w:tmLastPosPgfIdx w:val="31"/>
      <w:tmLastPosIdx w:val="0"/>
    </w:tmLastPosCaret>
    <w:tmLastPosAnchor>
      <w:tmLastPosPgfIdx w:val="0"/>
      <w:tmLastPosIdx w:val="0"/>
    </w:tmLastPosAnchor>
    <w:tmLastPosTblRect w:left="0" w:top="0" w:right="0" w:bottom="0"/>
  </w:tmLastPos>
  <w:tmAppRevision w:date="1711181046" w:val="1210" w:fileVer="342" w:fileVer64="64" w:fileVerOS="1">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4"/>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6"/>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226</cp:revision>
  <dcterms:created xsi:type="dcterms:W3CDTF">2024-03-23T08:04:03Z</dcterms:created>
  <dcterms:modified xsi:type="dcterms:W3CDTF">2024-03-23T08:04:06Z</dcterms:modified>
</cp:coreProperties>
</file>