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before="300"/>
        <w:jc w:val="left"/>
        <w:rPr>
          <w:b/>
          <w:bCs/>
          <w:sz w:val="20"/>
          <w:szCs w:val="20"/>
        </w:rPr>
      </w:pPr>
      <w:r/>
      <w:bookmarkStart w:id="0" w:name="_Toc367795324"/>
      <w:r/>
      <w:bookmarkEnd w:id="0"/>
      <w:r/>
      <w:r>
        <w:rPr>
          <w:b/>
          <w:bCs/>
          <w:sz w:val="20"/>
          <w:szCs w:val="20"/>
        </w:rPr>
        <w:t>Lernziele</w:t>
      </w:r>
    </w:p>
    <w:p>
      <w:pPr>
        <w:ind w:left="567"/>
        <w:spacing w:after="6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>Führung hat im wesentlichen zwei Komponenten: Beziehung und Kommunikation.</w:t>
      </w:r>
    </w:p>
    <w:p>
      <w:pPr>
        <w:ind w:left="567"/>
        <w:spacing w:after="6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Mittels Kommunikation wird eine positive Beziehung gestaltet. </w:t>
      </w:r>
    </w:p>
    <w:p>
      <w:pPr>
        <w:ind w:left="567"/>
        <w:spacing w:after="6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>Damit wird wertschätzende Führung ermöglicht.</w:t>
      </w:r>
    </w:p>
    <w:p>
      <w:pPr>
        <w:ind w:left="567"/>
        <w:spacing w:after="6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>Die Lernziele sind:</w:t>
      </w:r>
    </w:p>
    <w:p>
      <w:pPr>
        <w:ind w:left="567"/>
        <w:spacing w:before="200" w:after="8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zum Thema Kommunikation</w:t>
      </w:r>
    </w:p>
    <w:p>
      <w:pPr>
        <w:pStyle w:val="para17"/>
        <w:numPr>
          <w:ilvl w:val="1"/>
          <w:numId w:val="60"/>
        </w:numPr>
        <w:ind w:left="907" w:hanging="197"/>
        <w:spacing w:after="40" w:line="240" w:lineRule="auto"/>
        <w:rPr>
          <w:sz w:val="20"/>
          <w:szCs w:val="20"/>
        </w:rPr>
      </w:pPr>
      <w:r>
        <w:rPr>
          <w:sz w:val="20"/>
          <w:szCs w:val="20"/>
        </w:rPr>
        <w:t>sich der eigenen Kommunikationsmuster und deren Wirkung bewusst werden</w:t>
      </w:r>
    </w:p>
    <w:p>
      <w:pPr>
        <w:pStyle w:val="para17"/>
        <w:numPr>
          <w:ilvl w:val="1"/>
          <w:numId w:val="60"/>
        </w:numPr>
        <w:ind w:left="907" w:hanging="197"/>
        <w:spacing w:after="40" w:line="240" w:lineRule="auto"/>
        <w:rPr>
          <w:sz w:val="20"/>
          <w:szCs w:val="20"/>
        </w:rPr>
      </w:pPr>
      <w:r>
        <w:rPr>
          <w:sz w:val="20"/>
          <w:szCs w:val="20"/>
        </w:rPr>
        <w:t>neue, für Führungsaufgaben geeignete Kommunikationsmuster kennen lernen, ausprobieren, üben und hierbei prüfen, ob sie zu mir passen</w:t>
      </w:r>
    </w:p>
    <w:p>
      <w:pPr>
        <w:ind w:left="567"/>
        <w:spacing w:before="200" w:after="8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zum Thema Führung:</w:t>
      </w:r>
    </w:p>
    <w:p>
      <w:pPr>
        <w:pStyle w:val="para17"/>
        <w:numPr>
          <w:ilvl w:val="1"/>
          <w:numId w:val="60"/>
        </w:numPr>
        <w:ind w:left="907" w:hanging="197"/>
        <w:spacing w:after="60" w:line="240" w:lineRule="auto"/>
        <w:rPr>
          <w:sz w:val="20"/>
          <w:szCs w:val="20"/>
        </w:rPr>
      </w:pPr>
      <w:r>
        <w:rPr>
          <w:sz w:val="20"/>
          <w:szCs w:val="20"/>
        </w:rPr>
        <w:t>Kennen lernen</w:t>
      </w:r>
    </w:p>
    <w:p>
      <w:pPr>
        <w:pStyle w:val="para17"/>
        <w:numPr>
          <w:ilvl w:val="1"/>
          <w:numId w:val="60"/>
        </w:numPr>
        <w:ind w:left="1304" w:hanging="197"/>
        <w:spacing w:after="60" w:line="240" w:lineRule="auto"/>
        <w:rPr>
          <w:sz w:val="20"/>
          <w:szCs w:val="20"/>
        </w:rPr>
      </w:pPr>
      <w:r>
        <w:rPr>
          <w:sz w:val="20"/>
          <w:szCs w:val="20"/>
        </w:rPr>
        <w:t>der direkten und indirekten Führungsinstrumente, Führungsstile,</w:t>
      </w:r>
    </w:p>
    <w:p>
      <w:pPr>
        <w:pStyle w:val="para17"/>
        <w:numPr>
          <w:ilvl w:val="1"/>
          <w:numId w:val="60"/>
        </w:numPr>
        <w:ind w:left="1304" w:hanging="197"/>
        <w:spacing w:after="60" w:line="240" w:lineRule="auto"/>
        <w:rPr>
          <w:sz w:val="20"/>
          <w:szCs w:val="20"/>
        </w:rPr>
      </w:pPr>
      <w:r>
        <w:rPr>
          <w:sz w:val="20"/>
          <w:szCs w:val="20"/>
        </w:rPr>
        <w:t>der Wirkung von Sinnstiftung und Motivation,</w:t>
      </w:r>
    </w:p>
    <w:p>
      <w:pPr>
        <w:pStyle w:val="para17"/>
        <w:numPr>
          <w:ilvl w:val="1"/>
          <w:numId w:val="60"/>
        </w:numPr>
        <w:ind w:left="1304" w:hanging="197"/>
        <w:spacing w:after="60" w:line="240" w:lineRule="auto"/>
        <w:rPr>
          <w:sz w:val="20"/>
          <w:szCs w:val="20"/>
        </w:rPr>
      </w:pPr>
      <w:r>
        <w:rPr>
          <w:sz w:val="20"/>
          <w:szCs w:val="20"/>
        </w:rPr>
        <w:t>des coachenden Führungsstils zur Beteiligung der Mitarbeitenden an Prozessgestaltung und Entscheidungen.</w:t>
      </w:r>
    </w:p>
    <w:p>
      <w:pPr>
        <w:pStyle w:val="para17"/>
        <w:numPr>
          <w:ilvl w:val="1"/>
          <w:numId w:val="60"/>
        </w:numPr>
        <w:ind w:left="907" w:hanging="197"/>
        <w:spacing w:after="60" w:line="240" w:lineRule="auto"/>
        <w:rPr>
          <w:sz w:val="20"/>
          <w:szCs w:val="20"/>
        </w:rPr>
      </w:pPr>
      <w:r>
        <w:rPr>
          <w:sz w:val="20"/>
          <w:szCs w:val="20"/>
        </w:rPr>
        <w:t>Standortbestimmung: Ich und Führung?</w:t>
      </w:r>
    </w:p>
    <w:p>
      <w:r/>
    </w:p>
    <w:p>
      <w:r/>
    </w:p>
    <w:p>
      <w:r/>
    </w:p>
    <w:p>
      <w:r/>
    </w:p>
    <w:p>
      <w:r/>
    </w:p>
    <w:p>
      <w:pPr>
        <w:spacing w:before="300"/>
        <w:jc w:val="left"/>
        <w:rPr>
          <w:b/>
          <w:bCs/>
          <w:sz w:val="20"/>
          <w:szCs w:val="20"/>
        </w:rPr>
      </w:pPr>
      <w:r>
        <w:br w:type="page"/>
      </w:r>
      <w:r>
        <w:rPr>
          <w:b/>
          <w:bCs/>
          <w:sz w:val="20"/>
          <w:szCs w:val="20"/>
        </w:rPr>
        <w:t>Inhalte in Stichworten</w:t>
      </w:r>
    </w:p>
    <w:p>
      <w:pPr>
        <w:ind w:left="567"/>
        <w:spacing w:after="8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zum Thema Kommunikation: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8"/>
          <w:footerReference w:type="default" r:id="rId9"/>
          <w:type w:val="nextPage"/>
          <w:pgSz w:h="16840" w:w="11900"/>
          <w:pgMar w:left="1417" w:top="1304" w:right="1417" w:bottom="1020" w:header="709" w:footer="708"/>
          <w:paperSrc w:first="0" w:other="0" a="0" b="0"/>
          <w:pgNumType w:fmt="decimal"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8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17"/>
        <w:numPr>
          <w:ilvl w:val="1"/>
          <w:numId w:val="60"/>
        </w:numPr>
        <w:ind w:left="907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Grundlagen der Kommunikation</w:t>
      </w:r>
    </w:p>
    <w:p>
      <w:pPr>
        <w:pStyle w:val="para17"/>
        <w:numPr>
          <w:ilvl w:val="1"/>
          <w:numId w:val="60"/>
        </w:numPr>
        <w:ind w:left="907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Erkennen, dass durch Sprache (Schallwellen oder Schrift) keine Bedeutung übertragen werden kann. Der Empfänger erzeugt die Bedeutung, indem er die Information zu sich in Beziehung setzt.</w:t>
      </w:r>
    </w:p>
    <w:p>
      <w:pPr>
        <w:pStyle w:val="para17"/>
        <w:numPr>
          <w:ilvl w:val="1"/>
          <w:numId w:val="60"/>
        </w:numPr>
        <w:ind w:left="907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Das Konzept der ‚Inneren Landkarte‘ und wie diese unser Handeln, Bedeutung geben und bewerten beeinflusst.</w:t>
      </w:r>
    </w:p>
    <w:p>
      <w:pPr>
        <w:pStyle w:val="para17"/>
        <w:numPr>
          <w:ilvl w:val="1"/>
          <w:numId w:val="60"/>
        </w:numPr>
        <w:ind w:left="907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Physiologische Zustände und nonverbale Kommunikation erkennen.</w:t>
      </w:r>
    </w:p>
    <w:p>
      <w:pPr>
        <w:pStyle w:val="para17"/>
        <w:numPr>
          <w:ilvl w:val="1"/>
          <w:numId w:val="60"/>
        </w:numPr>
        <w:ind w:left="907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Sensibilisierung auf Verallgemeinerungen und unbewusste Interpretation, Einsatz in Gesprächen mit Mitarbeitern und Vorgesetzten</w:t>
      </w:r>
    </w:p>
    <w:p>
      <w:pPr>
        <w:pStyle w:val="para17"/>
        <w:numPr>
          <w:ilvl w:val="1"/>
          <w:numId w:val="60"/>
        </w:numPr>
        <w:ind w:left="454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Fragen und Fragetechniken</w:t>
      </w:r>
    </w:p>
    <w:p>
      <w:pPr>
        <w:pStyle w:val="para17"/>
        <w:numPr>
          <w:ilvl w:val="1"/>
          <w:numId w:val="60"/>
        </w:numPr>
        <w:ind w:left="454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Paraphrasieren und aktives Zuhören</w:t>
      </w:r>
    </w:p>
    <w:p>
      <w:pPr>
        <w:pStyle w:val="para17"/>
        <w:numPr>
          <w:ilvl w:val="1"/>
          <w:numId w:val="60"/>
        </w:numPr>
        <w:ind w:left="454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Ich-Botschaften</w:t>
      </w:r>
    </w:p>
    <w:p>
      <w:pPr>
        <w:pStyle w:val="para17"/>
        <w:numPr>
          <w:ilvl w:val="1"/>
          <w:numId w:val="60"/>
        </w:numPr>
        <w:ind w:left="454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Lösungsfokussierte Gesprächsführung</w:t>
      </w:r>
    </w:p>
    <w:p>
      <w:pPr>
        <w:pStyle w:val="para17"/>
        <w:numPr>
          <w:ilvl w:val="1"/>
          <w:numId w:val="60"/>
        </w:numPr>
        <w:ind w:left="454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Feedback</w:t>
      </w:r>
    </w:p>
    <w:p>
      <w:pPr>
        <w:pStyle w:val="para17"/>
        <w:numPr>
          <w:ilvl w:val="1"/>
          <w:numId w:val="60"/>
        </w:numPr>
        <w:ind w:left="454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Kritik (Trennung von Person und Ereignis) und Umgang mit Kritik</w:t>
      </w:r>
    </w:p>
    <w:p>
      <w:pPr>
        <w:pStyle w:val="para17"/>
        <w:numPr>
          <w:ilvl w:val="1"/>
          <w:numId w:val="60"/>
        </w:numPr>
        <w:ind w:left="454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Eine Struktur für das ‚Schlechte Botschaft Gespräch‘</w:t>
      </w:r>
    </w:p>
    <w:p>
      <w:pPr>
        <w:pStyle w:val="para17"/>
        <w:numPr>
          <w:ilvl w:val="1"/>
          <w:numId w:val="60"/>
        </w:numPr>
        <w:ind w:left="454" w:hanging="197"/>
        <w:spacing w:after="80"/>
        <w:rPr>
          <w:sz w:val="20"/>
          <w:szCs w:val="20"/>
        </w:rPr>
      </w:pPr>
      <w:r>
        <w:rPr>
          <w:sz w:val="20"/>
          <w:szCs w:val="20"/>
        </w:rPr>
        <w:t>Konflikte</w:t>
      </w:r>
    </w:p>
    <w:p>
      <w:pPr>
        <w:pStyle w:val="para17"/>
        <w:numPr>
          <w:ilvl w:val="1"/>
          <w:numId w:val="60"/>
        </w:numPr>
        <w:ind w:left="454" w:hanging="197"/>
        <w:spacing w:after="80"/>
        <w:rPr>
          <w:sz w:val="20"/>
          <w:szCs w:val="20"/>
        </w:rPr>
      </w:pPr>
      <w:r>
        <w:rPr>
          <w:sz w:val="20"/>
          <w:szCs w:val="20"/>
        </w:rPr>
        <w:t xml:space="preserve">Übungen: </w:t>
      </w:r>
    </w:p>
    <w:p>
      <w:pPr>
        <w:pStyle w:val="para17"/>
        <w:numPr>
          <w:ilvl w:val="1"/>
          <w:numId w:val="60"/>
        </w:numPr>
        <w:ind w:left="907" w:hanging="197"/>
        <w:spacing w:after="0"/>
        <w:rPr>
          <w:sz w:val="20"/>
          <w:szCs w:val="20"/>
        </w:rPr>
      </w:pPr>
      <w:r>
        <w:rPr>
          <w:sz w:val="20"/>
          <w:szCs w:val="20"/>
        </w:rPr>
        <w:t>Den eigenen Konfliktstil ermitteln</w:t>
      </w:r>
    </w:p>
    <w:p>
      <w:pPr>
        <w:pStyle w:val="para17"/>
        <w:numPr>
          <w:ilvl w:val="1"/>
          <w:numId w:val="60"/>
        </w:numPr>
        <w:ind w:left="907" w:hanging="197"/>
        <w:spacing w:after="0"/>
        <w:rPr>
          <w:sz w:val="20"/>
          <w:szCs w:val="20"/>
        </w:rPr>
      </w:pPr>
      <w:r>
        <w:rPr>
          <w:sz w:val="20"/>
          <w:szCs w:val="20"/>
        </w:rPr>
        <w:t>Überprüfung der eigenen Konfliktstrategie,</w:t>
      </w:r>
    </w:p>
    <w:p>
      <w:pPr>
        <w:pStyle w:val="para17"/>
        <w:numPr>
          <w:ilvl w:val="1"/>
          <w:numId w:val="60"/>
        </w:numPr>
        <w:ind w:left="907" w:hanging="197"/>
        <w:spacing w:after="0"/>
        <w:rPr>
          <w:sz w:val="20"/>
          <w:szCs w:val="20"/>
        </w:rPr>
      </w:pPr>
      <w:r>
        <w:rPr>
          <w:sz w:val="20"/>
          <w:szCs w:val="20"/>
        </w:rPr>
        <w:t>Ihre Strategie zur Konfliktprävention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continuous"/>
          <w:pgSz w:h="16840" w:w="11900"/>
          <w:pgMar w:left="1417" w:top="1304" w:right="1417" w:bottom="1020"/>
          <w:paperSrc w:first="0" w:other="0" a="0" b="0"/>
          <w:pgNumType w:fmt="decimal"/>
          <w:cols w:num="2" w:equalWidth="1" w:space="340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ind w:left="567"/>
        <w:spacing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0"/>
      <w:footerReference w:type="default" r:id="rId11"/>
      <w:type w:val="nextPage"/>
      <w:pgSz w:h="16840" w:w="11900"/>
      <w:pgMar w:left="1417" w:top="1304" w:right="1417" w:bottom="1020" w:header="709" w:footer="708"/>
      <w:paperSrc w:first="0" w:other="0" a="0" b="0"/>
      <w:pgNumType w:fmt="decimal"/>
      <w:tmGutter w:val="3"/>
      <w:mirrorMargins w:val="0"/>
      <w:tmSection w:h="-1">
        <w:tmHeader w:id="0" w:h="0" edge="709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tabs defTabSz="708">
        <w:tab w:val="center" w:pos="4535" w:leader="none"/>
        <w:tab w:val="right" w:pos="9071" w:leader="none"/>
      </w:tabs>
    </w:pPr>
    <w:r>
      <w:tab/>
    </w:r>
    <w:r>
      <w:fldChar w:fldCharType="begin"/>
      <w:instrText xml:space="preserve"> PAGE </w:instrText>
      <w:fldChar w:fldCharType="separate"/>
      <w:t>1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tabs defTabSz="708">
        <w:tab w:val="center" w:pos="4535" w:leader="none"/>
        <w:tab w:val="right" w:pos="9071" w:leader="none"/>
      </w:tabs>
    </w:pPr>
    <w:r>
      <w:tab/>
    </w:r>
    <w:r>
      <w:fldChar w:fldCharType="begin"/>
      <w:instrText xml:space="preserve"> PAGE </w:instrText>
      <w:fldChar w:fldCharType="separate"/>
      <w:t>3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/>
      <w:jc w:val="right"/>
      <w:tabs defTabSz="708">
        <w:tab w:val="center" w:pos="2494" w:leader="none"/>
      </w:tabs>
      <w:rPr>
        <w:sz w:val="22"/>
        <w:szCs w:val="22"/>
      </w:rPr>
    </w:pPr>
    <w:r>
      <w:rPr>
        <w:sz w:val="22"/>
        <w:szCs w:val="22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/>
      <w:jc w:val="right"/>
      <w:tabs defTabSz="708">
        <w:tab w:val="center" w:pos="2494" w:leader="none"/>
      </w:tabs>
      <w:rPr>
        <w:sz w:val="22"/>
        <w:szCs w:val="22"/>
      </w:rPr>
    </w:pPr>
    <w:r>
      <w:rPr>
        <w:sz w:val="22"/>
        <w:szCs w:val="2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</w:abstractNum>
  <w:abstractNum w:abstractNumId="63">
    <w:multiLevelType w:val="singleLevel"/>
    <w:name w:val="Bullet 63_1"/>
    <w:lvl w:ilvl="0">
      <w:start w:val="1"/>
      <w:numFmt w:val="decimal"/>
      <w:pStyle w:val="para29"/>
      <w:suff w:val="tab"/>
      <w:lvlText w:val="%1."/>
      <w:lvlJc w:val="left"/>
      <w:pPr>
        <w:ind w:left="0" w:hanging="0"/>
      </w:pPr>
    </w:lvl>
  </w:abstractNum>
  <w:abstractNum w:abstractNumId="64">
    <w:multiLevelType w:val="singleLevel"/>
    <w:name w:val="Bullet 64"/>
    <w:lvl w:ilvl="0">
      <w:numFmt w:val="bullet"/>
      <w:suff w:val="tab"/>
      <w:lvlText w:val="o"/>
      <w:lvlJc w:val="left"/>
      <w:pPr>
        <w:ind w:left="0" w:hanging="0"/>
      </w:pPr>
      <w:rPr>
        <w:rFonts w:ascii="Courier New" w:hAnsi="Courier New"/>
      </w:rPr>
    </w:lvl>
  </w:abstractNum>
  <w:abstractNum w:abstractNumId="65">
    <w:multiLevelType w:val="singleLevel"/>
    <w:name w:val="Bullet 65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6">
    <w:multiLevelType w:val="singleLevel"/>
    <w:name w:val="Bullet 66"/>
    <w:lvl w:ilvl="0">
      <w:numFmt w:val="bullet"/>
      <w:suff w:val="tab"/>
      <w:lvlText w:val="o"/>
      <w:lvlJc w:val="left"/>
      <w:pPr>
        <w:ind w:left="0" w:hanging="0"/>
      </w:pPr>
      <w:rPr>
        <w:rFonts w:ascii="Courier New" w:hAnsi="Courier New" w:cs="Courier New"/>
      </w:rPr>
    </w:lvl>
  </w:abstractNum>
  <w:abstractNum w:abstractNumId="67">
    <w:multiLevelType w:val="singleLevel"/>
    <w:name w:val="Bullet 6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8">
    <w:multiLevelType w:val="singleLevel"/>
    <w:name w:val="Bullet 6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18"/>
      <w:tmLastPosIdx w:val="0"/>
    </w:tmLastPosCaret>
    <w:tmLastPosAnchor>
      <w:tmLastPosPgfIdx w:val="14"/>
      <w:tmLastPosIdx w:val="0"/>
    </w:tmLastPosAnchor>
    <w:tmLastPosTblRect w:left="0" w:top="0" w:right="0" w:bottom="0"/>
  </w:tmLastPos>
  <w:tmAppRevision w:date="1709019421" w:val="1210" w:fileVer="342" w:fileVer64="64" w:fileVerOS="1">
  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228</cp:revision>
  <cp:lastPrinted>2024-02-27T07:12:57Z</cp:lastPrinted>
  <dcterms:created xsi:type="dcterms:W3CDTF">2024-02-24T07:41:50Z</dcterms:created>
  <dcterms:modified xsi:type="dcterms:W3CDTF">2024-02-27T07:37:01Z</dcterms:modified>
</cp:coreProperties>
</file>