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outlineLv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vanish w:val="1"/>
        </w:rPr>
      </w:pPr>
      <w:r>
        <w:rPr>
          <w:vanish w:val="1"/>
        </w:rPr>
      </w:r>
    </w:p>
    <w:p>
      <w:pPr>
        <w:tabs defTabSz="708">
          <w:tab w:val="right" w:pos="5102" w:leader="none"/>
        </w:tabs>
      </w:pPr>
      <w:r>
        <w:fldChar w:fldCharType="begin"/>
      </w:r>
      <w:r>
        <w:instrText xml:space="preserve"> TOC \o "1 - 9" \z </w:instrText>
      </w:r>
      <w:r>
        <w:fldChar w:fldCharType="separate"/>
      </w:r>
      <w:r>
        <w:rPr>
          <w:hyperlink w:anchor="_TOC000006"/>
        </w:rPr>
        <w:t>A. AGB Kontrolle</w:t>
        <w:tab/>
        <w:t>2</w:t>
      </w:r>
    </w:p>
    <w:p>
      <w:pPr>
        <w:tabs defTabSz="708">
          <w:tab w:val="right" w:pos="5102" w:leader="none"/>
        </w:tabs>
      </w:pPr>
      <w:r>
        <w:rPr>
          <w:hyperlink w:anchor="_TOC000007"/>
        </w:rPr>
        <w:t>I. § 309 BGB</w:t>
        <w:tab/>
        <w:t>2</w:t>
      </w:r>
    </w:p>
    <w:p>
      <w:pPr>
        <w:tabs defTabSz="708">
          <w:tab w:val="right" w:pos="5102" w:leader="none"/>
        </w:tabs>
      </w:pPr>
      <w:r>
        <w:rPr>
          <w:hyperlink w:anchor="_TOC000008"/>
        </w:rPr>
        <w:t>II. § 308 BGB</w:t>
        <w:tab/>
        <w:t>2</w:t>
      </w:r>
    </w:p>
    <w:p>
      <w:pPr>
        <w:tabs defTabSz="708">
          <w:tab w:val="right" w:pos="5102" w:leader="none"/>
        </w:tabs>
      </w:pPr>
      <w:r>
        <w:rPr>
          <w:hyperlink w:anchor="_TOC000009"/>
        </w:rPr>
        <w:t>III. § 307 I, II BGB</w:t>
        <w:tab/>
        <w:t>2</w:t>
      </w:r>
    </w:p>
    <w:p>
      <w:pPr>
        <w:tabs defTabSz="708">
          <w:tab w:val="right" w:pos="5102" w:leader="none"/>
        </w:tabs>
      </w:pPr>
      <w:r>
        <w:rPr>
          <w:hyperlink w:anchor="_TOC000010"/>
        </w:rPr>
        <w:t>a) § 307 I BGB</w:t>
        <w:tab/>
        <w:t>2</w:t>
      </w:r>
    </w:p>
    <w:p>
      <w:r>
        <w:fldChar w:fldCharType="end"/>
      </w:r>
      <w:r/>
    </w:p>
    <w:p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br w:type="page"/>
      </w:r>
      <w:r/>
    </w:p>
    <w:p>
      <w:pPr>
        <w:outlineLv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vanish w:val="1"/>
        </w:rPr>
      </w:pPr>
      <w:bookmarkStart w:id="0" w:name="_TOC000006"/>
      <w:r>
        <w:rPr>
          <w:vanish w:val="1"/>
        </w:rPr>
        <w:t>A. AGB Kontrolle</w:t>
      </w:r>
      <w:bookmarkEnd w:id="0"/>
      <w:r>
        <w:rPr>
          <w:vanish w:val="1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A. Die Inhaltskontrolle der AGB bemisst sich an den §§ 309, 308 sowie 307 BGB [...]</w:t>
      </w:r>
    </w:p>
    <w:p>
      <w:pPr>
        <w:outlineLvl w:val="1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bookmarkStart w:id="1" w:name="_TOC000007"/>
      <w:r/>
      <w:r>
        <w:rPr>
          <w:vanish w:val="1"/>
        </w:rPr>
        <w:t>I. § 309 BGB</w:t>
      </w:r>
      <w:bookmarkEnd w:id="1"/>
      <w:r>
        <w:rPr>
          <w:vanish w:val="1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I. Zunächst sind die Anforderungen des § 309 Nr 1 BGB zu prüfen [...]</w:t>
      </w:r>
    </w:p>
    <w:p>
      <w:pPr>
        <w:outlineLvl w:val="1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bookmarkStart w:id="2" w:name="_TOC000008"/>
      <w:r/>
      <w:r>
        <w:rPr>
          <w:vanish w:val="1"/>
        </w:rPr>
        <w:t>II. § 308 BGB</w:t>
      </w:r>
      <w:bookmarkEnd w:id="2"/>
      <w:r>
        <w:rPr>
          <w:vanish w:val="1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II. Aus dem zuvor gesagten ergibt sich eine ähnliche Prüfung des § 308 BGB [...]</w:t>
      </w:r>
    </w:p>
    <w:p>
      <w:pPr>
        <w:outlineLvl w:val="1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vanish w:val="1"/>
        </w:rPr>
      </w:pPr>
      <w:bookmarkStart w:id="3" w:name="_TOC000009"/>
      <w:r>
        <w:rPr>
          <w:vanish w:val="1"/>
        </w:rPr>
        <w:t>III. § 307 I, II BGB</w:t>
      </w:r>
      <w:bookmarkEnd w:id="3"/>
      <w:r>
        <w:rPr>
          <w:vanish w:val="1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vanish w:val="1"/>
        </w:rPr>
      </w:pPr>
      <w:r>
        <w:t>III. Zuletzt verbleibt die Inhaltskontrolle nach § 307 I, II BGB [...]</w:t>
      </w:r>
    </w:p>
    <w:p>
      <w:pPr>
        <w:outlineLvl w:val="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vanish w:val="1"/>
        </w:rPr>
      </w:pPr>
      <w:bookmarkStart w:id="4" w:name="_TOC000010"/>
      <w:r>
        <w:rPr>
          <w:vanish w:val="1"/>
        </w:rPr>
        <w:t>a) § 307 I BGB</w:t>
      </w:r>
      <w:bookmarkEnd w:id="4"/>
      <w:r>
        <w:rPr>
          <w:vanish w:val="1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vanish w:val="1"/>
        </w:rPr>
      </w:pPr>
      <w:r>
        <w:t>a) Fraglich ist ob dem Transparenzgebot des § 307 I BGB Rechnung getragen wurde [...]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08600157" w:val="1203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0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7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/>
      <w:sz w:val="24"/>
      <w:szCs w:val="24"/>
    </w:rPr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toc 2"/>
    <w:qFormat/>
    <w:basedOn w:val="para0"/>
    <w:next w:val="para0"/>
    <w:pPr>
      <w:ind w:left="283"/>
    </w:pPr>
  </w:style>
  <w:style w:type="paragraph" w:styleId="para5">
    <w:name w:val="toc 3"/>
    <w:qFormat/>
    <w:basedOn w:val="para0"/>
    <w:next w:val="para0"/>
    <w:pPr>
      <w:ind w:left="566"/>
    </w:pPr>
  </w:style>
  <w:style w:type="paragraph" w:styleId="para6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/>
      <w:sz w:val="24"/>
      <w:szCs w:val="24"/>
    </w:rPr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toc 2"/>
    <w:qFormat/>
    <w:basedOn w:val="para0"/>
    <w:next w:val="para0"/>
    <w:pPr>
      <w:ind w:left="283"/>
    </w:pPr>
  </w:style>
  <w:style w:type="paragraph" w:styleId="para5">
    <w:name w:val="toc 3"/>
    <w:qFormat/>
    <w:basedOn w:val="para0"/>
    <w:next w:val="para0"/>
    <w:pPr>
      <w:ind w:left="566"/>
    </w:pPr>
  </w:style>
  <w:style w:type="paragraph" w:styleId="para6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rev.1203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 Bailly</cp:lastModifiedBy>
  <cp:revision>1</cp:revision>
  <dcterms:created xsi:type="dcterms:W3CDTF">2024-02-22T10:59:15Z</dcterms:created>
  <dcterms:modified xsi:type="dcterms:W3CDTF">2024-02-22T11:09:17Z</dcterms:modified>
</cp:coreProperties>
</file>