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  <w:numPr>
          <w:ilvl w:val="0"/>
          <w:numId w:val="1"/>
        </w:numPr>
        <w:ind w:left="567" w:hanging="567"/>
      </w:pPr>
      <w:bookmarkStart w:id="0" w:name="_TOC000002"/>
      <w:r>
        <w:t>Test Ebene 1</w:t>
      </w:r>
      <w:bookmarkEnd w:id="0"/>
      <w:r>
        <w:t xml:space="preserve"> Auf den nächsten Seiten stellen wir Ihnen die einzelnen Komponenten der Benutzeroberfläche von TextMaker vor</w:t>
      </w:r>
    </w:p>
    <w:p>
      <w:pPr>
        <w:pStyle w:val="para2"/>
        <w:numPr>
          <w:ilvl w:val="1"/>
          <w:numId w:val="1"/>
        </w:numPr>
        <w:ind w:left="567" w:hanging="567"/>
      </w:pPr>
      <w:bookmarkStart w:id="1" w:name="_TOC000003"/>
      <w:r>
        <w:t>Test Ebene 2</w:t>
      </w:r>
      <w:bookmarkEnd w:id="1"/>
      <w:r>
        <w:t xml:space="preserve"> Auf den nächsten Seiten stellen wir Ihnen die einzelnen Komponenten der Benutzeroberfläche von TextMaker vor</w:t>
      </w:r>
    </w:p>
    <w:p>
      <w:pPr>
        <w:pStyle w:val="para3"/>
        <w:numPr>
          <w:ilvl w:val="2"/>
          <w:numId w:val="1"/>
        </w:numPr>
        <w:ind w:left="397" w:hanging="397"/>
      </w:pPr>
      <w:bookmarkStart w:id="2" w:name="_TOC000004"/>
      <w:r>
        <w:t>Test Ebene 3</w:t>
      </w:r>
      <w:bookmarkEnd w:id="2"/>
      <w:r>
        <w:t xml:space="preserve"> Auf den nächsten Seiten stellen wir Ihnen die einzelnen Komponenten der Benutzeroberfläche von TextMaker vor</w:t>
      </w:r>
    </w:p>
    <w:p>
      <w:pPr>
        <w:pStyle w:val="para5"/>
        <w:numPr>
          <w:ilvl w:val="3"/>
          <w:numId w:val="1"/>
        </w:numPr>
        <w:ind w:left="397" w:hanging="397"/>
      </w:pPr>
      <w:bookmarkStart w:id="3" w:name="_TOC000005"/>
      <w:r>
        <w:t>Test Ebene 4</w:t>
      </w:r>
      <w:bookmarkEnd w:id="3"/>
      <w:r>
        <w:t xml:space="preserve"> Auf den nächsten Seiten stellen wir Ihnen die einzelnen Komponenten der Benutzeroberfläche von TextMaker vor</w:t>
      </w:r>
    </w:p>
    <w:p>
      <w:pPr>
        <w:pStyle w:val="para6"/>
        <w:numPr>
          <w:ilvl w:val="4"/>
          <w:numId w:val="1"/>
        </w:numPr>
        <w:ind w:left="397" w:hanging="397"/>
      </w:pPr>
      <w:bookmarkStart w:id="4" w:name="_TOC000006"/>
      <w:r>
        <w:t>Test Ebene 5</w:t>
      </w:r>
      <w:bookmarkEnd w:id="4"/>
      <w:r>
        <w:t xml:space="preserve"> Auf den nächsten Seiten stellen wir Ihnen die einzelnen Komponenten der Benutzeroberfläche von TextMaker vor</w:t>
      </w:r>
    </w:p>
    <w:p>
      <w:pPr>
        <w:pStyle w:val="para7"/>
        <w:numPr>
          <w:ilvl w:val="5"/>
          <w:numId w:val="1"/>
        </w:numPr>
        <w:ind w:left="454" w:hanging="454"/>
      </w:pPr>
      <w:bookmarkStart w:id="5" w:name="_TOC000007"/>
      <w:r>
        <w:t>Test Ebene 6</w:t>
      </w:r>
      <w:bookmarkEnd w:id="5"/>
      <w:r>
        <w:t xml:space="preserve"> Auf den nächsten Seiten stellen wir Ihnen die einzelnen Komponenten der Benutzeroberfläche von TextMaker vor</w:t>
      </w:r>
    </w:p>
    <w:p>
      <w:r>
        <w:t>Tipp: Die Benutzeroberfläche lässt sich jederzeit zwischen Ribbon und Klassischen Menüs umschalten. Rufen Sie dazu im Ribbon den Befehl Datei | Einstellungen auf (bei klassischen Menüs Weiteres &gt; Einstellungen). Auf der Karteikarte Aussehen klicken Sie auf die Schaltfläche Benutzeroberfläche.</w:t>
      </w:r>
    </w:p>
    <w:p>
      <w:pPr>
        <w:pStyle w:val="para8"/>
        <w:numPr>
          <w:ilvl w:val="6"/>
          <w:numId w:val="1"/>
        </w:numPr>
        <w:ind w:left="397" w:hanging="397"/>
      </w:pPr>
      <w:bookmarkStart w:id="6" w:name="_TOC000008"/>
      <w:r>
        <w:t>Test Ebene 7</w:t>
      </w:r>
      <w:bookmarkEnd w:id="6"/>
      <w:r>
        <w:t xml:space="preserve"> Auf den nächsten Seiten stellen wir Ihnen die einzelnen Komponenten der Benutzeroberfläche von TextMaker vor</w:t>
      </w:r>
    </w:p>
    <w:p>
      <w:r>
        <w:t>Tipp: Die Benutzeroberfläche lässt sich jederzeit zwischen Ribbon und Klassischen Menüs umschalten. Rufen Sie dazu im Ribbon den Befehl Datei | Einstellungen auf (bei klassischen Menüs Weiteres &gt; Einstellungen). Auf der Karteikarte Aussehen klicken Sie auf die Schaltfläche Benutzeroberfläche.</w:t>
      </w:r>
    </w:p>
    <w:p>
      <w:pPr>
        <w:pStyle w:val="para8"/>
        <w:numPr>
          <w:ilvl w:val="6"/>
          <w:numId w:val="1"/>
        </w:numPr>
        <w:ind w:left="397" w:hanging="397"/>
      </w:pPr>
      <w:bookmarkStart w:id="7" w:name="_TOC000009"/>
      <w:r>
        <w:t>Ebene 7 2. Vorkommen</w:t>
      </w:r>
      <w:bookmarkEnd w:id="7"/>
      <w:r>
        <w:t xml:space="preserve"> Auf den nächsten Seiten stellen wir Ihnen die einzelnen Komponenten der Benutzeroberfläche von TextMaker vor</w:t>
      </w:r>
    </w:p>
    <w:p>
      <w:r>
        <w:t>Tipp: Die Benutzeroberfläche lässt sich jederzeit zwischen Ribbon und Klassischen Menüs umschalten. Rufen Sie dazu im Ribbon den Befehl Datei | Einstellungen auf (bei klassischen Menüs Weiteres &gt; Einstellungen). Auf der Karteikarte Aussehen klicken Sie auf die Schaltfläche Benutzeroberfläche.</w:t>
      </w:r>
    </w:p>
    <w:p>
      <w:pPr>
        <w:pStyle w:val="para8"/>
        <w:numPr>
          <w:ilvl w:val="6"/>
          <w:numId w:val="1"/>
        </w:numPr>
        <w:ind w:left="397" w:hanging="397"/>
      </w:pPr>
      <w:bookmarkStart w:id="8" w:name="_TOC000010"/>
      <w:r>
        <w:t>Ebene 7 3. Vorkommen</w:t>
      </w:r>
      <w:bookmarkEnd w:id="8"/>
      <w:r/>
    </w:p>
    <w:p>
      <w:r>
        <w:t>Tipp: Die Benutzeroberfläche lässt sich jederzeit zwischen Ribbon und Klassischen Menüs umschalten. Rufen Sie dazu im Ribbon den Befehl Datei | Einstellungen auf (bei klassischen Menüs Weiteres &gt; Einstellungen). Auf der Karteikarte Aussehen klicken Sie auf die Schaltfläche Benutzeroberfläche.</w:t>
      </w:r>
    </w:p>
    <w:p>
      <w:pPr>
        <w:pStyle w:val="para8"/>
        <w:numPr>
          <w:ilvl w:val="6"/>
          <w:numId w:val="1"/>
        </w:numPr>
        <w:ind w:left="397" w:hanging="397"/>
      </w:pPr>
      <w:bookmarkStart w:id="9" w:name="_TOC000017"/>
      <w:r>
        <w:t>Ebene 7 4. Vorkommen</w:t>
      </w:r>
      <w:bookmarkEnd w:id="9"/>
      <w:r/>
    </w:p>
    <w:p>
      <w:r>
        <w:t xml:space="preserve">Tipp: Die Benutzeroberfläche lässt sich jederzeit zwischen Ribbon und Klassischen Menüs umschalten. </w:t>
      </w:r>
    </w:p>
    <w:p>
      <w:pPr>
        <w:pStyle w:val="para7"/>
        <w:numPr>
          <w:ilvl w:val="5"/>
          <w:numId w:val="1"/>
        </w:numPr>
        <w:ind w:left="454" w:hanging="454"/>
      </w:pPr>
      <w:bookmarkStart w:id="10" w:name="_TOC000011"/>
      <w:r>
        <w:t>Ebene 6 2. Vorkommen</w:t>
      </w:r>
      <w:bookmarkEnd w:id="10"/>
      <w:r>
        <w:t xml:space="preserve"> Auf den nächsten Seiten stellen wir Ihnen die einzelnen Komponenten der Benutzeroberfläche von TextMaker vor</w:t>
      </w:r>
    </w:p>
    <w:p>
      <w:r>
        <w:t>Tipp: Die Benutzeroberfläche lässt sich jederzeit zwischen Ribbon und Klassischen Menüs umschalten. Rufen Sie dazu im Ribbon den Befehl Datei | Einstellungen auf (bei klassischen Menüs Weiteres &gt; Einstellungen). Auf der Karteikarte Aussehen klicken Sie auf die Schaltfläche Benutzeroberfläche.</w:t>
      </w:r>
    </w:p>
    <w:p>
      <w:pPr>
        <w:pStyle w:val="para6"/>
        <w:numPr>
          <w:ilvl w:val="4"/>
          <w:numId w:val="1"/>
        </w:numPr>
        <w:ind w:left="397" w:hanging="397"/>
      </w:pPr>
      <w:bookmarkStart w:id="11" w:name="_TOC000012"/>
      <w:r>
        <w:t>Ebene 5 2. Vorkommen</w:t>
      </w:r>
      <w:bookmarkEnd w:id="11"/>
      <w:r>
        <w:t xml:space="preserve"> Auf den nächsten Seiten stellen wir Ihnen die einzelnen Komponenten der Benutzeroberfläche von TextMaker vor</w:t>
      </w:r>
    </w:p>
    <w:p>
      <w:r>
        <w:t>Tipp: Die Benutzeroberfläche lässt sich jederzeit zwischen Ribbon und Klassischen Menüs umschalten. Rufen Sie dazu im Ribbon den Befehl Datei | Einstellungen auf (bei klassischen Menüs Weiteres &gt; Einstellungen). Auf der Karteikarte Aussehen klicken Sie auf die Schaltfläche Benutzeroberfläche.</w:t>
      </w:r>
    </w:p>
    <w:p>
      <w:pPr>
        <w:pStyle w:val="para5"/>
        <w:numPr>
          <w:ilvl w:val="3"/>
          <w:numId w:val="1"/>
        </w:numPr>
        <w:ind w:left="397" w:hanging="397"/>
      </w:pPr>
      <w:bookmarkStart w:id="12" w:name="_TOC000013"/>
      <w:r>
        <w:t>Ebene 4 2. Vorkommen</w:t>
      </w:r>
      <w:bookmarkEnd w:id="12"/>
      <w:r>
        <w:t xml:space="preserve"> Auf den nächsten Seiten stellen wir Ihnen die einzelnen Komponenten der Benutzeroberfläche von TextMaker vor</w:t>
      </w:r>
    </w:p>
    <w:p>
      <w:r>
        <w:t>Tipp: Die Benutzeroberfläche lässt sich jederzeit zwischen Ribbon und Klassischen Menüs umschalten. Rufen Sie dazu im Ribbon den Befehl Datei | Einstellungen auf (bei klassischen Menüs Weiteres &gt; Einstellungen). Auf der Karteikarte Aussehen klicken Sie auf die Schaltfläche Benutzeroberfläche.</w:t>
      </w:r>
    </w:p>
    <w:p>
      <w:pPr>
        <w:pStyle w:val="para8"/>
        <w:numPr>
          <w:ilvl w:val="6"/>
          <w:numId w:val="1"/>
        </w:numPr>
        <w:ind w:left="397" w:hanging="397"/>
      </w:pPr>
      <w:bookmarkStart w:id="13" w:name="_TOC000019"/>
      <w:r>
        <w:t>Ebene 7; selbst eingefügt, passt nicht in die Gliederungfsreiehenfolge bezüglich der Ebene</w:t>
      </w:r>
      <w:bookmarkEnd w:id="13"/>
      <w:r/>
    </w:p>
    <w:p>
      <w:pPr>
        <w:pStyle w:val="para3"/>
        <w:numPr>
          <w:ilvl w:val="2"/>
          <w:numId w:val="1"/>
        </w:numPr>
        <w:ind w:left="397" w:hanging="397"/>
      </w:pPr>
      <w:bookmarkStart w:id="14" w:name="_TOC000014"/>
      <w:r>
        <w:t>Ebene 3 2. Vorkommen</w:t>
      </w:r>
      <w:bookmarkEnd w:id="14"/>
      <w:r>
        <w:t xml:space="preserve"> Auf den nächsten Seiten stellen wir Ihnen die einzelnen Komponenten der Benutzeroberfläche von TextMaker vor</w:t>
      </w:r>
    </w:p>
    <w:p>
      <w:r>
        <w:t>Tipp: Die Benutzeroberfläche lässt sich jederzeit zwischen Ribbon und Klassischen Menüs umschalten. Rufen Sie dazu im Ribbon den Befehl Datei | Einstellungen auf (bei klassischen Menüs Weiteres &gt; Einstellungen). Auf der Karteikarte Aussehen klicken Sie auf die Schaltfläche Benutzeroberfläche.</w:t>
      </w:r>
    </w:p>
    <w:p>
      <w:pPr>
        <w:pStyle w:val="para2"/>
        <w:numPr>
          <w:ilvl w:val="1"/>
          <w:numId w:val="1"/>
        </w:numPr>
        <w:ind w:left="567" w:hanging="567"/>
      </w:pPr>
      <w:bookmarkStart w:id="15" w:name="_TOC000015"/>
      <w:r>
        <w:t>Ebene 2 2. Vorkommen</w:t>
      </w:r>
      <w:bookmarkEnd w:id="15"/>
      <w:r>
        <w:t xml:space="preserve"> Auf den nächsten Seiten stellen wir Ihnen die einzelnen Komponenten der Benutzeroberfläche von TextMaker vor</w:t>
      </w:r>
    </w:p>
    <w:p>
      <w:r>
        <w:t>Tipp: Die Benutzeroberfläche lässt sich jederzeit zwischen Ribbon und Klassischen Menüs umschalten. Rufen Sie dazu im Ribbon den Befehl Datei | Einstellungen auf (bei klassischen Menüs Weiteres &gt; Einstellungen). Auf der Karteikarte Aussehen klicken Sie auf die Schaltfläche Benutzeroberfläche.</w:t>
      </w:r>
    </w:p>
    <w:p>
      <w:pPr>
        <w:pStyle w:val="para2"/>
        <w:numPr>
          <w:ilvl w:val="1"/>
          <w:numId w:val="1"/>
        </w:numPr>
        <w:ind w:left="567" w:hanging="567"/>
      </w:pPr>
      <w:bookmarkStart w:id="16" w:name="_TOC000018"/>
      <w:r>
        <w:t>Ebene 3 3. Vorkommen</w:t>
      </w:r>
      <w:bookmarkEnd w:id="16"/>
      <w:r/>
    </w:p>
    <w:p>
      <w:r>
        <w:t>Tipp: Die Benutzeroberfläche lässt sich jederzeit zwischen Ribbon und Klassischen Menüs umschalten. Rufen Sie dazu im Ribbon den Befehl Datei | Einstellungen auf (bei klassischen Menüs Weiteres &gt; Einstellungen). Auf der Karteikarte Aussehen klicken Sie auf die Schaltfläche Benutzeroberfläche.</w:t>
      </w:r>
    </w:p>
    <w:p>
      <w:pPr>
        <w:pStyle w:val="para1"/>
        <w:numPr>
          <w:ilvl w:val="0"/>
          <w:numId w:val="1"/>
        </w:numPr>
        <w:ind w:left="567" w:hanging="567"/>
      </w:pPr>
      <w:bookmarkStart w:id="17" w:name="_TOC000016"/>
      <w:r>
        <w:t>Ebene 1 2. Vorkommen</w:t>
      </w:r>
      <w:bookmarkEnd w:id="17"/>
      <w:r>
        <w:t xml:space="preserve"> Auf den nächsten Seiten stellen wir Ihnen die einzelnen Komponenten der Benutzeroberfläche von TextMaker vor</w:t>
      </w:r>
    </w:p>
    <w:p>
      <w:r>
        <w:t xml:space="preserve">Tipp: Die Benutzeroberfläche lässt sich jederzeit zwischen Ribbon und Klassischen Menüs umschalten. Rufen Sie dazu im Ribbon den Befehl Datei | Einstellungen auf (bei klassischen Menüs Weiteres &gt; Einstellungen). </w:t>
      </w:r>
    </w:p>
    <w:p>
      <w:r/>
    </w:p>
    <w:p>
      <w:r/>
    </w:p>
    <w:p>
      <w:pPr>
        <w:pStyle w:val="para12"/>
      </w:pPr>
      <w:r>
        <w:br w:type="page"/>
      </w:r>
      <w:r>
        <w:fldChar w:fldCharType="begin"/>
      </w:r>
      <w:r>
        <w:instrText xml:space="preserve"> TOC \o "1 - 9" \z </w:instrText>
      </w:r>
      <w:r>
        <w:fldChar w:fldCharType="separate"/>
      </w:r>
      <w:r>
        <w:rPr>
          <w:hyperlink w:anchor="_TOC000002"/>
        </w:rPr>
        <w:t>A</w:t>
        <w:tab/>
        <w:t xml:space="preserve"> Test Ebene 1 Auf den nächsten Seiten stellen wir Ihnen die einzelnen Komponenten der Benutzeroberfläche von TextMaker vor</w:t>
        <w:tab/>
        <w:t>1</w:t>
      </w:r>
    </w:p>
    <w:p>
      <w:pPr>
        <w:pStyle w:val="para13"/>
      </w:pPr>
      <w:r>
        <w:rPr>
          <w:hyperlink w:anchor="_TOC000003"/>
        </w:rPr>
        <w:t>I</w:t>
        <w:tab/>
        <w:t xml:space="preserve"> Test Ebene 2 Auf den nächsten Seiten stellen wir Ihnen die einzelnen Komponenten der Benutzeroberfläche von TextMaker vor</w:t>
        <w:tab/>
        <w:t>1</w:t>
      </w:r>
    </w:p>
    <w:p>
      <w:pPr>
        <w:pStyle w:val="para14"/>
      </w:pPr>
      <w:r>
        <w:rPr>
          <w:hyperlink w:anchor="_TOC000004"/>
        </w:rPr>
        <w:t>1.</w:t>
        <w:tab/>
        <w:t xml:space="preserve"> Test Ebene 3 Auf den nächsten Seiten stellen wir Ihnen die einzelnen Komponenten der Benutzeroberfläche von TextMaker vor</w:t>
        <w:tab/>
        <w:t>1</w:t>
      </w:r>
    </w:p>
    <w:p>
      <w:pPr>
        <w:pStyle w:val="para15"/>
      </w:pPr>
      <w:r>
        <w:rPr>
          <w:hyperlink w:anchor="_TOC000005"/>
        </w:rPr>
        <w:t>a)</w:t>
        <w:tab/>
        <w:t xml:space="preserve"> Test Ebene 4 Auf den nächsten Seiten stellen wir Ihnen die einzelnen Komponenten der Benutzeroberfläche von TextMaker vor</w:t>
        <w:tab/>
        <w:t>1</w:t>
      </w:r>
    </w:p>
    <w:p>
      <w:pPr>
        <w:pStyle w:val="para16"/>
      </w:pPr>
      <w:r>
        <w:rPr>
          <w:hyperlink w:anchor="_TOC000006"/>
        </w:rPr>
        <w:t>aa)</w:t>
        <w:tab/>
        <w:t xml:space="preserve"> Test Ebene 5 Auf den nächsten Seiten stellen wir Ihnen die einzelnen Komponenten der Benutzeroberfläche von TextMaker vor</w:t>
        <w:tab/>
        <w:t>1</w:t>
      </w:r>
    </w:p>
    <w:p>
      <w:pPr>
        <w:pStyle w:val="para17"/>
      </w:pPr>
      <w:r>
        <w:rPr>
          <w:hyperlink w:anchor="_TOC000007"/>
        </w:rPr>
        <w:t>(1)</w:t>
        <w:tab/>
        <w:t xml:space="preserve"> Test Ebene 6 Auf den nächsten Seiten stellen wir Ihnen die einzelnen Komponenten der Benutzeroberfläche von TextMaker vor</w:t>
        <w:tab/>
        <w:t>1</w:t>
      </w:r>
    </w:p>
    <w:p>
      <w:pPr>
        <w:pStyle w:val="para27"/>
      </w:pPr>
      <w:r>
        <w:rPr>
          <w:hyperlink w:anchor="_TOC000008"/>
        </w:rPr>
        <w:t>(a)</w:t>
        <w:tab/>
        <w:t xml:space="preserve"> Test Ebene 7 Auf den nächsten Seiten stellen wir Ihnen die einzelnen Komponenten der Benutzeroberfläche von TextMaker vor</w:t>
        <w:tab/>
        <w:t>1</w:t>
      </w:r>
    </w:p>
    <w:p>
      <w:pPr>
        <w:pStyle w:val="para27"/>
      </w:pPr>
      <w:r>
        <w:rPr>
          <w:hyperlink w:anchor="_TOC000009"/>
        </w:rPr>
        <w:t>(b)</w:t>
        <w:tab/>
        <w:t xml:space="preserve"> Ebene 7 2. Vorkommen Auf den nächsten Seiten stellen wir Ihnen die einzelnen Komponenten der Benutzeroberfläche von TextMaker vor</w:t>
        <w:tab/>
        <w:t>1</w:t>
      </w:r>
    </w:p>
    <w:p>
      <w:pPr>
        <w:pStyle w:val="para27"/>
      </w:pPr>
      <w:r>
        <w:rPr>
          <w:hyperlink w:anchor="_TOC000010"/>
        </w:rPr>
        <w:t>(c)</w:t>
        <w:tab/>
        <w:t xml:space="preserve"> Ebene 7 3. Vorkommen</w:t>
        <w:tab/>
        <w:t>1</w:t>
      </w:r>
    </w:p>
    <w:p>
      <w:pPr>
        <w:pStyle w:val="para27"/>
      </w:pPr>
      <w:r>
        <w:rPr>
          <w:hyperlink w:anchor="_TOC000017"/>
        </w:rPr>
        <w:t>(d)</w:t>
        <w:tab/>
        <w:t xml:space="preserve"> Ebene 7 4. Vorkommen</w:t>
        <w:tab/>
        <w:t>1</w:t>
      </w:r>
    </w:p>
    <w:p>
      <w:pPr>
        <w:pStyle w:val="para17"/>
      </w:pPr>
      <w:r>
        <w:rPr>
          <w:hyperlink w:anchor="_TOC000011"/>
        </w:rPr>
        <w:t>(2)</w:t>
        <w:tab/>
        <w:t xml:space="preserve"> Ebene 6 2. Vorkommen Auf den nächsten Seiten stellen wir Ihnen die einzelnen Komponenten der Benutzeroberfläche von TextMaker vor</w:t>
        <w:tab/>
        <w:t>1</w:t>
      </w:r>
    </w:p>
    <w:p>
      <w:pPr>
        <w:pStyle w:val="para16"/>
      </w:pPr>
      <w:r>
        <w:rPr>
          <w:hyperlink w:anchor="_TOC000012"/>
        </w:rPr>
        <w:t>bb)</w:t>
        <w:tab/>
        <w:t xml:space="preserve"> Ebene 5 2. Vorkommen Auf den nächsten Seiten stellen wir Ihnen die einzelnen Komponenten der Benutzeroberfläche von TextMaker vor</w:t>
        <w:tab/>
        <w:t>2</w:t>
      </w:r>
    </w:p>
    <w:p>
      <w:pPr>
        <w:pStyle w:val="para15"/>
      </w:pPr>
      <w:r>
        <w:rPr>
          <w:hyperlink w:anchor="_TOC000013"/>
        </w:rPr>
        <w:t>b)</w:t>
        <w:tab/>
        <w:t xml:space="preserve"> Ebene 4 2. Vorkommen Auf den nächsten Seiten stellen wir Ihnen die einzelnen Komponenten der Benutzeroberfläche von TextMaker vor</w:t>
        <w:tab/>
        <w:t>2</w:t>
      </w:r>
    </w:p>
    <w:p>
      <w:pPr>
        <w:pStyle w:val="para27"/>
      </w:pPr>
      <w:r>
        <w:rPr>
          <w:hyperlink w:anchor="_TOC000019"/>
        </w:rPr>
        <w:t>(a)</w:t>
        <w:tab/>
        <w:t xml:space="preserve"> Ebene 7; selbst eingefügt, passt nicht in die Gliederungfsreiehenfolge bezüglich der Ebene</w:t>
        <w:tab/>
        <w:t>2</w:t>
      </w:r>
    </w:p>
    <w:p>
      <w:pPr>
        <w:pStyle w:val="para14"/>
      </w:pPr>
      <w:r>
        <w:rPr>
          <w:hyperlink w:anchor="_TOC000014"/>
        </w:rPr>
        <w:t>2.</w:t>
        <w:tab/>
        <w:t xml:space="preserve"> Ebene 3 2. Vorkommen Auf den nächsten Seiten stellen wir Ihnen die einzelnen Komponenten der Benutzeroberfläche von TextMaker vor</w:t>
        <w:tab/>
        <w:t>2</w:t>
      </w:r>
    </w:p>
    <w:p>
      <w:pPr>
        <w:pStyle w:val="para13"/>
      </w:pPr>
      <w:r>
        <w:rPr>
          <w:hyperlink w:anchor="_TOC000015"/>
        </w:rPr>
        <w:t>II</w:t>
        <w:tab/>
        <w:t xml:space="preserve"> Ebene 2 2. Vorkommen Auf den nächsten Seiten stellen wir Ihnen die einzelnen Komponenten der Benutzeroberfläche von TextMaker vor</w:t>
        <w:tab/>
        <w:t>2</w:t>
      </w:r>
    </w:p>
    <w:p>
      <w:pPr>
        <w:pStyle w:val="para13"/>
      </w:pPr>
      <w:r>
        <w:rPr>
          <w:hyperlink w:anchor="_TOC000018"/>
        </w:rPr>
        <w:t>III</w:t>
        <w:tab/>
        <w:t xml:space="preserve"> Ebene 3 3. Vorkommen</w:t>
        <w:tab/>
        <w:t>2</w:t>
      </w:r>
    </w:p>
    <w:p>
      <w:pPr>
        <w:pStyle w:val="para12"/>
      </w:pPr>
      <w:r>
        <w:rPr>
          <w:hyperlink w:anchor="_TOC000016"/>
        </w:rPr>
        <w:t>B</w:t>
        <w:tab/>
        <w:t xml:space="preserve"> Ebene 1 2. Vorkommen Auf den nächsten Seiten stellen wir Ihnen die einzelnen Komponenten der Benutzeroberfläche von TextMaker vor</w:t>
        <w:tab/>
        <w:t>2</w:t>
      </w:r>
    </w:p>
    <w:p>
      <w:pPr>
        <w:ind w:left="567" w:hanging="567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fldChar w:fldCharType="end"/>
      </w:r>
      <w:r>
        <w:rPr>
          <w:color w:val="ff0000"/>
          <w:sz w:val="28"/>
          <w:szCs w:val="28"/>
        </w:rPr>
        <w:t>Wie können Überschriften im Inhaltsverzeichnis so darstellt werden, dass bei mehrzeiligen Überschriften der rechte Textrand kürzer ist, so dass die Seitenzahlen nicht im Text stehen.</w:t>
      </w:r>
    </w:p>
    <w:p>
      <w:pPr>
        <w:ind w:left="567" w:hanging="567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Beispiel:</w:t>
      </w:r>
    </w:p>
    <w:p>
      <w:pPr>
        <w:ind w:left="567" w:hanging="567"/>
        <w:tabs defTabSz="720">
          <w:tab w:val="left" w:pos="510" w:leader="none"/>
        </w:tabs>
      </w:pPr>
      <w:r>
        <w:rPr>
          <w:hyperlink w:anchor="_TOC000002"/>
        </w:rPr>
        <w:t>A</w:t>
        <w:tab/>
        <w:t xml:space="preserve"> Test Ebene 1 Auf den nächsten Seiten stellen wir Ihnen die einzelnen Komponente</w:t>
      </w:r>
      <w:r>
        <w:rPr>
          <w:highlight w:val="yellow"/>
          <w:hyperlink w:anchor="_TOC000002"/>
        </w:rPr>
        <w:t xml:space="preserve">n </w:t>
      </w:r>
      <w:r>
        <w:rPr>
          <w:hyperlink w:anchor="_TOC000002"/>
        </w:rPr>
        <w:br w:type="textWrapping"/>
        <w:t>der Benutzeroberfläche von TextMaker vor ................................................................</w:t>
      </w:r>
      <w:r>
        <w:rPr>
          <w:highlight w:val="yellow"/>
          <w:hyperlink w:anchor="_TOC000002"/>
        </w:rPr>
        <w:t>..........1</w:t>
      </w:r>
      <w:r/>
    </w:p>
    <w:p>
      <w:pPr>
        <w:ind w:left="567" w:hanging="567"/>
        <w:tabs defTabSz="720">
          <w:tab w:val="left" w:pos="510" w:leader="none"/>
        </w:tabs>
        <w:rPr>
          <w:hyperlink w:anchor="_TOC000002"/>
        </w:rPr>
      </w:pPr>
      <w:r>
        <w:rPr>
          <w:hyperlink w:anchor="_TOC000002"/>
        </w:rPr>
      </w:r>
    </w:p>
    <w:p>
      <w:pPr>
        <w:ind w:left="567" w:hanging="567"/>
        <w:tabs defTabSz="720">
          <w:tab w:val="left" w:pos="510" w:leader="none"/>
        </w:tabs>
        <w:rPr>
          <w:hyperlink w:anchor="_TOC000002"/>
        </w:rPr>
      </w:pPr>
      <w:r>
        <w:rPr>
          <w:hyperlink w:anchor="_TOC000002"/>
        </w:rPr>
      </w:r>
    </w:p>
    <w:p>
      <w:pPr>
        <w:pStyle w:val="para26"/>
        <w:tabs defTabSz="720">
          <w:tab w:val="left" w:pos="510" w:leader="none"/>
          <w:tab w:val="left" w:pos="9128" w:leader="none"/>
        </w:tabs>
      </w:pPr>
      <w:r>
        <w:t>1.</w:t>
        <w:tab/>
      </w:r>
      <w:r>
        <w:rPr>
          <w:hyperlink w:anchor="none"/>
        </w:rPr>
        <w:t xml:space="preserve">Die Benutzeroberfläche lässt sich jederzeit zwischen Ribbon und Klassischen Menüs umschalten. Rufen Sie dazu im Ribbon den Befehl Datei | Einstellungen auf (bei klassischen Menüs Weiteres &gt; Einstellungen). </w:t>
      </w:r>
      <w:r>
        <w:rPr>
          <w:color w:val="ff0000"/>
          <w:hyperlink w:anchor="none"/>
        </w:rPr>
        <w:t>Rechter Tabulator ist nicht erreichbar.</w:t>
      </w:r>
    </w:p>
    <w:p>
      <w:pPr>
        <w:pStyle w:val="para26"/>
        <w:tabs defTabSz="720">
          <w:tab w:val="left" w:pos="510" w:leader="none"/>
          <w:tab w:val="left" w:pos="9128" w:leader="none"/>
        </w:tabs>
      </w:pPr>
      <w:r/>
    </w:p>
    <w:p>
      <w:pPr>
        <w:pStyle w:val="para26"/>
        <w:tabs defTabSz="720">
          <w:tab w:val="left" w:pos="510" w:leader="none"/>
          <w:tab w:val="left" w:pos="9128" w:leader="none"/>
        </w:tabs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>Fehlermeldung:</w:t>
      </w:r>
    </w:p>
    <w:p>
      <w:r>
        <w:t>Für das Inhaltsverzeichnis wurde als Füllzeichen zwischen Überschrift und Seitenzahl z.B. Unterstriche eingestellt. Aber nur ab Verzeichnisebene 7 ändert sich das Füllzeichen. Alle anderen Ebenen behalten die zuerst eingestellte punktierte Linie. Hier weicht das Programm von der Beschreibung im Handbuch ab. Ein „Zurücksetzen“ der TAB-Einstellungen hilft nicht weiter.</w:t>
      </w:r>
    </w:p>
    <w:p>
      <w:r/>
    </w:p>
    <w:p>
      <w:r>
        <w:t>Inzwischen habe ich so viele Einstellungen ausprobiert, dass die Einstellung der Füllzeichen in der Auswahlbox „Inhaltsverzeichnis erstellen“ völlig ignoriert wird und einzig die Einstellung gemäß Absatzformatvorlage - Tabulatoren - Füllzeichen zur Anwendung kommt.</w:t>
      </w:r>
    </w:p>
    <w:p>
      <w:pPr>
        <w:pStyle w:val="para17"/>
      </w:pPr>
      <w:r/>
    </w:p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footerReference w:type="default" r:id="rId8"/>
      <w:type w:val="continuous"/>
      <w:pgSz w:h="16839" w:w="11907"/>
      <w:pgMar w:left="1417" w:top="850" w:right="1077" w:bottom="283" w:header="0" w:footer="567"/>
      <w:paperSrc w:first="0" w:other="0" a="0" b="0"/>
      <w:pgNumType w:fmt="decimal"/>
      <w:tmGutter w:val="1"/>
      <w:mirrorMargins w:val="0"/>
      <w:tmSection w:h="-1">
        <w:tmFooter w:id="0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Tahoma">
    <w:charset w:val="00"/>
    <w:family w:val="auto"/>
    <w:pitch w:val="default"/>
  </w:font>
  <w:font w:name="Bitstream Vera Sans">
    <w:charset w:val="00"/>
    <w:family w:val="roman"/>
    <w:pitch w:val="default"/>
  </w:font>
  <w:font w:name="Courier New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1"/>
      <w:spacing/>
      <w:jc w:val="right"/>
    </w:pPr>
    <w:r>
      <w:t xml:space="preserve">- </w:t>
    </w:r>
    <w:r>
      <w:fldChar w:fldCharType="begin"/>
      <w:instrText xml:space="preserve"> PAGE </w:instrText>
      <w:fldChar w:fldCharType="separate"/>
      <w:t>1</w:t>
      <w:fldChar w:fldCharType="end"/>
    </w:r>
    <w:r>
      <w:t xml:space="preserve"> -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hybridMultilevel"/>
    <w:name w:val="Skriptjuristisch"/>
    <w:lvl w:ilvl="0">
      <w:start w:val="1"/>
      <w:numFmt w:val="upperLetter"/>
      <w:pStyle w:val="para1"/>
      <w:suff w:val="tab"/>
      <w:lvlText w:val="%1"/>
      <w:lvlJc w:val="left"/>
      <w:addIndent w:val="0"/>
      <w:bPr>
        <w:type w:val="num"/>
        <w:numType w:val="2"/>
        <w:position w:dxa="0" w:dya="0"/>
      </w:bPr>
      <w:rPr>
        <w:rFonts w:ascii="Times New Roman" w:hAnsi="Times New Roman"/>
        <w:b/>
        <w:bCs/>
        <w:sz w:val="32"/>
        <w:lang w:val="default"/>
      </w:rPr>
    </w:lvl>
    <w:lvl w:ilvl="1">
      <w:start w:val="1"/>
      <w:numFmt w:val="upperRoman"/>
      <w:pStyle w:val="para2"/>
      <w:suff w:val="tab"/>
      <w:lvlText w:val="%2"/>
      <w:lvlJc w:val="left"/>
      <w:addIndent w:val="0"/>
      <w:bPr>
        <w:type w:val="num"/>
        <w:numType w:val="4"/>
        <w:position w:dxa="0" w:dya="0"/>
      </w:bPr>
      <w:rPr>
        <w:rFonts w:ascii="Times New Roman" w:hAnsi="Times New Roman"/>
        <w:b/>
        <w:bCs/>
        <w:sz w:val="28"/>
        <w:lang w:val="default"/>
      </w:rPr>
    </w:lvl>
    <w:lvl w:ilvl="2">
      <w:start w:val="1"/>
      <w:numFmt w:val="ordinal"/>
      <w:pStyle w:val="para3"/>
      <w:suff w:val="tab"/>
      <w:lvlText w:val="%3"/>
      <w:lvlJc w:val="left"/>
      <w:addIndent w:val="0"/>
      <w:bPr>
        <w:type w:val="num"/>
        <w:numType w:val="0"/>
        <w:position w:dxa="0" w:dya="0"/>
      </w:bPr>
      <w:rPr>
        <w:rFonts w:ascii="Times New Roman" w:hAnsi="Times New Roman"/>
        <w:b/>
        <w:bCs/>
        <w:sz w:val="24"/>
        <w:lang w:val="default"/>
      </w:rPr>
    </w:lvl>
    <w:lvl w:ilvl="3">
      <w:start w:val="1"/>
      <w:numFmt w:val="lowerLetter"/>
      <w:pStyle w:val="para5"/>
      <w:suff w:val="tab"/>
      <w:lvlText w:val="%4)"/>
      <w:lvlJc w:val="left"/>
      <w:addIndent w:val="0"/>
      <w:bPr>
        <w:type w:val="num"/>
        <w:numType w:val="3"/>
        <w:position w:dxa="0" w:dya="0"/>
      </w:bPr>
      <w:rPr>
        <w:rFonts w:ascii="Times New Roman" w:hAnsi="Times New Roman"/>
        <w:b/>
        <w:bCs/>
        <w:sz w:val="24"/>
        <w:lang w:val="default"/>
      </w:rPr>
    </w:lvl>
    <w:lvl w:ilvl="4">
      <w:start w:val="27"/>
      <w:numFmt w:val="lowerLetter"/>
      <w:pStyle w:val="para6"/>
      <w:suff w:val="tab"/>
      <w:lvlText w:val="%5)"/>
      <w:lvlJc w:val="left"/>
      <w:addIndent w:val="0"/>
      <w:bPr>
        <w:type w:val="num"/>
        <w:numType w:val="3"/>
        <w:position w:dxa="0" w:dya="0"/>
      </w:bPr>
      <w:rPr>
        <w:rFonts w:ascii="Times New Roman" w:hAnsi="Times New Roman"/>
        <w:b/>
        <w:bCs/>
        <w:sz w:val="24"/>
        <w:lang w:val="default"/>
      </w:rPr>
    </w:lvl>
    <w:lvl w:ilvl="5">
      <w:start w:val="1"/>
      <w:numFmt w:val="decimal"/>
      <w:pStyle w:val="para7"/>
      <w:suff w:val="tab"/>
      <w:lvlText w:val="(%6)"/>
      <w:lvlJc w:val="left"/>
      <w:addIndent w:val="0"/>
      <w:bPr>
        <w:type w:val="num"/>
        <w:numType w:val="1"/>
        <w:position w:dxa="0" w:dya="0"/>
      </w:bPr>
      <w:rPr>
        <w:rFonts w:ascii="Times New Roman" w:hAnsi="Times New Roman"/>
        <w:b/>
        <w:bCs/>
        <w:sz w:val="24"/>
        <w:lang w:val="default"/>
      </w:rPr>
    </w:lvl>
    <w:lvl w:ilvl="6">
      <w:start w:val="1"/>
      <w:numFmt w:val="lowerLetter"/>
      <w:pStyle w:val="para8"/>
      <w:suff w:val="tab"/>
      <w:lvlText w:val="(%7)"/>
      <w:lvlJc w:val="left"/>
      <w:addIndent w:val="0"/>
      <w:bPr>
        <w:type w:val="num"/>
        <w:numType w:val="3"/>
        <w:position w:dxa="0" w:dya="0"/>
      </w:bPr>
      <w:rPr>
        <w:rFonts w:ascii="Times New Roman" w:hAnsi="Times New Roman"/>
        <w:b/>
        <w:bCs/>
        <w:sz w:val="24"/>
        <w:lang w:val="default"/>
      </w:rPr>
    </w:lvl>
    <w:lvl w:ilvl="7">
      <w:start w:val="1"/>
      <w:numFmt w:val="none"/>
      <w:suff w:val="nothing"/>
      <w:lvlText w:val=""/>
      <w:lvlJc w:val="left"/>
      <w:addIndent w:val="0"/>
      <w:bPr>
        <w:type w:val="num"/>
        <w:numType w:val="6"/>
        <w:position w:dxa="0" w:dya="0"/>
      </w:bPr>
    </w:lvl>
    <w:lvl w:ilvl="8">
      <w:start w:val="1"/>
      <w:numFmt w:val="none"/>
      <w:suff w:val="nothing"/>
      <w:lvlText w:val=""/>
      <w:lvlJc w:val="left"/>
      <w:addIndent w:val="0"/>
      <w:bPr>
        <w:type w:val="num"/>
        <w:numType w:val="6"/>
        <w:position w:dxa="0" w:dya="0"/>
      </w:bPr>
    </w:lvl>
  </w:abstractNum>
  <w:abstractNum w:abstractNumId="2">
    <w:multiLevelType w:val="singleLevel"/>
    <w:name w:val="Bullet 2"/>
    <w:tmBullet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360" w:dya="0"/>
        <w:after w:val="."/>
      </w:bPr>
      <w:rPr>
        <w:rFonts w:ascii="Times New Roman" w:hAnsi="Times New Roman"/>
        <w:sz w:val="24"/>
        <w:lang w:val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92104328" w:val="1064" w:fileVer="342" w:fileVer64="64" w:fileVerOS="3"/>
  <w:zoom w:percent="100"/>
  <w:view w:val="print"/>
  <w:defaultTabStop w:val="720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ExpandShiftReturn w:val="1"/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6"/>
  <w:tmPrefTwo w:val="1"/>
  <w:tmFmtPref w:val="5453332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2"/>
    <w:tmLastPosSelect w:val="0"/>
    <w:tmLastPosFrameIdx w:val="0"/>
    <w:tmLastPosCaret>
      <w:tmLastPosPgfIdx w:val="32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4"/>
        <w:szCs w:val="24"/>
        <w:lang w:val="de-de" w:eastAsia="de-de" w:bidi="de-de"/>
      </w:rPr>
    </w:rPrDefault>
    <w:pPrDefault>
      <w:pPr>
        <w:spacing w:line="269" w:lineRule="auto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numPr>
        <w:ilvl w:val="0"/>
        <w:numId w:val="1"/>
      </w:numPr>
      <w:ind w:left="567" w:hanging="567"/>
      <w:spacing w:before="140" w:after="100"/>
      <w:keepNext/>
      <w:outlineLvl w:val="0"/>
      <w:widowControl/>
      <w:tabs defTabSz="720">
        <w:tab w:val="left" w:pos="567" w:leader="none"/>
        <w:tab w:val="right" w:pos="9524" w:leader="dot"/>
      </w:tabs>
    </w:pPr>
    <w:rPr>
      <w:b/>
      <w:bCs/>
      <w:sz w:val="32"/>
      <w:szCs w:val="32"/>
    </w:rPr>
    <w:key w:val="1073"/>
  </w:style>
  <w:style w:type="paragraph" w:styleId="para2">
    <w:name w:val="heading 2"/>
    <w:qFormat/>
    <w:basedOn w:val="para1"/>
    <w:next w:val="para0"/>
    <w:pPr>
      <w:numPr>
        <w:ilvl w:val="1"/>
        <w:numId w:val="1"/>
      </w:numPr>
      <w:ind w:left="567" w:hanging="567"/>
      <w:spacing w:after="60"/>
      <w:outlineLvl w:val="1"/>
    </w:pPr>
    <w:rPr>
      <w:color w:val="000000"/>
      <w:sz w:val="28"/>
      <w:szCs w:val="28"/>
    </w:rPr>
    <w:key w:val="1074"/>
  </w:style>
  <w:style w:type="paragraph" w:styleId="para3">
    <w:name w:val="heading 3"/>
    <w:qFormat/>
    <w:basedOn w:val="para2"/>
    <w:next w:val="para0"/>
    <w:pPr>
      <w:numPr>
        <w:ilvl w:val="2"/>
        <w:numId w:val="1"/>
      </w:numPr>
      <w:ind w:left="397" w:right="1" w:hanging="397"/>
      <w:spacing w:after="40"/>
      <w:outlineLvl w:val="2"/>
      <w:tabs defTabSz="720">
        <w:tab w:val="left" w:pos="0" w:leader="none"/>
        <w:tab w:val="left" w:pos="397" w:leader="none"/>
        <w:tab w:val="left" w:pos="567" w:leader="none"/>
        <w:tab w:val="right" w:pos="9524" w:leader="dot"/>
      </w:tabs>
    </w:pPr>
    <w:rPr>
      <w:color w:val="auto"/>
      <w:sz w:val="24"/>
      <w:szCs w:val="24"/>
    </w:rPr>
    <w:key w:val="1075"/>
  </w:style>
  <w:style w:type="paragraph" w:styleId="para4" w:customStyle="1">
    <w:name w:val="Standard (Papyrus)"/>
    <w:qFormat/>
    <w:pPr>
      <w:spacing/>
      <w:jc w:val="both"/>
      <w:widowControl/>
      <w:tabs defTabSz="720">
        <w:tab w:val="left" w:pos="737" w:leader="none"/>
        <w:tab w:val="right" w:pos="9524" w:leader="dot"/>
      </w:tabs>
    </w:pPr>
    <w:rPr>
      <w:rFonts w:ascii="Times New Roman" w:hAnsi="Times New Roman" w:eastAsia="Tahoma" w:cs="Times New Roman"/>
      <w:color w:val="000000"/>
      <w:sz w:val="24"/>
      <w:szCs w:val="24"/>
      <w:lang w:val="de-de" w:eastAsia="de-de" w:bidi="de-de"/>
    </w:rPr>
  </w:style>
  <w:style w:type="paragraph" w:styleId="para5">
    <w:name w:val="heading 4"/>
    <w:qFormat/>
    <w:basedOn w:val="para3"/>
    <w:next w:val="para0"/>
    <w:pPr>
      <w:numPr>
        <w:ilvl w:val="3"/>
        <w:numId w:val="1"/>
      </w:numPr>
      <w:ind w:left="397" w:right="0" w:hanging="397"/>
      <w:outlineLvl w:val="3"/>
    </w:pPr>
    <w:key w:val="1076"/>
  </w:style>
  <w:style w:type="paragraph" w:styleId="para6">
    <w:name w:val="heading 5"/>
    <w:qFormat/>
    <w:basedOn w:val="para5"/>
    <w:next w:val="para0"/>
    <w:pPr>
      <w:numPr>
        <w:ilvl w:val="4"/>
        <w:numId w:val="1"/>
      </w:numPr>
      <w:ind w:left="397" w:hanging="397"/>
      <w:outlineLvl w:val="4"/>
    </w:pPr>
    <w:key w:val="1077"/>
  </w:style>
  <w:style w:type="paragraph" w:styleId="para7">
    <w:name w:val="heading 6"/>
    <w:qFormat/>
    <w:basedOn w:val="para6"/>
    <w:next w:val="para0"/>
    <w:pPr>
      <w:numPr>
        <w:ilvl w:val="5"/>
        <w:numId w:val="1"/>
      </w:numPr>
      <w:ind w:left="454" w:hanging="454"/>
      <w:outlineLvl w:val="5"/>
    </w:pPr>
    <w:key w:val="1078"/>
  </w:style>
  <w:style w:type="paragraph" w:styleId="para8">
    <w:name w:val="heading 7"/>
    <w:qFormat/>
    <w:basedOn w:val="para7"/>
    <w:next w:val="para0"/>
    <w:pPr>
      <w:numPr>
        <w:ilvl w:val="6"/>
        <w:numId w:val="1"/>
      </w:numPr>
      <w:ind w:left="397" w:hanging="397"/>
      <w:outlineLvl w:val="6"/>
      <w:tabs defTabSz="720">
        <w:tab w:val="left" w:pos="398" w:leader="none"/>
        <w:tab w:val="left" w:pos="567" w:leader="none"/>
        <w:tab w:val="right" w:pos="9524" w:leader="dot"/>
      </w:tabs>
    </w:pPr>
    <w:key w:val="1079"/>
  </w:style>
  <w:style w:type="paragraph" w:styleId="para9" w:customStyle="1">
    <w:name w:val="Urteilsgründe 11 P."/>
    <w:qFormat/>
    <w:pPr>
      <w:spacing/>
      <w:jc w:val="both"/>
      <w:widowControl/>
    </w:pPr>
    <w:rPr>
      <w:rFonts w:ascii="Times New Roman" w:hAnsi="Times New Roman" w:eastAsia="Tahoma" w:cs="Times New Roman"/>
      <w:color w:val="000000"/>
      <w:sz w:val="22"/>
      <w:szCs w:val="24"/>
      <w:lang w:val="de-de" w:eastAsia="de-de" w:bidi="de-de"/>
    </w:rPr>
  </w:style>
  <w:style w:type="paragraph" w:styleId="para10" w:customStyle="1">
    <w:name w:val="Standard Z1.3"/>
    <w:qFormat/>
    <w:pPr>
      <w:numPr>
        <w:ilvl w:val="0"/>
        <w:numId w:val="2"/>
      </w:numPr>
      <w:spacing/>
      <w:jc w:val="both"/>
      <w:widowControl/>
      <w:tabs defTabSz="720">
        <w:tab w:val="left" w:pos="737" w:leader="none"/>
        <w:tab w:val="right" w:pos="9524" w:leader="dot"/>
      </w:tabs>
    </w:pPr>
    <w:rPr>
      <w:rFonts w:ascii="Times New Roman" w:hAnsi="Times New Roman" w:eastAsia="Tahoma" w:cs="Times New Roman"/>
      <w:color w:val="000000"/>
      <w:sz w:val="24"/>
      <w:szCs w:val="24"/>
      <w:lang w:val="de-de" w:eastAsia="de-de" w:bidi="de-de"/>
    </w:rPr>
  </w:style>
  <w:style w:type="paragraph" w:styleId="para11">
    <w:name w:val="Footer"/>
    <w:qFormat/>
    <w:basedOn w:val="para0"/>
    <w:pPr>
      <w:tabs defTabSz="708">
        <w:tab w:val="center" w:pos="4678" w:leader="none"/>
        <w:tab w:val="right" w:pos="9356" w:leader="none"/>
      </w:tabs>
    </w:pPr>
  </w:style>
  <w:style w:type="paragraph" w:styleId="para12">
    <w:name w:val="toc 1"/>
    <w:qFormat/>
    <w:basedOn w:val="para0"/>
    <w:next w:val="para0"/>
    <w:pPr>
      <w:ind w:left="567" w:hanging="567"/>
      <w:tabs defTabSz="720">
        <w:tab w:val="left" w:pos="510" w:leader="none"/>
        <w:tab w:val="right" w:pos="9638" w:leader="dot"/>
      </w:tabs>
    </w:pPr>
  </w:style>
  <w:style w:type="paragraph" w:styleId="para13">
    <w:name w:val="toc 2"/>
    <w:qFormat/>
    <w:basedOn w:val="para0"/>
    <w:next w:val="para0"/>
    <w:pPr>
      <w:ind w:left="567" w:hanging="397"/>
      <w:tabs defTabSz="720">
        <w:tab w:val="left" w:pos="510" w:leader="none"/>
        <w:tab w:val="right" w:pos="9638" w:leader="dot"/>
      </w:tabs>
    </w:pPr>
  </w:style>
  <w:style w:type="paragraph" w:styleId="para14">
    <w:name w:val="toc 3"/>
    <w:qFormat/>
    <w:basedOn w:val="para0"/>
    <w:next w:val="para0"/>
    <w:pPr>
      <w:ind w:left="567" w:hanging="284"/>
      <w:tabs defTabSz="720">
        <w:tab w:val="left" w:pos="510" w:leader="none"/>
        <w:tab w:val="right" w:pos="9638" w:leader="dot"/>
      </w:tabs>
    </w:pPr>
  </w:style>
  <w:style w:type="paragraph" w:styleId="para15">
    <w:name w:val="toc 4"/>
    <w:qFormat/>
    <w:basedOn w:val="para0"/>
    <w:next w:val="para0"/>
    <w:pPr>
      <w:ind w:left="680" w:hanging="283"/>
      <w:tabs defTabSz="720">
        <w:tab w:val="left" w:pos="624" w:leader="none"/>
        <w:tab w:val="right" w:pos="9638" w:leader="dot"/>
      </w:tabs>
    </w:pPr>
  </w:style>
  <w:style w:type="paragraph" w:styleId="para16">
    <w:name w:val="toc 5"/>
    <w:qFormat/>
    <w:basedOn w:val="para0"/>
    <w:next w:val="para0"/>
    <w:pPr>
      <w:ind w:left="964" w:hanging="454"/>
      <w:tabs defTabSz="720">
        <w:tab w:val="left" w:pos="907" w:leader="none"/>
        <w:tab w:val="right" w:pos="9638" w:leader="dot"/>
      </w:tabs>
    </w:pPr>
  </w:style>
  <w:style w:type="paragraph" w:styleId="para17">
    <w:name w:val="toc 6"/>
    <w:qFormat/>
    <w:basedOn w:val="para0"/>
    <w:next w:val="para0"/>
    <w:pPr>
      <w:ind w:left="1247" w:hanging="510"/>
      <w:tabs defTabSz="720">
        <w:tab w:val="left" w:pos="1191" w:leader="none"/>
        <w:tab w:val="right" w:pos="9638" w:leader="dot"/>
      </w:tabs>
    </w:pPr>
  </w:style>
  <w:style w:type="paragraph" w:styleId="para18">
    <w:name w:val="Footnote Text"/>
    <w:qFormat/>
    <w:basedOn w:val="para0"/>
    <w:pPr>
      <w:ind w:left="283" w:hanging="283"/>
      <w:spacing w:line="240" w:lineRule="auto"/>
      <w:tabs defTabSz="720">
        <w:tab w:val="left" w:pos="397" w:leader="none"/>
      </w:tabs>
    </w:pPr>
    <w:rPr>
      <w:sz w:val="20"/>
      <w:szCs w:val="20"/>
    </w:rPr>
  </w:style>
  <w:style w:type="paragraph" w:styleId="para19" w:customStyle="1">
    <w:name w:val="Gesetzestext 1. Absatzeinrückung 10 Punkt"/>
    <w:qFormat/>
    <w:basedOn w:val="para4"/>
    <w:pPr>
      <w:ind w:left="510" w:hanging="283"/>
      <w:tabs defTabSz="720">
        <w:tab w:val="left" w:pos="510" w:leader="none"/>
        <w:tab w:val="left" w:pos="680" w:leader="none"/>
        <w:tab w:val="left" w:pos="737" w:leader="none"/>
        <w:tab w:val="left" w:pos="1134" w:leader="none"/>
        <w:tab w:val="right" w:pos="9524" w:leader="dot"/>
      </w:tabs>
    </w:pPr>
    <w:rPr>
      <w:rFonts w:eastAsia="Times New Roman"/>
      <w:sz w:val="20"/>
      <w:szCs w:val="20"/>
    </w:rPr>
  </w:style>
  <w:style w:type="paragraph" w:styleId="para20" w:customStyle="1">
    <w:name w:val="Gesetzestext 2. Absatzeinrückung"/>
    <w:qFormat/>
    <w:basedOn w:val="para4"/>
    <w:pPr>
      <w:ind w:left="680" w:hanging="283"/>
      <w:tabs defTabSz="720">
        <w:tab w:val="left" w:pos="680" w:leader="none"/>
        <w:tab w:val="left" w:pos="737" w:leader="none"/>
        <w:tab w:val="left" w:pos="1191" w:leader="none"/>
        <w:tab w:val="right" w:pos="9524" w:leader="dot"/>
      </w:tabs>
    </w:pPr>
    <w:rPr>
      <w:rFonts w:eastAsia="Times New Roman"/>
      <w:sz w:val="20"/>
      <w:szCs w:val="20"/>
    </w:rPr>
  </w:style>
  <w:style w:type="paragraph" w:styleId="para21" w:customStyle="1">
    <w:name w:val="Gesetzestext 10 Punkt"/>
    <w:qFormat/>
    <w:basedOn w:val="para4"/>
    <w:rPr>
      <w:rFonts w:eastAsia="Times New Roman"/>
      <w:sz w:val="20"/>
      <w:szCs w:val="20"/>
    </w:rPr>
  </w:style>
  <w:style w:type="paragraph" w:styleId="para22" w:customStyle="1">
    <w:name w:val="Gesetzestext Überschrift 11 Punkt"/>
    <w:qFormat/>
    <w:basedOn w:val="para4"/>
    <w:next w:val="para21"/>
    <w:pPr>
      <w:tabs defTabSz="720">
        <w:tab w:val="left" w:pos="0" w:leader="none"/>
        <w:tab w:val="left" w:pos="737" w:leader="none"/>
        <w:tab w:val="right" w:pos="9524" w:leader="dot"/>
      </w:tabs>
    </w:pPr>
    <w:rPr>
      <w:rFonts w:eastAsia="Times New Roman"/>
      <w:b/>
      <w:bCs/>
      <w:sz w:val="22"/>
      <w:szCs w:val="22"/>
    </w:rPr>
  </w:style>
  <w:style w:type="paragraph" w:styleId="para23" w:customStyle="1">
    <w:name w:val="Gesetzestext linksbündig mit Einrückung"/>
    <w:qFormat/>
    <w:basedOn w:val="para4"/>
    <w:pPr>
      <w:ind w:left="397" w:hanging="397"/>
      <w:tabs defTabSz="720">
        <w:tab w:val="left" w:pos="397" w:leader="none"/>
        <w:tab w:val="left" w:pos="737" w:leader="none"/>
        <w:tab w:val="right" w:pos="9524" w:leader="dot"/>
      </w:tabs>
    </w:pPr>
    <w:rPr>
      <w:rFonts w:eastAsia="Times New Roman"/>
      <w:sz w:val="20"/>
      <w:szCs w:val="20"/>
    </w:rPr>
  </w:style>
  <w:style w:type="paragraph" w:styleId="para24" w:customStyle="1">
    <w:name w:val="KAD-Text Courier 9"/>
    <w:qFormat/>
    <w:basedOn w:val="para4"/>
    <w:pPr>
      <w:spacing/>
      <w:jc w:val="left"/>
      <w:tabs defTabSz="720">
        <w:tab w:val="left" w:pos="283" w:leader="none"/>
        <w:tab w:val="left" w:pos="567" w:leader="none"/>
        <w:tab w:val="left" w:pos="737" w:leader="none"/>
        <w:tab w:val="left" w:pos="850" w:leader="none"/>
        <w:tab w:val="left" w:pos="1190" w:leader="none"/>
        <w:tab w:val="right" w:pos="9524" w:leader="dot"/>
      </w:tabs>
    </w:pPr>
    <w:rPr>
      <w:rFonts w:ascii="Courier New" w:hAnsi="Courier New" w:eastAsia="Courier New" w:cs="Courier New"/>
      <w:sz w:val="18"/>
      <w:szCs w:val="18"/>
    </w:rPr>
  </w:style>
  <w:style w:type="paragraph" w:styleId="para26" w:customStyle="1">
    <w:name w:val="TestvorlageRechterSchreibrand"/>
    <w:qFormat/>
    <w:basedOn w:val="para0"/>
    <w:pPr>
      <w:ind w:left="510" w:right="1079" w:hanging="510"/>
      <w:spacing/>
      <w:jc w:val="both"/>
      <w:tabs defTabSz="720">
        <w:tab w:val="left" w:pos="510" w:leader="none"/>
      </w:tabs>
    </w:pPr>
    <w:rPr>
      <w:hyperlink w:anchor="_TOC000002"/>
    </w:rPr>
  </w:style>
  <w:style w:type="paragraph" w:styleId="para27">
    <w:name w:val="toc 7"/>
    <w:qFormat/>
    <w:basedOn w:val="para0"/>
    <w:next w:val="para0"/>
    <w:pPr>
      <w:ind w:left="1247" w:hanging="397"/>
      <w:tabs defTabSz="720">
        <w:tab w:val="left" w:pos="1191" w:leader="none"/>
        <w:tab w:val="right" w:pos="9638" w:leader="dot"/>
      </w:tabs>
    </w:pPr>
  </w:style>
  <w:style w:type="character" w:styleId="char0" w:default="1">
    <w:name w:val="Default Paragraph Font"/>
  </w:style>
  <w:style w:type="character" w:styleId="char1">
    <w:name w:val="Footnote Reference"/>
    <w:rPr>
      <w:vertAlign w:val="superscript" ssSize="66" ssDist="15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sz w:val="24"/>
        <w:szCs w:val="24"/>
        <w:lang w:val="de-de" w:eastAsia="de-de" w:bidi="de-de"/>
      </w:rPr>
    </w:rPrDefault>
    <w:pPrDefault>
      <w:pPr>
        <w:spacing w:line="269" w:lineRule="auto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numPr>
        <w:ilvl w:val="0"/>
        <w:numId w:val="1"/>
      </w:numPr>
      <w:ind w:left="567" w:hanging="567"/>
      <w:spacing w:before="140" w:after="100"/>
      <w:keepNext/>
      <w:outlineLvl w:val="0"/>
      <w:widowControl/>
      <w:tabs defTabSz="720">
        <w:tab w:val="left" w:pos="567" w:leader="none"/>
        <w:tab w:val="right" w:pos="9524" w:leader="dot"/>
      </w:tabs>
    </w:pPr>
    <w:rPr>
      <w:b/>
      <w:bCs/>
      <w:sz w:val="32"/>
      <w:szCs w:val="32"/>
    </w:rPr>
    <w:key w:val="1073"/>
  </w:style>
  <w:style w:type="paragraph" w:styleId="para2">
    <w:name w:val="heading 2"/>
    <w:qFormat/>
    <w:basedOn w:val="para1"/>
    <w:next w:val="para0"/>
    <w:pPr>
      <w:numPr>
        <w:ilvl w:val="1"/>
        <w:numId w:val="1"/>
      </w:numPr>
      <w:ind w:left="567" w:hanging="567"/>
      <w:spacing w:after="60"/>
      <w:outlineLvl w:val="1"/>
    </w:pPr>
    <w:rPr>
      <w:color w:val="000000"/>
      <w:sz w:val="28"/>
      <w:szCs w:val="28"/>
    </w:rPr>
    <w:key w:val="1074"/>
  </w:style>
  <w:style w:type="paragraph" w:styleId="para3">
    <w:name w:val="heading 3"/>
    <w:qFormat/>
    <w:basedOn w:val="para2"/>
    <w:next w:val="para0"/>
    <w:pPr>
      <w:numPr>
        <w:ilvl w:val="2"/>
        <w:numId w:val="1"/>
      </w:numPr>
      <w:ind w:left="397" w:right="1" w:hanging="397"/>
      <w:spacing w:after="40"/>
      <w:outlineLvl w:val="2"/>
      <w:tabs defTabSz="720">
        <w:tab w:val="left" w:pos="0" w:leader="none"/>
        <w:tab w:val="left" w:pos="397" w:leader="none"/>
        <w:tab w:val="left" w:pos="567" w:leader="none"/>
        <w:tab w:val="right" w:pos="9524" w:leader="dot"/>
      </w:tabs>
    </w:pPr>
    <w:rPr>
      <w:color w:val="auto"/>
      <w:sz w:val="24"/>
      <w:szCs w:val="24"/>
    </w:rPr>
    <w:key w:val="1075"/>
  </w:style>
  <w:style w:type="paragraph" w:styleId="para4" w:customStyle="1">
    <w:name w:val="Standard (Papyrus)"/>
    <w:qFormat/>
    <w:pPr>
      <w:spacing/>
      <w:jc w:val="both"/>
      <w:widowControl/>
      <w:tabs defTabSz="720">
        <w:tab w:val="left" w:pos="737" w:leader="none"/>
        <w:tab w:val="right" w:pos="9524" w:leader="dot"/>
      </w:tabs>
    </w:pPr>
    <w:rPr>
      <w:rFonts w:ascii="Times New Roman" w:hAnsi="Times New Roman" w:eastAsia="Tahoma" w:cs="Times New Roman"/>
      <w:color w:val="000000"/>
      <w:sz w:val="24"/>
      <w:szCs w:val="24"/>
      <w:lang w:val="de-de" w:eastAsia="de-de" w:bidi="de-de"/>
    </w:rPr>
  </w:style>
  <w:style w:type="paragraph" w:styleId="para5">
    <w:name w:val="heading 4"/>
    <w:qFormat/>
    <w:basedOn w:val="para3"/>
    <w:next w:val="para0"/>
    <w:pPr>
      <w:numPr>
        <w:ilvl w:val="3"/>
        <w:numId w:val="1"/>
      </w:numPr>
      <w:ind w:left="397" w:right="0" w:hanging="397"/>
      <w:outlineLvl w:val="3"/>
    </w:pPr>
    <w:key w:val="1076"/>
  </w:style>
  <w:style w:type="paragraph" w:styleId="para6">
    <w:name w:val="heading 5"/>
    <w:qFormat/>
    <w:basedOn w:val="para5"/>
    <w:next w:val="para0"/>
    <w:pPr>
      <w:numPr>
        <w:ilvl w:val="4"/>
        <w:numId w:val="1"/>
      </w:numPr>
      <w:ind w:left="397" w:hanging="397"/>
      <w:outlineLvl w:val="4"/>
    </w:pPr>
    <w:key w:val="1077"/>
  </w:style>
  <w:style w:type="paragraph" w:styleId="para7">
    <w:name w:val="heading 6"/>
    <w:qFormat/>
    <w:basedOn w:val="para6"/>
    <w:next w:val="para0"/>
    <w:pPr>
      <w:numPr>
        <w:ilvl w:val="5"/>
        <w:numId w:val="1"/>
      </w:numPr>
      <w:ind w:left="454" w:hanging="454"/>
      <w:outlineLvl w:val="5"/>
    </w:pPr>
    <w:key w:val="1078"/>
  </w:style>
  <w:style w:type="paragraph" w:styleId="para8">
    <w:name w:val="heading 7"/>
    <w:qFormat/>
    <w:basedOn w:val="para7"/>
    <w:next w:val="para0"/>
    <w:pPr>
      <w:numPr>
        <w:ilvl w:val="6"/>
        <w:numId w:val="1"/>
      </w:numPr>
      <w:ind w:left="397" w:hanging="397"/>
      <w:outlineLvl w:val="6"/>
      <w:tabs defTabSz="720">
        <w:tab w:val="left" w:pos="398" w:leader="none"/>
        <w:tab w:val="left" w:pos="567" w:leader="none"/>
        <w:tab w:val="right" w:pos="9524" w:leader="dot"/>
      </w:tabs>
    </w:pPr>
    <w:key w:val="1079"/>
  </w:style>
  <w:style w:type="paragraph" w:styleId="para9" w:customStyle="1">
    <w:name w:val="Urteilsgründe 11 P."/>
    <w:qFormat/>
    <w:pPr>
      <w:spacing/>
      <w:jc w:val="both"/>
      <w:widowControl/>
    </w:pPr>
    <w:rPr>
      <w:rFonts w:ascii="Times New Roman" w:hAnsi="Times New Roman" w:eastAsia="Tahoma" w:cs="Times New Roman"/>
      <w:color w:val="000000"/>
      <w:sz w:val="22"/>
      <w:szCs w:val="24"/>
      <w:lang w:val="de-de" w:eastAsia="de-de" w:bidi="de-de"/>
    </w:rPr>
  </w:style>
  <w:style w:type="paragraph" w:styleId="para10" w:customStyle="1">
    <w:name w:val="Standard Z1.3"/>
    <w:qFormat/>
    <w:pPr>
      <w:numPr>
        <w:ilvl w:val="0"/>
        <w:numId w:val="2"/>
      </w:numPr>
      <w:spacing/>
      <w:jc w:val="both"/>
      <w:widowControl/>
      <w:tabs defTabSz="720">
        <w:tab w:val="left" w:pos="737" w:leader="none"/>
        <w:tab w:val="right" w:pos="9524" w:leader="dot"/>
      </w:tabs>
    </w:pPr>
    <w:rPr>
      <w:rFonts w:ascii="Times New Roman" w:hAnsi="Times New Roman" w:eastAsia="Tahoma" w:cs="Times New Roman"/>
      <w:color w:val="000000"/>
      <w:sz w:val="24"/>
      <w:szCs w:val="24"/>
      <w:lang w:val="de-de" w:eastAsia="de-de" w:bidi="de-de"/>
    </w:rPr>
  </w:style>
  <w:style w:type="paragraph" w:styleId="para11">
    <w:name w:val="Footer"/>
    <w:qFormat/>
    <w:basedOn w:val="para0"/>
    <w:pPr>
      <w:tabs defTabSz="708">
        <w:tab w:val="center" w:pos="4678" w:leader="none"/>
        <w:tab w:val="right" w:pos="9356" w:leader="none"/>
      </w:tabs>
    </w:pPr>
  </w:style>
  <w:style w:type="paragraph" w:styleId="para12">
    <w:name w:val="toc 1"/>
    <w:qFormat/>
    <w:basedOn w:val="para0"/>
    <w:next w:val="para0"/>
    <w:pPr>
      <w:ind w:left="567" w:hanging="567"/>
      <w:tabs defTabSz="720">
        <w:tab w:val="left" w:pos="510" w:leader="none"/>
        <w:tab w:val="right" w:pos="9638" w:leader="dot"/>
      </w:tabs>
    </w:pPr>
  </w:style>
  <w:style w:type="paragraph" w:styleId="para13">
    <w:name w:val="toc 2"/>
    <w:qFormat/>
    <w:basedOn w:val="para0"/>
    <w:next w:val="para0"/>
    <w:pPr>
      <w:ind w:left="567" w:hanging="397"/>
      <w:tabs defTabSz="720">
        <w:tab w:val="left" w:pos="510" w:leader="none"/>
        <w:tab w:val="right" w:pos="9638" w:leader="dot"/>
      </w:tabs>
    </w:pPr>
  </w:style>
  <w:style w:type="paragraph" w:styleId="para14">
    <w:name w:val="toc 3"/>
    <w:qFormat/>
    <w:basedOn w:val="para0"/>
    <w:next w:val="para0"/>
    <w:pPr>
      <w:ind w:left="567" w:hanging="284"/>
      <w:tabs defTabSz="720">
        <w:tab w:val="left" w:pos="510" w:leader="none"/>
        <w:tab w:val="right" w:pos="9638" w:leader="dot"/>
      </w:tabs>
    </w:pPr>
  </w:style>
  <w:style w:type="paragraph" w:styleId="para15">
    <w:name w:val="toc 4"/>
    <w:qFormat/>
    <w:basedOn w:val="para0"/>
    <w:next w:val="para0"/>
    <w:pPr>
      <w:ind w:left="680" w:hanging="283"/>
      <w:tabs defTabSz="720">
        <w:tab w:val="left" w:pos="624" w:leader="none"/>
        <w:tab w:val="right" w:pos="9638" w:leader="dot"/>
      </w:tabs>
    </w:pPr>
  </w:style>
  <w:style w:type="paragraph" w:styleId="para16">
    <w:name w:val="toc 5"/>
    <w:qFormat/>
    <w:basedOn w:val="para0"/>
    <w:next w:val="para0"/>
    <w:pPr>
      <w:ind w:left="964" w:hanging="454"/>
      <w:tabs defTabSz="720">
        <w:tab w:val="left" w:pos="907" w:leader="none"/>
        <w:tab w:val="right" w:pos="9638" w:leader="dot"/>
      </w:tabs>
    </w:pPr>
  </w:style>
  <w:style w:type="paragraph" w:styleId="para17">
    <w:name w:val="toc 6"/>
    <w:qFormat/>
    <w:basedOn w:val="para0"/>
    <w:next w:val="para0"/>
    <w:pPr>
      <w:ind w:left="1247" w:hanging="510"/>
      <w:tabs defTabSz="720">
        <w:tab w:val="left" w:pos="1191" w:leader="none"/>
        <w:tab w:val="right" w:pos="9638" w:leader="dot"/>
      </w:tabs>
    </w:pPr>
  </w:style>
  <w:style w:type="paragraph" w:styleId="para18">
    <w:name w:val="Footnote Text"/>
    <w:qFormat/>
    <w:basedOn w:val="para0"/>
    <w:pPr>
      <w:ind w:left="283" w:hanging="283"/>
      <w:spacing w:line="240" w:lineRule="auto"/>
      <w:tabs defTabSz="720">
        <w:tab w:val="left" w:pos="397" w:leader="none"/>
      </w:tabs>
    </w:pPr>
    <w:rPr>
      <w:sz w:val="20"/>
      <w:szCs w:val="20"/>
    </w:rPr>
  </w:style>
  <w:style w:type="paragraph" w:styleId="para19" w:customStyle="1">
    <w:name w:val="Gesetzestext 1. Absatzeinrückung 10 Punkt"/>
    <w:qFormat/>
    <w:basedOn w:val="para4"/>
    <w:pPr>
      <w:ind w:left="510" w:hanging="283"/>
      <w:tabs defTabSz="720">
        <w:tab w:val="left" w:pos="510" w:leader="none"/>
        <w:tab w:val="left" w:pos="680" w:leader="none"/>
        <w:tab w:val="left" w:pos="737" w:leader="none"/>
        <w:tab w:val="left" w:pos="1134" w:leader="none"/>
        <w:tab w:val="right" w:pos="9524" w:leader="dot"/>
      </w:tabs>
    </w:pPr>
    <w:rPr>
      <w:rFonts w:eastAsia="Times New Roman"/>
      <w:sz w:val="20"/>
      <w:szCs w:val="20"/>
    </w:rPr>
  </w:style>
  <w:style w:type="paragraph" w:styleId="para20" w:customStyle="1">
    <w:name w:val="Gesetzestext 2. Absatzeinrückung"/>
    <w:qFormat/>
    <w:basedOn w:val="para4"/>
    <w:pPr>
      <w:ind w:left="680" w:hanging="283"/>
      <w:tabs defTabSz="720">
        <w:tab w:val="left" w:pos="680" w:leader="none"/>
        <w:tab w:val="left" w:pos="737" w:leader="none"/>
        <w:tab w:val="left" w:pos="1191" w:leader="none"/>
        <w:tab w:val="right" w:pos="9524" w:leader="dot"/>
      </w:tabs>
    </w:pPr>
    <w:rPr>
      <w:rFonts w:eastAsia="Times New Roman"/>
      <w:sz w:val="20"/>
      <w:szCs w:val="20"/>
    </w:rPr>
  </w:style>
  <w:style w:type="paragraph" w:styleId="para21" w:customStyle="1">
    <w:name w:val="Gesetzestext 10 Punkt"/>
    <w:qFormat/>
    <w:basedOn w:val="para4"/>
    <w:rPr>
      <w:rFonts w:eastAsia="Times New Roman"/>
      <w:sz w:val="20"/>
      <w:szCs w:val="20"/>
    </w:rPr>
  </w:style>
  <w:style w:type="paragraph" w:styleId="para22" w:customStyle="1">
    <w:name w:val="Gesetzestext Überschrift 11 Punkt"/>
    <w:qFormat/>
    <w:basedOn w:val="para4"/>
    <w:next w:val="para21"/>
    <w:pPr>
      <w:tabs defTabSz="720">
        <w:tab w:val="left" w:pos="0" w:leader="none"/>
        <w:tab w:val="left" w:pos="737" w:leader="none"/>
        <w:tab w:val="right" w:pos="9524" w:leader="dot"/>
      </w:tabs>
    </w:pPr>
    <w:rPr>
      <w:rFonts w:eastAsia="Times New Roman"/>
      <w:b/>
      <w:bCs/>
      <w:sz w:val="22"/>
      <w:szCs w:val="22"/>
    </w:rPr>
  </w:style>
  <w:style w:type="paragraph" w:styleId="para23" w:customStyle="1">
    <w:name w:val="Gesetzestext linksbündig mit Einrückung"/>
    <w:qFormat/>
    <w:basedOn w:val="para4"/>
    <w:pPr>
      <w:ind w:left="397" w:hanging="397"/>
      <w:tabs defTabSz="720">
        <w:tab w:val="left" w:pos="397" w:leader="none"/>
        <w:tab w:val="left" w:pos="737" w:leader="none"/>
        <w:tab w:val="right" w:pos="9524" w:leader="dot"/>
      </w:tabs>
    </w:pPr>
    <w:rPr>
      <w:rFonts w:eastAsia="Times New Roman"/>
      <w:sz w:val="20"/>
      <w:szCs w:val="20"/>
    </w:rPr>
  </w:style>
  <w:style w:type="paragraph" w:styleId="para24" w:customStyle="1">
    <w:name w:val="KAD-Text Courier 9"/>
    <w:qFormat/>
    <w:basedOn w:val="para4"/>
    <w:pPr>
      <w:spacing/>
      <w:jc w:val="left"/>
      <w:tabs defTabSz="720">
        <w:tab w:val="left" w:pos="283" w:leader="none"/>
        <w:tab w:val="left" w:pos="567" w:leader="none"/>
        <w:tab w:val="left" w:pos="737" w:leader="none"/>
        <w:tab w:val="left" w:pos="850" w:leader="none"/>
        <w:tab w:val="left" w:pos="1190" w:leader="none"/>
        <w:tab w:val="right" w:pos="9524" w:leader="dot"/>
      </w:tabs>
    </w:pPr>
    <w:rPr>
      <w:rFonts w:ascii="Courier New" w:hAnsi="Courier New" w:eastAsia="Courier New" w:cs="Courier New"/>
      <w:sz w:val="18"/>
      <w:szCs w:val="18"/>
    </w:rPr>
  </w:style>
  <w:style w:type="paragraph" w:styleId="para26" w:customStyle="1">
    <w:name w:val="TestvorlageRechterSchreibrand"/>
    <w:qFormat/>
    <w:basedOn w:val="para0"/>
    <w:pPr>
      <w:ind w:left="510" w:right="1079" w:hanging="510"/>
      <w:spacing/>
      <w:jc w:val="both"/>
      <w:tabs defTabSz="720">
        <w:tab w:val="left" w:pos="510" w:leader="none"/>
      </w:tabs>
    </w:pPr>
    <w:rPr>
      <w:hyperlink w:anchor="_TOC000002"/>
    </w:rPr>
  </w:style>
  <w:style w:type="paragraph" w:styleId="para27">
    <w:name w:val="toc 7"/>
    <w:qFormat/>
    <w:basedOn w:val="para0"/>
    <w:next w:val="para0"/>
    <w:pPr>
      <w:ind w:left="1247" w:hanging="397"/>
      <w:tabs defTabSz="720">
        <w:tab w:val="left" w:pos="1191" w:leader="none"/>
        <w:tab w:val="right" w:pos="9638" w:leader="dot"/>
      </w:tabs>
    </w:pPr>
  </w:style>
  <w:style w:type="character" w:styleId="char0" w:default="1">
    <w:name w:val="Default Paragraph Font"/>
  </w:style>
  <w:style w:type="character" w:styleId="char1">
    <w:name w:val="Footnote Reference"/>
    <w:rPr>
      <w:vertAlign w:val="superscript" ssSize="66" ssDist="15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 Inhaltsverzeichnis werden Füllzeichen nicht richtig für alle Absatzvormate übernommen</dc:title>
  <dc:subject>2. Wie kann man zweiweilige Überschriften den rechten Schreibrand so einstellen, dass die Seitenzahl weiter rechts steht?</dc:subject>
  <dc:creator/>
  <cp:keywords/>
  <dc:description/>
  <cp:lastModifiedBy>Jens Bender</cp:lastModifiedBy>
  <cp:revision>17</cp:revision>
  <dcterms:created xsi:type="dcterms:W3CDTF">2023-08-14T11:18:35Z</dcterms:created>
  <dcterms:modified xsi:type="dcterms:W3CDTF">2023-08-15T12:58:48Z</dcterms:modified>
</cp:coreProperties>
</file>