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 w:val="0"/>
          <w:sz w:val="32"/>
          <w:szCs w:val="32"/>
        </w:rPr>
      </w:pPr>
      <w:r>
        <w:rPr>
          <w:rFonts w:ascii="Calibri" w:hAnsi="Calibri" w:eastAsia="Calibri" w:cs="Calibri"/>
          <w:b w:val="0"/>
          <w:sz w:val="32"/>
          <w:szCs w:val="32"/>
        </w:rPr>
        <w:t>Werner Ulrich; Thomas Feige</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 w:val="0"/>
          <w:sz w:val="44"/>
          <w:szCs w:val="44"/>
        </w:rPr>
      </w:pPr>
      <w:r>
        <w:rPr>
          <w:rFonts w:ascii="Calibri" w:hAnsi="Calibri" w:eastAsia="Calibri" w:cs="Calibri"/>
          <w:b w:val="0"/>
          <w:sz w:val="44"/>
          <w:szCs w:val="44"/>
        </w:rPr>
        <w:t>Schiffbau mit Bestecken</w:t>
      </w:r>
    </w:p>
    <w:p>
      <w:pPr>
        <w:pStyle w:val="para22"/>
        <w:rPr>
          <w:rFonts w:ascii="Calibri" w:hAnsi="Calibri" w:eastAsia="Calibri" w:cs="Calibri"/>
          <w:sz w:val="40"/>
          <w:szCs w:val="40"/>
        </w:rPr>
      </w:pPr>
      <w:r>
        <w:br w:type="page"/>
      </w:r>
      <w:r>
        <w:rPr>
          <w:rFonts w:ascii="Calibri" w:hAnsi="Calibri" w:eastAsia="Calibri" w:cs="Calibri"/>
          <w:sz w:val="40"/>
          <w:szCs w:val="40"/>
        </w:rPr>
      </w:r>
    </w:p>
    <w:p>
      <w:pPr>
        <w:pStyle w:val="para22"/>
        <w:rPr>
          <w:rFonts w:ascii="Calibri" w:hAnsi="Calibri" w:eastAsia="Calibri" w:cs="Calibri"/>
          <w:sz w:val="40"/>
          <w:szCs w:val="40"/>
        </w:rPr>
      </w:pPr>
      <w:r>
        <w:br w:type="page"/>
      </w:r>
      <w:r>
        <w:rPr>
          <w:rFonts w:ascii="Calibri" w:hAnsi="Calibri" w:eastAsia="Calibri" w:cs="Calibri"/>
          <w:sz w:val="40"/>
          <w:szCs w:val="40"/>
        </w:rPr>
        <w:t>Quellenstudien zur Schiffbaugeschichte</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 w:val="0"/>
          <w:bCs/>
          <w:sz w:val="32"/>
          <w:szCs w:val="32"/>
        </w:rPr>
      </w:pPr>
      <w:r>
        <w:rPr>
          <w:rFonts w:ascii="Calibri" w:hAnsi="Calibri" w:eastAsia="Calibri" w:cs="Calibri"/>
          <w:b w:val="0"/>
          <w:bCs/>
          <w:sz w:val="32"/>
          <w:szCs w:val="32"/>
        </w:rPr>
        <w:t>Band 4</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 w:val="0"/>
          <w:bCs/>
          <w:sz w:val="32"/>
          <w:szCs w:val="32"/>
        </w:rPr>
      </w:pPr>
      <w:r>
        <w:rPr>
          <w:rFonts w:ascii="Calibri" w:hAnsi="Calibri" w:eastAsia="Calibri" w:cs="Calibri"/>
          <w:b w:val="0"/>
          <w:bCs/>
          <w:sz w:val="32"/>
          <w:szCs w:val="32"/>
        </w:rPr>
        <w:t>Werner Ulrich; Thomas Feige</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Cs/>
          <w:sz w:val="52"/>
          <w:szCs w:val="52"/>
        </w:rPr>
      </w:pPr>
      <w:r>
        <w:rPr>
          <w:rFonts w:ascii="Calibri" w:hAnsi="Calibri" w:eastAsia="Calibri" w:cs="Calibri"/>
          <w:bCs/>
          <w:sz w:val="52"/>
          <w:szCs w:val="52"/>
        </w:rPr>
        <w:t>Schiffbau mit Bestecken</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Cs/>
          <w:sz w:val="40"/>
          <w:szCs w:val="40"/>
        </w:rPr>
      </w:pPr>
      <w:r>
        <w:rPr>
          <w:rFonts w:ascii="Calibri" w:hAnsi="Calibri" w:eastAsia="Calibri" w:cs="Calibri"/>
          <w:bCs/>
          <w:sz w:val="40"/>
          <w:szCs w:val="40"/>
        </w:rPr>
        <w:t>Konstruktion im 16./17. und 18. Jahrhundert</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Cs/>
          <w:sz w:val="36"/>
          <w:szCs w:val="36"/>
        </w:rPr>
      </w:pPr>
      <w:r>
        <w:rPr>
          <w:rFonts w:ascii="Calibri" w:hAnsi="Calibri" w:eastAsia="Calibri" w:cs="Calibri"/>
          <w:bCs/>
          <w:sz w:val="36"/>
          <w:szCs w:val="36"/>
        </w:rPr>
      </w:r>
    </w:p>
    <w:p>
      <w:pPr>
        <w:pStyle w:val="para22"/>
        <w:rPr>
          <w:rFonts w:ascii="Calibri" w:hAnsi="Calibri" w:eastAsia="Calibri" w:cs="Calibri"/>
          <w:b w:val="0"/>
          <w:sz w:val="36"/>
          <w:szCs w:val="36"/>
        </w:rPr>
      </w:pPr>
      <w:r>
        <w:rPr>
          <w:rFonts w:ascii="Calibri" w:hAnsi="Calibri" w:eastAsia="Calibri" w:cs="Calibri"/>
          <w:b w:val="0"/>
          <w:sz w:val="36"/>
          <w:szCs w:val="36"/>
        </w:rPr>
      </w:r>
    </w:p>
    <w:p>
      <w:pPr>
        <w:pStyle w:val="para22"/>
        <w:rPr>
          <w:rFonts w:ascii="Calibri" w:hAnsi="Calibri" w:eastAsia="Calibri" w:cs="Calibri"/>
          <w:b w:val="0"/>
          <w:sz w:val="36"/>
          <w:szCs w:val="36"/>
        </w:rPr>
      </w:pPr>
      <w:r>
        <w:rPr>
          <w:rFonts w:ascii="Calibri" w:hAnsi="Calibri" w:eastAsia="Calibri" w:cs="Calibri"/>
          <w:b w:val="0"/>
          <w:sz w:val="36"/>
          <w:szCs w:val="36"/>
        </w:rPr>
        <w:t>nach Dokumenten</w:t>
        <w:br w:type="textWrapping"/>
        <w:t>aus verschiedenen</w:t>
        <w:br w:type="textWrapping"/>
        <w:t>niederländischen Archiven</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4"/>
      </w:pPr>
      <w:r/>
    </w:p>
    <w:p>
      <w:pPr>
        <w:pStyle w:val="para4"/>
      </w:p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 w:val="0"/>
          <w:bCs/>
          <w:sz w:val="32"/>
          <w:szCs w:val="32"/>
        </w:rPr>
      </w:pPr>
      <w:r>
        <w:rPr>
          <w:rFonts w:ascii="Calibri" w:hAnsi="Calibri" w:eastAsia="Calibri" w:cs="Calibri"/>
          <w:b w:val="0"/>
          <w:bCs/>
          <w:sz w:val="32"/>
          <w:szCs w:val="32"/>
        </w:rPr>
        <w:t>Herausgegeben von</w:t>
      </w:r>
    </w:p>
    <w:p>
      <w:pPr>
        <w:pStyle w:val="para22"/>
        <w:rPr>
          <w:rFonts w:ascii="Calibri" w:hAnsi="Calibri" w:eastAsia="Calibri" w:cs="Calibri"/>
          <w:b w:val="0"/>
          <w:bCs/>
          <w:sz w:val="32"/>
          <w:szCs w:val="32"/>
        </w:rPr>
      </w:pPr>
      <w:r>
        <w:rPr>
          <w:rFonts w:ascii="Calibri" w:hAnsi="Calibri" w:eastAsia="Calibri" w:cs="Calibri"/>
          <w:b w:val="0"/>
          <w:bCs/>
          <w:sz w:val="32"/>
          <w:szCs w:val="32"/>
        </w:rPr>
        <w:t>Thomas Feige</w:t>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rPr>
      </w:pPr>
      <w:r>
        <w:rPr>
          <w:rFonts w:ascii="Calibri" w:hAnsi="Calibri" w:eastAsia="Calibri" w:cs="Calibri"/>
        </w:rPr>
      </w:r>
    </w:p>
    <w:p>
      <w:pPr>
        <w:pStyle w:val="para22"/>
        <w:rPr>
          <w:rFonts w:ascii="Calibri" w:hAnsi="Calibri" w:eastAsia="Calibri" w:cs="Calibri"/>
          <w:b w:val="0"/>
          <w:bCs/>
          <w:sz w:val="32"/>
          <w:szCs w:val="32"/>
        </w:rPr>
      </w:pPr>
      <w:r>
        <w:rPr>
          <w:rFonts w:ascii="Calibri" w:hAnsi="Calibri" w:eastAsia="Calibri" w:cs="Calibri"/>
          <w:b w:val="0"/>
          <w:bCs/>
          <w:sz w:val="32"/>
          <w:szCs w:val="32"/>
        </w:rPr>
        <w:t>Berlin 2025?</w:t>
      </w:r>
    </w:p>
    <w:p>
      <w:r>
        <w:br w:type="page"/>
      </w:r>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r/>
    </w:p>
    <w:p>
      <w:pPr>
        <w:pStyle w:val="para23"/>
        <w:rPr>
          <w:kern w:val="1" kern="1"/>
          <w:sz w:val="18"/>
          <w:szCs w:val="18"/>
          <w:lang w:val="default" w:eastAsia="default" w:bidi="default"/>
        </w:rPr>
      </w:pPr>
      <w:r>
        <w:rPr>
          <w:kern w:val="1" kern="1"/>
          <w:szCs w:val="20"/>
          <w:lang w:val="default" w:eastAsia="default" w:bidi="default"/>
        </w:rPr>
        <w:t>B</w:t>
      </w:r>
      <w:r>
        <w:rPr>
          <w:kern w:val="1" kern="1"/>
          <w:sz w:val="18"/>
          <w:szCs w:val="18"/>
          <w:lang w:val="default" w:eastAsia="default" w:bidi="default"/>
        </w:rPr>
        <w:t>ibliografische Informationen der Deutschen Nationalbibliothek.</w:t>
        <w:br w:type="textWrapping"/>
        <w:t>Die Deutsche Nationalbibliothek verzeichnet diese Publikation</w:t>
        <w:br w:type="textWrapping"/>
        <w:t>in der Deutschen Nationalbibliothek; detaillierte bibliografische</w:t>
        <w:br w:type="textWrapping"/>
        <w:t>Daten sind im Internet über dnb.dnb.de abrufbar.</w:t>
      </w:r>
      <w:r>
        <w:rPr>
          <w:kern w:val="1" kern="1"/>
          <w:sz w:val="18"/>
          <w:szCs w:val="18"/>
          <w:lang w:val="default" w:eastAsia="default" w:bidi="default"/>
        </w:rPr>
      </w:r>
    </w:p>
    <w:p>
      <w:pPr>
        <w:pStyle w:val="para23"/>
        <w:rPr>
          <w:sz w:val="18"/>
          <w:szCs w:val="18"/>
        </w:rPr>
      </w:pPr>
      <w:r>
        <w:rPr>
          <w:sz w:val="18"/>
          <w:szCs w:val="18"/>
        </w:rPr>
        <w:br w:type="textWrapping"/>
        <w:t>©Werner Ulrich, Ostrhauderfehn</w:t>
        <w:br w:type="textWrapping"/>
        <w:t>Alle Rechte vorbehalten.</w:t>
      </w:r>
    </w:p>
    <w:p>
      <w:pPr>
        <w:pStyle w:val="para23"/>
        <w:rPr>
          <w:sz w:val="18"/>
          <w:szCs w:val="18"/>
        </w:rPr>
      </w:pPr>
      <w:r>
        <w:rPr>
          <w:sz w:val="18"/>
          <w:szCs w:val="18"/>
        </w:rPr>
      </w:r>
    </w:p>
    <w:p>
      <w:pPr>
        <w:pStyle w:val="para23"/>
        <w:rPr>
          <w:sz w:val="18"/>
          <w:szCs w:val="18"/>
        </w:rPr>
      </w:pPr>
      <w:r>
        <w:rPr>
          <w:sz w:val="18"/>
          <w:szCs w:val="18"/>
        </w:rPr>
        <w:t>Herstellung und Verlag: BoD – Books on Demand, Norderstedt</w:t>
        <w:br w:type="textWrapping"/>
        <w:t>Satz und Layout: Thomas Feige, Berlin</w:t>
      </w:r>
    </w:p>
    <w:p>
      <w:pPr>
        <w:pStyle w:val="para23"/>
        <w:rPr>
          <w:sz w:val="18"/>
          <w:szCs w:val="18"/>
        </w:rPr>
      </w:pPr>
      <w:r>
        <w:rPr>
          <w:sz w:val="18"/>
          <w:szCs w:val="18"/>
        </w:rPr>
      </w:r>
    </w:p>
    <w:p>
      <w:pPr>
        <w:pStyle w:val="para23"/>
        <w:rPr>
          <w:sz w:val="18"/>
          <w:szCs w:val="18"/>
        </w:rPr>
      </w:pPr>
      <w:r>
        <w:rPr>
          <w:sz w:val="18"/>
          <w:szCs w:val="18"/>
        </w:rPr>
      </w:r>
    </w:p>
    <w:p>
      <w:pPr>
        <w:pStyle w:val="para23"/>
        <w:rPr>
          <w:sz w:val="18"/>
          <w:szCs w:val="18"/>
        </w:rPr>
      </w:pPr>
      <w:r>
        <w:rPr>
          <w:sz w:val="18"/>
          <w:szCs w:val="18"/>
        </w:rPr>
        <w:t>ISBN: 000000000000000</w:t>
      </w:r>
      <w:r>
        <w:rPr>
          <w:b/>
          <w:bCs/>
          <w:kern w:val="1" kern="1"/>
          <w:sz w:val="40"/>
          <w:szCs w:val="40"/>
          <w:lang w:val="default" w:eastAsia="default" w:bidi="default"/>
        </w:rPr>
      </w:r>
      <w:r>
        <w:rPr>
          <w:b/>
          <w:bCs/>
          <w:kern w:val="1" kern="1"/>
          <w:sz w:val="40"/>
          <w:szCs w:val="40"/>
          <w:lang w:val="default" w:eastAsia="default" w:bidi="default"/>
        </w:rPr>
        <w:fldChar w:fldCharType="begin"/>
        <w:instrText xml:space="preserve"> TITLE </w:instrText>
        <w:fldChar w:fldCharType="separate"/>
        <w:fldChar w:fldCharType="end"/>
      </w:r>
    </w:p>
    <w:p>
      <w:pPr>
        <w:pStyle w:val="para6"/>
        <w:tabs defTabSz="708">
          <w:tab w:val="clear" w:pos="709" w:leader="none"/>
          <w:tab w:val="right" w:pos="9639" w:leader="middleDot"/>
        </w:tabs>
      </w:pPr>
      <w:r>
        <w:br w:type="page"/>
      </w:r>
      <w:r>
        <w:fldChar w:fldCharType="begin"/>
      </w:r>
      <w:r>
        <w:instrText xml:space="preserve"> TOC \o "1 - 9" \z </w:instrText>
      </w:r>
      <w:r>
        <w:fldChar w:fldCharType="separate"/>
      </w:r>
      <w:r>
        <w:rPr>
          <w:hyperlink w:anchor="_TOC000007"/>
        </w:rPr>
        <w:t>Einleitung</w:t>
        <w:tab/>
        <w:t>8</w:t>
      </w:r>
    </w:p>
    <w:p>
      <w:pPr>
        <w:pStyle w:val="para7"/>
        <w:tabs defTabSz="708">
          <w:tab w:val="clear" w:pos="709" w:leader="middleDot"/>
          <w:tab w:val="right" w:pos="9639" w:leader="middleDot"/>
        </w:tabs>
      </w:pPr>
      <w:r>
        <w:rPr>
          <w:hyperlink w:anchor="_TOC000122"/>
        </w:rPr>
        <w:t>Allgemeines</w:t>
        <w:tab/>
        <w:t>8</w:t>
      </w:r>
    </w:p>
    <w:p>
      <w:pPr>
        <w:pStyle w:val="para7"/>
        <w:tabs defTabSz="708">
          <w:tab w:val="clear" w:pos="709" w:leader="middleDot"/>
          <w:tab w:val="right" w:pos="9639" w:leader="middleDot"/>
        </w:tabs>
      </w:pPr>
      <w:r>
        <w:rPr>
          <w:rFonts w:eastAsia="Comic Sans MS"/>
          <w:hyperlink w:anchor="_TOC000123"/>
        </w:rPr>
        <w:t>Ausgang der Betrachtung</w:t>
      </w:r>
      <w:r>
        <w:rPr>
          <w:hyperlink w:anchor="_TOC000123"/>
        </w:rPr>
        <w:tab/>
        <w:t>8</w:t>
      </w:r>
    </w:p>
    <w:p>
      <w:pPr>
        <w:pStyle w:val="para7"/>
        <w:tabs defTabSz="708">
          <w:tab w:val="clear" w:pos="709" w:leader="middleDot"/>
          <w:tab w:val="right" w:pos="9639" w:leader="middleDot"/>
        </w:tabs>
      </w:pPr>
      <w:r>
        <w:rPr>
          <w:hyperlink w:anchor="_TOC000024"/>
        </w:rPr>
        <w:t>Größenangaben der Schiffe allgemein</w:t>
        <w:tab/>
        <w:t>9</w:t>
      </w:r>
    </w:p>
    <w:p>
      <w:pPr>
        <w:pStyle w:val="para7"/>
        <w:tabs defTabSz="708">
          <w:tab w:val="clear" w:pos="709" w:leader="middleDot"/>
          <w:tab w:val="right" w:pos="9639" w:leader="middleDot"/>
        </w:tabs>
      </w:pPr>
      <w:r>
        <w:rPr>
          <w:hyperlink w:anchor="_TOC000042"/>
        </w:rPr>
        <w:t>Die Maßsysteme</w:t>
        <w:tab/>
        <w:t>11</w:t>
      </w:r>
    </w:p>
    <w:p>
      <w:pPr>
        <w:pStyle w:val="para7"/>
        <w:tabs defTabSz="708">
          <w:tab w:val="clear" w:pos="709" w:leader="middleDot"/>
          <w:tab w:val="right" w:pos="9639" w:leader="middleDot"/>
        </w:tabs>
      </w:pPr>
      <w:r>
        <w:rPr>
          <w:hyperlink w:anchor="_TOC000207"/>
        </w:rPr>
        <w:t>Die Schiffstypen</w:t>
        <w:tab/>
        <w:t>11</w:t>
      </w:r>
    </w:p>
    <w:p>
      <w:pPr>
        <w:pStyle w:val="para7"/>
        <w:tabs defTabSz="708">
          <w:tab w:val="clear" w:pos="709" w:leader="middleDot"/>
          <w:tab w:val="right" w:pos="9639" w:leader="middleDot"/>
        </w:tabs>
      </w:pPr>
      <w:r>
        <w:rPr>
          <w:hyperlink w:anchor="_TOC000124"/>
        </w:rPr>
        <w:t>Etwas zu den Abmessungen</w:t>
        <w:tab/>
        <w:t>12</w:t>
      </w:r>
    </w:p>
    <w:p>
      <w:pPr>
        <w:pStyle w:val="para7"/>
        <w:tabs defTabSz="708">
          <w:tab w:val="clear" w:pos="709" w:leader="middleDot"/>
          <w:tab w:val="right" w:pos="9639" w:leader="middleDot"/>
        </w:tabs>
      </w:pPr>
      <w:r>
        <w:rPr>
          <w:hyperlink w:anchor="_TOC000121"/>
        </w:rPr>
        <w:t>Die Jahre 1653/54 und 1654/5517. Jahrhundert; Adm</w:t>
        <w:tab/>
        <w:t>12</w:t>
      </w:r>
    </w:p>
    <w:p>
      <w:pPr>
        <w:pStyle w:val="para6"/>
        <w:tabs defTabSz="708">
          <w:tab w:val="clear" w:pos="709" w:leader="none"/>
          <w:tab w:val="right" w:pos="9639" w:leader="middleDot"/>
        </w:tabs>
      </w:pPr>
      <w:r>
        <w:rPr>
          <w:hyperlink w:anchor="_TOC000125"/>
        </w:rPr>
        <w:t>Allgemeines zu den Bestecken; Ablauf und Aufbau.</w:t>
        <w:tab/>
        <w:t>13</w:t>
      </w:r>
    </w:p>
    <w:p>
      <w:pPr>
        <w:pStyle w:val="para7"/>
        <w:tabs defTabSz="708">
          <w:tab w:val="clear" w:pos="709" w:leader="middleDot"/>
          <w:tab w:val="right" w:pos="9639" w:leader="middleDot"/>
        </w:tabs>
      </w:pPr>
      <w:r>
        <w:rPr>
          <w:hyperlink w:anchor="_TOC000041"/>
        </w:rPr>
        <w:t>Der technische Teil in den Bestecken</w:t>
        <w:tab/>
        <w:t>13</w:t>
      </w:r>
    </w:p>
    <w:p>
      <w:pPr>
        <w:pStyle w:val="para7"/>
        <w:tabs defTabSz="708">
          <w:tab w:val="clear" w:pos="709" w:leader="middleDot"/>
          <w:tab w:val="right" w:pos="9639" w:leader="middleDot"/>
        </w:tabs>
      </w:pPr>
      <w:r>
        <w:rPr>
          <w:hyperlink w:anchor="_TOC000058"/>
        </w:rPr>
        <w:t>Frühe Versuche in Zeeland16. Jahrhundert; Adm</w:t>
        <w:tab/>
        <w:t>15</w:t>
      </w:r>
    </w:p>
    <w:p>
      <w:pPr>
        <w:pStyle w:val="para7"/>
        <w:tabs defTabSz="708">
          <w:tab w:val="clear" w:pos="709" w:leader="middleDot"/>
          <w:tab w:val="right" w:pos="9639" w:leader="middleDot"/>
        </w:tabs>
      </w:pPr>
      <w:r>
        <w:rPr>
          <w:hyperlink w:anchor="_TOC000009"/>
        </w:rPr>
        <w:t>Bestecke nach 1600 bis in die 1650er-Jahre; Adm</w:t>
        <w:tab/>
        <w:t>15</w:t>
      </w:r>
    </w:p>
    <w:p>
      <w:pPr>
        <w:pStyle w:val="para7"/>
        <w:tabs defTabSz="708">
          <w:tab w:val="clear" w:pos="709" w:leader="middleDot"/>
          <w:tab w:val="right" w:pos="9639" w:leader="middleDot"/>
        </w:tabs>
      </w:pPr>
      <w:r>
        <w:rPr>
          <w:hyperlink w:anchor="_TOC000012"/>
        </w:rPr>
        <w:t>Beurteilung der Bestecke des ersten großen Bauprogramms im 17. Jahrhundert; Adm</w:t>
        <w:tab/>
        <w:t>15</w:t>
      </w:r>
    </w:p>
    <w:p>
      <w:pPr>
        <w:pStyle w:val="para7"/>
        <w:tabs defTabSz="708">
          <w:tab w:val="clear" w:pos="709" w:leader="middleDot"/>
          <w:tab w:val="right" w:pos="9639" w:leader="middleDot"/>
        </w:tabs>
      </w:pPr>
      <w:r>
        <w:rPr>
          <w:hyperlink w:anchor="_TOC000174"/>
        </w:rPr>
        <w:t>Die Entwurfspraktik in den Niederlanden; allgemein</w:t>
        <w:tab/>
        <w:t>16</w:t>
      </w:r>
    </w:p>
    <w:p>
      <w:pPr>
        <w:pStyle w:val="para6"/>
        <w:tabs defTabSz="708">
          <w:tab w:val="clear" w:pos="709" w:leader="none"/>
          <w:tab w:val="right" w:pos="9639" w:leader="middleDot"/>
        </w:tabs>
      </w:pPr>
      <w:r>
        <w:rPr>
          <w:hyperlink w:anchor="_TOC000002"/>
        </w:rPr>
        <w:t>Konstruktionswerkzeuge in den Niederlanden; allgemein</w:t>
        <w:tab/>
        <w:t>16</w:t>
      </w:r>
    </w:p>
    <w:p>
      <w:pPr>
        <w:pStyle w:val="para7"/>
        <w:tabs defTabSz="708">
          <w:tab w:val="clear" w:pos="709" w:leader="middleDot"/>
          <w:tab w:val="right" w:pos="9639" w:leader="middleDot"/>
        </w:tabs>
      </w:pPr>
      <w:r>
        <w:rPr>
          <w:hyperlink w:anchor="_TOC000175"/>
        </w:rPr>
        <w:t>Das Hauptspant; allgemein</w:t>
        <w:tab/>
        <w:t>17</w:t>
      </w:r>
    </w:p>
    <w:p>
      <w:pPr>
        <w:pStyle w:val="para7"/>
        <w:tabs defTabSz="708">
          <w:tab w:val="clear" w:pos="709" w:leader="middleDot"/>
          <w:tab w:val="right" w:pos="9639" w:leader="middleDot"/>
        </w:tabs>
      </w:pPr>
      <w:r>
        <w:rPr>
          <w:hyperlink w:anchor="_TOC000176"/>
        </w:rPr>
        <w:t>Die Spantkontur; allgemein</w:t>
        <w:tab/>
        <w:t>18</w:t>
      </w:r>
    </w:p>
    <w:p>
      <w:pPr>
        <w:pStyle w:val="para7"/>
        <w:tabs defTabSz="708">
          <w:tab w:val="clear" w:pos="709" w:leader="middleDot"/>
          <w:tab w:val="right" w:pos="9639" w:leader="middleDot"/>
        </w:tabs>
      </w:pPr>
      <w:r>
        <w:rPr>
          <w:hyperlink w:anchor="_TOC000003"/>
        </w:rPr>
        <w:t>Die Senten; allgemein</w:t>
        <w:tab/>
        <w:t>19</w:t>
      </w:r>
    </w:p>
    <w:p>
      <w:pPr>
        <w:pStyle w:val="para7"/>
        <w:tabs defTabSz="708">
          <w:tab w:val="clear" w:pos="709" w:leader="middleDot"/>
          <w:tab w:val="right" w:pos="9639" w:leader="middleDot"/>
        </w:tabs>
      </w:pPr>
      <w:r>
        <w:rPr>
          <w:hyperlink w:anchor="_TOC000073"/>
        </w:rPr>
        <w:t>Der Entwurf vor 1700; allgemein</w:t>
        <w:tab/>
        <w:t>19</w:t>
      </w:r>
    </w:p>
    <w:p>
      <w:pPr>
        <w:pStyle w:val="para6"/>
        <w:tabs defTabSz="708">
          <w:tab w:val="clear" w:pos="709" w:leader="none"/>
          <w:tab w:val="right" w:pos="9639" w:leader="middleDot"/>
        </w:tabs>
      </w:pPr>
      <w:r>
        <w:rPr>
          <w:hyperlink w:anchor="_TOC000077"/>
        </w:rPr>
        <w:t>Die Bauteile eines Schiffes; allgemein</w:t>
        <w:tab/>
        <w:t>22</w:t>
      </w:r>
    </w:p>
    <w:p>
      <w:pPr>
        <w:pStyle w:val="para7"/>
        <w:tabs defTabSz="708">
          <w:tab w:val="clear" w:pos="709" w:leader="middleDot"/>
          <w:tab w:val="right" w:pos="9639" w:leader="middleDot"/>
        </w:tabs>
      </w:pPr>
      <w:r>
        <w:rPr>
          <w:hyperlink w:anchor="_TOC000179"/>
        </w:rPr>
        <w:t>Der Kiel; allgemein</w:t>
        <w:tab/>
        <w:t>22</w:t>
      </w:r>
    </w:p>
    <w:p>
      <w:pPr>
        <w:pStyle w:val="para7"/>
        <w:tabs defTabSz="708">
          <w:tab w:val="clear" w:pos="709" w:leader="middleDot"/>
          <w:tab w:val="right" w:pos="9639" w:leader="middleDot"/>
        </w:tabs>
      </w:pPr>
      <w:r>
        <w:rPr>
          <w:hyperlink w:anchor="_TOC000216"/>
        </w:rPr>
        <w:t>Die Kattspuren; allgemein</w:t>
        <w:tab/>
        <w:t>23</w:t>
      </w:r>
    </w:p>
    <w:p>
      <w:pPr>
        <w:pStyle w:val="para7"/>
        <w:tabs defTabSz="708">
          <w:tab w:val="clear" w:pos="709" w:leader="middleDot"/>
          <w:tab w:val="right" w:pos="9639" w:leader="middleDot"/>
        </w:tabs>
      </w:pPr>
      <w:r>
        <w:rPr>
          <w:hyperlink w:anchor="_TOC000071"/>
        </w:rPr>
        <w:t>Das Heck der Schiffe; allgemein</w:t>
        <w:tab/>
        <w:t>23</w:t>
      </w:r>
    </w:p>
    <w:p>
      <w:pPr>
        <w:pStyle w:val="para7"/>
        <w:tabs defTabSz="708">
          <w:tab w:val="clear" w:pos="709" w:leader="middleDot"/>
          <w:tab w:val="right" w:pos="9639" w:leader="middleDot"/>
        </w:tabs>
      </w:pPr>
      <w:r>
        <w:rPr>
          <w:hyperlink w:anchor="_TOC000018"/>
        </w:rPr>
        <w:t>Die Veränderungen am Heck; allgemein</w:t>
        <w:tab/>
        <w:t>23</w:t>
      </w:r>
    </w:p>
    <w:p>
      <w:pPr>
        <w:pStyle w:val="para7"/>
        <w:tabs defTabSz="708">
          <w:tab w:val="clear" w:pos="709" w:leader="middleDot"/>
          <w:tab w:val="right" w:pos="9639" w:leader="middleDot"/>
        </w:tabs>
      </w:pPr>
      <w:r>
        <w:rPr>
          <w:hyperlink w:anchor="_TOC000076"/>
        </w:rPr>
        <w:t>Das Galion; allgemein</w:t>
        <w:tab/>
        <w:t>24</w:t>
      </w:r>
    </w:p>
    <w:p>
      <w:pPr>
        <w:pStyle w:val="para7"/>
        <w:tabs defTabSz="708">
          <w:tab w:val="clear" w:pos="709" w:leader="middleDot"/>
          <w:tab w:val="right" w:pos="9639" w:leader="middleDot"/>
        </w:tabs>
      </w:pPr>
      <w:r>
        <w:rPr>
          <w:hyperlink w:anchor="_TOC000027"/>
        </w:rPr>
        <w:t>Die Außenhaut; allgemein</w:t>
        <w:tab/>
        <w:t>24</w:t>
      </w:r>
    </w:p>
    <w:p>
      <w:pPr>
        <w:pStyle w:val="para7"/>
        <w:tabs defTabSz="708">
          <w:tab w:val="clear" w:pos="709" w:leader="middleDot"/>
          <w:tab w:val="right" w:pos="9639" w:leader="middleDot"/>
        </w:tabs>
      </w:pPr>
      <w:r>
        <w:rPr>
          <w:hyperlink w:anchor="_TOC000043"/>
        </w:rPr>
        <w:t>Die Berghölzer; allgemein</w:t>
        <w:tab/>
        <w:t>24</w:t>
      </w:r>
    </w:p>
    <w:p>
      <w:pPr>
        <w:pStyle w:val="para6"/>
        <w:tabs defTabSz="708">
          <w:tab w:val="clear" w:pos="709" w:leader="none"/>
          <w:tab w:val="right" w:pos="9639" w:leader="middleDot"/>
        </w:tabs>
      </w:pPr>
      <w:r>
        <w:rPr>
          <w:hyperlink w:anchor="_TOC000028"/>
        </w:rPr>
        <w:t>Die Decks; allgemein</w:t>
        <w:tab/>
        <w:t>25</w:t>
      </w:r>
    </w:p>
    <w:p>
      <w:pPr>
        <w:pStyle w:val="para7"/>
        <w:tabs defTabSz="708">
          <w:tab w:val="clear" w:pos="709" w:leader="middleDot"/>
          <w:tab w:val="right" w:pos="9639" w:leader="middleDot"/>
        </w:tabs>
      </w:pPr>
      <w:r>
        <w:rPr>
          <w:hyperlink w:anchor="_TOC000075"/>
        </w:rPr>
        <w:t>Die Decksbalken</w:t>
        <w:tab/>
        <w:t>25</w:t>
      </w:r>
    </w:p>
    <w:p>
      <w:pPr>
        <w:pStyle w:val="para7"/>
        <w:tabs defTabSz="708">
          <w:tab w:val="clear" w:pos="709" w:leader="middleDot"/>
          <w:tab w:val="right" w:pos="9639" w:leader="middleDot"/>
        </w:tabs>
      </w:pPr>
      <w:r>
        <w:rPr>
          <w:hyperlink w:anchor="_TOC000029"/>
        </w:rPr>
        <w:t>Die Gangborde; allgemein</w:t>
        <w:tab/>
        <w:t>26</w:t>
      </w:r>
    </w:p>
    <w:p>
      <w:pPr>
        <w:pStyle w:val="para7"/>
        <w:tabs defTabSz="708">
          <w:tab w:val="clear" w:pos="709" w:leader="middleDot"/>
          <w:tab w:val="right" w:pos="9639" w:leader="middleDot"/>
        </w:tabs>
      </w:pPr>
      <w:r>
        <w:rPr>
          <w:hyperlink w:anchor="_TOC000030"/>
        </w:rPr>
        <w:t>Setzweger; allgemein</w:t>
        <w:tab/>
        <w:t>26</w:t>
      </w:r>
    </w:p>
    <w:p>
      <w:pPr>
        <w:pStyle w:val="para7"/>
        <w:tabs defTabSz="708">
          <w:tab w:val="clear" w:pos="709" w:leader="middleDot"/>
          <w:tab w:val="right" w:pos="9639" w:leader="middleDot"/>
        </w:tabs>
      </w:pPr>
      <w:r>
        <w:rPr>
          <w:hyperlink w:anchor="_TOC000031"/>
        </w:rPr>
        <w:t>Die Scheerstöcke; allgemein</w:t>
        <w:tab/>
        <w:t>26</w:t>
      </w:r>
    </w:p>
    <w:p>
      <w:pPr>
        <w:pStyle w:val="para7"/>
        <w:tabs defTabSz="708">
          <w:tab w:val="clear" w:pos="709" w:leader="middleDot"/>
          <w:tab w:val="right" w:pos="9639" w:leader="middleDot"/>
        </w:tabs>
      </w:pPr>
      <w:r>
        <w:rPr>
          <w:hyperlink w:anchor="_TOC000032"/>
        </w:rPr>
        <w:t>Die Beplankung der Decks; allgemein</w:t>
        <w:tab/>
        <w:t>26</w:t>
      </w:r>
    </w:p>
    <w:p>
      <w:pPr>
        <w:pStyle w:val="para7"/>
        <w:tabs defTabSz="708">
          <w:tab w:val="clear" w:pos="709" w:leader="middleDot"/>
          <w:tab w:val="right" w:pos="9639" w:leader="middleDot"/>
        </w:tabs>
      </w:pPr>
      <w:r>
        <w:rPr>
          <w:hyperlink w:anchor="_TOC000033"/>
        </w:rPr>
        <w:t>Die Wegerung im Schiff; allgemein</w:t>
        <w:tab/>
        <w:t>26</w:t>
      </w:r>
    </w:p>
    <w:p>
      <w:pPr>
        <w:pStyle w:val="para6"/>
        <w:tabs defTabSz="708">
          <w:tab w:val="clear" w:pos="709" w:leader="none"/>
          <w:tab w:val="right" w:pos="9639" w:leader="middleDot"/>
        </w:tabs>
      </w:pPr>
      <w:r>
        <w:rPr>
          <w:hyperlink w:anchor="_TOC000140"/>
        </w:rPr>
        <w:t>Die Flottenbauprogramme des 17. Jahrhunderts; Adm</w:t>
        <w:tab/>
        <w:t>28</w:t>
      </w:r>
    </w:p>
    <w:p>
      <w:pPr>
        <w:pStyle w:val="para7"/>
        <w:tabs defTabSz="708">
          <w:tab w:val="clear" w:pos="709" w:leader="middleDot"/>
          <w:tab w:val="right" w:pos="9639" w:leader="middleDot"/>
        </w:tabs>
      </w:pPr>
      <w:r>
        <w:rPr>
          <w:hyperlink w:anchor="_TOC000162"/>
        </w:rPr>
        <w:t>Die Auftragsvergabe; Adm</w:t>
        <w:tab/>
        <w:t>33</w:t>
      </w:r>
    </w:p>
    <w:p>
      <w:pPr>
        <w:pStyle w:val="para7"/>
        <w:tabs defTabSz="708">
          <w:tab w:val="clear" w:pos="709" w:leader="middleDot"/>
          <w:tab w:val="right" w:pos="9639" w:leader="middleDot"/>
        </w:tabs>
      </w:pPr>
      <w:r>
        <w:rPr>
          <w:hyperlink w:anchor="_TOC000163"/>
        </w:rPr>
        <w:t>Die zweite Bauserie 1654-55; Adm</w:t>
        <w:tab/>
        <w:t>34</w:t>
      </w:r>
    </w:p>
    <w:p>
      <w:pPr>
        <w:pStyle w:val="para7"/>
        <w:tabs defTabSz="708">
          <w:tab w:val="clear" w:pos="709" w:leader="middleDot"/>
          <w:tab w:val="right" w:pos="9639" w:leader="middleDot"/>
        </w:tabs>
      </w:pPr>
      <w:r>
        <w:rPr>
          <w:hyperlink w:anchor="_TOC000092"/>
        </w:rPr>
        <w:t>Weitere Neubauten nach 1660; Adm</w:t>
        <w:tab/>
        <w:t>36</w:t>
      </w:r>
    </w:p>
    <w:p>
      <w:pPr>
        <w:pStyle w:val="para7"/>
        <w:tabs defTabSz="708">
          <w:tab w:val="clear" w:pos="709" w:leader="middleDot"/>
          <w:tab w:val="right" w:pos="9639" w:leader="middleDot"/>
        </w:tabs>
      </w:pPr>
      <w:r>
        <w:rPr>
          <w:hyperlink w:anchor="_TOC000261"/>
        </w:rPr>
        <w:t>Die Bauaufsichten; Adm</w:t>
        <w:tab/>
        <w:t>37</w:t>
      </w:r>
    </w:p>
    <w:p>
      <w:pPr>
        <w:pStyle w:val="para7"/>
        <w:tabs defTabSz="708">
          <w:tab w:val="clear" w:pos="709" w:leader="middleDot"/>
          <w:tab w:val="right" w:pos="9639" w:leader="middleDot"/>
        </w:tabs>
      </w:pPr>
      <w:r>
        <w:rPr>
          <w:hyperlink w:anchor="_TOC000262"/>
        </w:rPr>
        <w:t>Kurzer Rückblick; Adm</w:t>
        <w:tab/>
        <w:t>38</w:t>
      </w:r>
    </w:p>
    <w:p>
      <w:pPr>
        <w:pStyle w:val="para7"/>
        <w:tabs defTabSz="708">
          <w:tab w:val="clear" w:pos="709" w:leader="middleDot"/>
          <w:tab w:val="right" w:pos="9639" w:leader="middleDot"/>
        </w:tabs>
      </w:pPr>
      <w:r>
        <w:rPr>
          <w:hyperlink w:anchor="_TOC000010"/>
        </w:rPr>
        <w:t>Menschliche Aspekte, allgemein</w:t>
        <w:tab/>
        <w:t>39</w:t>
      </w:r>
    </w:p>
    <w:p>
      <w:pPr>
        <w:pStyle w:val="para7"/>
        <w:tabs defTabSz="708">
          <w:tab w:val="clear" w:pos="709" w:leader="middleDot"/>
          <w:tab w:val="right" w:pos="9639" w:leader="middleDot"/>
        </w:tabs>
      </w:pPr>
      <w:r>
        <w:rPr>
          <w:hyperlink w:anchor="_TOC000011"/>
        </w:rPr>
        <w:t>Regeln im 17. Jahrhundert; allgemein, Adm</w:t>
        <w:tab/>
        <w:t>39</w:t>
      </w:r>
    </w:p>
    <w:p>
      <w:pPr>
        <w:pStyle w:val="para7"/>
        <w:tabs defTabSz="708">
          <w:tab w:val="clear" w:pos="709" w:leader="middleDot"/>
          <w:tab w:val="right" w:pos="9639" w:leader="middleDot"/>
        </w:tabs>
      </w:pPr>
      <w:r>
        <w:rPr>
          <w:hyperlink w:anchor="_TOC000013"/>
        </w:rPr>
        <w:t>Leichte Verbesserungen an den Schiffen; Adm</w:t>
        <w:tab/>
        <w:t>39</w:t>
      </w:r>
    </w:p>
    <w:p>
      <w:pPr>
        <w:pStyle w:val="para7"/>
        <w:tabs defTabSz="708">
          <w:tab w:val="clear" w:pos="709" w:leader="middleDot"/>
          <w:tab w:val="right" w:pos="9639" w:leader="middleDot"/>
        </w:tabs>
      </w:pPr>
      <w:r>
        <w:rPr>
          <w:hyperlink w:anchor="_TOC000014"/>
        </w:rPr>
        <w:t>Reparatur der Brederode; Adm</w:t>
        <w:tab/>
        <w:t>40</w:t>
      </w:r>
    </w:p>
    <w:p>
      <w:pPr>
        <w:pStyle w:val="para7"/>
        <w:tabs defTabSz="708">
          <w:tab w:val="clear" w:pos="709" w:leader="middleDot"/>
          <w:tab w:val="right" w:pos="9639" w:leader="middleDot"/>
        </w:tabs>
      </w:pPr>
      <w:r>
        <w:rPr>
          <w:hyperlink w:anchor="_TOC000221"/>
        </w:rPr>
        <w:t>Veränderungen an der Außenhaut eines Schiffes; Adm</w:t>
        <w:tab/>
        <w:t>41</w:t>
      </w:r>
    </w:p>
    <w:p>
      <w:pPr>
        <w:pStyle w:val="para7"/>
        <w:tabs defTabSz="708">
          <w:tab w:val="clear" w:pos="709" w:leader="middleDot"/>
          <w:tab w:val="right" w:pos="9639" w:leader="middleDot"/>
        </w:tabs>
      </w:pPr>
      <w:r>
        <w:rPr>
          <w:hyperlink w:anchor="_TOC000015"/>
        </w:rPr>
        <w:t>Die Tradition der Schiffbauer ändern sich zwangsläufig; Adm</w:t>
        <w:tab/>
        <w:t>41</w:t>
      </w:r>
    </w:p>
    <w:p>
      <w:pPr>
        <w:pStyle w:val="para7"/>
        <w:tabs defTabSz="708">
          <w:tab w:val="clear" w:pos="709" w:leader="middleDot"/>
          <w:tab w:val="right" w:pos="9639" w:leader="middleDot"/>
        </w:tabs>
      </w:pPr>
      <w:r>
        <w:rPr>
          <w:hyperlink w:anchor="_TOC000016"/>
        </w:rPr>
        <w:t>Weitere Werkzeuge der Schiffbauer; allgemein, Adm</w:t>
        <w:tab/>
        <w:t>42</w:t>
      </w:r>
    </w:p>
    <w:p>
      <w:pPr>
        <w:pStyle w:val="para6"/>
        <w:tabs defTabSz="708">
          <w:tab w:val="clear" w:pos="709" w:leader="none"/>
          <w:tab w:val="right" w:pos="9639" w:leader="middleDot"/>
        </w:tabs>
      </w:pPr>
      <w:r>
        <w:rPr>
          <w:hyperlink w:anchor="_TOC000036"/>
        </w:rPr>
        <w:t>Das Material Holz</w:t>
        <w:tab/>
        <w:t>42</w:t>
      </w:r>
    </w:p>
    <w:p>
      <w:pPr>
        <w:pStyle w:val="para6"/>
        <w:tabs defTabSz="708">
          <w:tab w:val="clear" w:pos="709" w:leader="none"/>
          <w:tab w:val="right" w:pos="9639" w:leader="middleDot"/>
        </w:tabs>
      </w:pPr>
      <w:r>
        <w:rPr>
          <w:hyperlink w:anchor="_TOC000044"/>
        </w:rPr>
        <w:t>Der Schiffbau um 1695, allgemein</w:t>
        <w:tab/>
        <w:t>43</w:t>
      </w:r>
    </w:p>
    <w:p>
      <w:pPr>
        <w:pStyle w:val="para7"/>
        <w:tabs defTabSz="708">
          <w:tab w:val="clear" w:pos="709" w:leader="middleDot"/>
          <w:tab w:val="right" w:pos="9639" w:leader="middleDot"/>
        </w:tabs>
      </w:pPr>
      <w:r>
        <w:rPr>
          <w:hyperlink w:anchor="_TOC000045"/>
        </w:rPr>
        <w:t>Der Bodenbereich, allgemein</w:t>
        <w:tab/>
        <w:t>43</w:t>
      </w:r>
    </w:p>
    <w:p>
      <w:pPr>
        <w:pStyle w:val="para7"/>
        <w:tabs defTabSz="708">
          <w:tab w:val="clear" w:pos="709" w:leader="middleDot"/>
          <w:tab w:val="right" w:pos="9639" w:leader="middleDot"/>
        </w:tabs>
      </w:pPr>
      <w:r>
        <w:rPr>
          <w:hyperlink w:anchor="_TOC000046"/>
        </w:rPr>
        <w:t>Die Innenhölzer, allgemein</w:t>
        <w:tab/>
        <w:t>43</w:t>
      </w:r>
    </w:p>
    <w:p>
      <w:pPr>
        <w:pStyle w:val="para7"/>
        <w:tabs defTabSz="708">
          <w:tab w:val="clear" w:pos="709" w:leader="middleDot"/>
          <w:tab w:val="right" w:pos="9639" w:leader="middleDot"/>
        </w:tabs>
      </w:pPr>
      <w:r>
        <w:rPr>
          <w:hyperlink w:anchor="_TOC000047"/>
        </w:rPr>
        <w:t>Der Scheergang, allgemein</w:t>
        <w:tab/>
        <w:t>43</w:t>
      </w:r>
    </w:p>
    <w:p>
      <w:pPr>
        <w:pStyle w:val="para7"/>
        <w:tabs defTabSz="708">
          <w:tab w:val="clear" w:pos="709" w:leader="middleDot"/>
          <w:tab w:val="right" w:pos="9639" w:leader="middleDot"/>
        </w:tabs>
      </w:pPr>
      <w:r>
        <w:rPr>
          <w:hyperlink w:anchor="_TOC000048"/>
        </w:rPr>
        <w:t>Der Kiel, allgemein</w:t>
        <w:tab/>
        <w:t>43</w:t>
      </w:r>
    </w:p>
    <w:p>
      <w:pPr>
        <w:pStyle w:val="para7"/>
        <w:tabs defTabSz="708">
          <w:tab w:val="clear" w:pos="709" w:leader="middleDot"/>
          <w:tab w:val="right" w:pos="9639" w:leader="middleDot"/>
        </w:tabs>
      </w:pPr>
      <w:r>
        <w:rPr>
          <w:hyperlink w:anchor="_TOC000049"/>
        </w:rPr>
        <w:t>Der Vorsteven, allgemein</w:t>
        <w:tab/>
        <w:t>43</w:t>
      </w:r>
    </w:p>
    <w:p>
      <w:pPr>
        <w:pStyle w:val="para7"/>
        <w:tabs defTabSz="708">
          <w:tab w:val="clear" w:pos="709" w:leader="middleDot"/>
          <w:tab w:val="right" w:pos="9639" w:leader="middleDot"/>
        </w:tabs>
      </w:pPr>
      <w:r>
        <w:rPr>
          <w:hyperlink w:anchor="_TOC000050"/>
        </w:rPr>
        <w:t>Der Achtersteven, allgemein</w:t>
        <w:tab/>
        <w:t>44</w:t>
      </w:r>
    </w:p>
    <w:p>
      <w:pPr>
        <w:pStyle w:val="para7"/>
        <w:tabs defTabSz="708">
          <w:tab w:val="clear" w:pos="709" w:leader="middleDot"/>
          <w:tab w:val="right" w:pos="9639" w:leader="middleDot"/>
        </w:tabs>
      </w:pPr>
      <w:r>
        <w:rPr>
          <w:hyperlink w:anchor="_TOC000051"/>
        </w:rPr>
        <w:t>Der Heckbalken, allgemein</w:t>
        <w:tab/>
        <w:t>44</w:t>
      </w:r>
    </w:p>
    <w:p>
      <w:pPr>
        <w:pStyle w:val="para7"/>
        <w:tabs defTabSz="708">
          <w:tab w:val="clear" w:pos="709" w:leader="middleDot"/>
          <w:tab w:val="right" w:pos="9639" w:leader="middleDot"/>
        </w:tabs>
      </w:pPr>
      <w:r>
        <w:rPr>
          <w:hyperlink w:anchor="_TOC000052"/>
        </w:rPr>
        <w:t>Die Randsomhölzer, allgemein</w:t>
        <w:tab/>
        <w:t>44</w:t>
      </w:r>
    </w:p>
    <w:p>
      <w:pPr>
        <w:pStyle w:val="para7"/>
        <w:tabs defTabSz="708">
          <w:tab w:val="clear" w:pos="709" w:leader="middleDot"/>
          <w:tab w:val="right" w:pos="9639" w:leader="middleDot"/>
        </w:tabs>
      </w:pPr>
      <w:r>
        <w:rPr>
          <w:hyperlink w:anchor="_TOC000053"/>
        </w:rPr>
        <w:t>Die Worpen, allgemein</w:t>
        <w:tab/>
        <w:t>44</w:t>
      </w:r>
    </w:p>
    <w:p>
      <w:pPr>
        <w:pStyle w:val="para7"/>
        <w:tabs defTabSz="708">
          <w:tab w:val="clear" w:pos="709" w:leader="middleDot"/>
          <w:tab w:val="right" w:pos="9639" w:leader="middleDot"/>
        </w:tabs>
      </w:pPr>
      <w:r>
        <w:rPr>
          <w:hyperlink w:anchor="_TOC000054"/>
        </w:rPr>
        <w:t>Die Heckstützen, allgemein</w:t>
        <w:tab/>
        <w:t>44</w:t>
      </w:r>
    </w:p>
    <w:p>
      <w:pPr>
        <w:pStyle w:val="para7"/>
        <w:tabs defTabSz="708">
          <w:tab w:val="clear" w:pos="709" w:leader="middleDot"/>
          <w:tab w:val="right" w:pos="9639" w:leader="middleDot"/>
        </w:tabs>
      </w:pPr>
      <w:r>
        <w:rPr>
          <w:hyperlink w:anchor="_TOC000055"/>
        </w:rPr>
        <w:t>Das Gangspill, allgemein</w:t>
        <w:tab/>
        <w:t>45</w:t>
      </w:r>
    </w:p>
    <w:p>
      <w:pPr>
        <w:pStyle w:val="para7"/>
        <w:tabs defTabSz="708">
          <w:tab w:val="clear" w:pos="709" w:leader="middleDot"/>
          <w:tab w:val="right" w:pos="9639" w:leader="middleDot"/>
        </w:tabs>
      </w:pPr>
      <w:r>
        <w:rPr>
          <w:hyperlink w:anchor="_TOC000056"/>
        </w:rPr>
        <w:t>Die Stückpforte am Hauptspant., allgemein</w:t>
        <w:tab/>
        <w:t>45</w:t>
      </w:r>
    </w:p>
    <w:p>
      <w:pPr>
        <w:pStyle w:val="para6"/>
        <w:tabs defTabSz="708">
          <w:tab w:val="clear" w:pos="709" w:leader="none"/>
          <w:tab w:val="right" w:pos="9639" w:leader="middleDot"/>
        </w:tabs>
      </w:pPr>
      <w:r>
        <w:rPr>
          <w:hyperlink w:anchor="_TOC000164"/>
        </w:rPr>
        <w:t>Eine Proportionstabelle von Grebber, allgemein</w:t>
        <w:tab/>
        <w:t>46</w:t>
      </w:r>
    </w:p>
    <w:p>
      <w:pPr>
        <w:pStyle w:val="para6"/>
        <w:tabs defTabSz="708">
          <w:tab w:val="clear" w:pos="709" w:leader="none"/>
          <w:tab w:val="right" w:pos="9639" w:leader="middleDot"/>
        </w:tabs>
      </w:pPr>
      <w:r>
        <w:rPr>
          <w:hyperlink w:anchor="_TOC000119"/>
        </w:rPr>
        <w:t>Die West- und Ostindischen Kompanien</w:t>
        <w:tab/>
        <w:t>50</w:t>
      </w:r>
    </w:p>
    <w:p>
      <w:pPr>
        <w:pStyle w:val="para7"/>
        <w:tabs defTabSz="708">
          <w:tab w:val="clear" w:pos="709" w:leader="middleDot"/>
          <w:tab w:val="right" w:pos="9639" w:leader="middleDot"/>
        </w:tabs>
      </w:pPr>
      <w:r>
        <w:rPr>
          <w:hyperlink w:anchor="_TOC000022"/>
        </w:rPr>
        <w:t>Das Jahr 1603; OIC</w:t>
        <w:tab/>
        <w:t>50</w:t>
      </w:r>
    </w:p>
    <w:p>
      <w:pPr>
        <w:pStyle w:val="para7"/>
        <w:tabs defTabSz="708">
          <w:tab w:val="clear" w:pos="709" w:leader="middleDot"/>
          <w:tab w:val="right" w:pos="9639" w:leader="middleDot"/>
        </w:tabs>
      </w:pPr>
      <w:r>
        <w:rPr>
          <w:hyperlink w:anchor="_TOC000120"/>
        </w:rPr>
        <w:t>Das Jahr 1649; OIC</w:t>
        <w:tab/>
        <w:t>50</w:t>
      </w:r>
    </w:p>
    <w:p>
      <w:pPr>
        <w:pStyle w:val="para7"/>
        <w:tabs defTabSz="708">
          <w:tab w:val="clear" w:pos="709" w:leader="middleDot"/>
          <w:tab w:val="right" w:pos="9639" w:leader="middleDot"/>
        </w:tabs>
      </w:pPr>
      <w:r>
        <w:rPr>
          <w:hyperlink w:anchor="_TOC000160"/>
        </w:rPr>
        <w:t>Das Jahr 1652; OIC</w:t>
        <w:tab/>
        <w:t>50</w:t>
      </w:r>
    </w:p>
    <w:p>
      <w:pPr>
        <w:pStyle w:val="para7"/>
        <w:tabs defTabSz="708">
          <w:tab w:val="clear" w:pos="709" w:leader="middleDot"/>
          <w:tab w:val="right" w:pos="9639" w:leader="middleDot"/>
        </w:tabs>
      </w:pPr>
      <w:r>
        <w:rPr>
          <w:hyperlink w:anchor="_TOC000161"/>
        </w:rPr>
        <w:t>Das Jahr 1653; OIC</w:t>
        <w:tab/>
        <w:t>50</w:t>
      </w:r>
    </w:p>
    <w:p>
      <w:pPr>
        <w:pStyle w:val="para7"/>
        <w:tabs defTabSz="708">
          <w:tab w:val="clear" w:pos="709" w:leader="middleDot"/>
          <w:tab w:val="right" w:pos="9639" w:leader="middleDot"/>
        </w:tabs>
      </w:pPr>
      <w:r>
        <w:rPr>
          <w:hyperlink w:anchor="_TOC000203"/>
        </w:rPr>
        <w:t>Besteck einer kleinen Jacht; OIC</w:t>
        <w:tab/>
        <w:t>51</w:t>
      </w:r>
    </w:p>
    <w:p>
      <w:pPr>
        <w:pStyle w:val="para7"/>
        <w:tabs defTabSz="708">
          <w:tab w:val="clear" w:pos="709" w:leader="middleDot"/>
          <w:tab w:val="right" w:pos="9639" w:leader="middleDot"/>
        </w:tabs>
      </w:pPr>
      <w:r>
        <w:rPr>
          <w:hyperlink w:anchor="_TOC000204"/>
        </w:rPr>
        <w:t>Besteck eines Oorlogschip; OIC</w:t>
        <w:tab/>
        <w:t>51</w:t>
      </w:r>
    </w:p>
    <w:p>
      <w:pPr>
        <w:pStyle w:val="para7"/>
        <w:tabs defTabSz="708">
          <w:tab w:val="clear" w:pos="709" w:leader="middleDot"/>
          <w:tab w:val="right" w:pos="9639" w:leader="middleDot"/>
        </w:tabs>
      </w:pPr>
      <w:r>
        <w:rPr>
          <w:hyperlink w:anchor="_TOC000237"/>
        </w:rPr>
        <w:t>Besteck eines Kauffahrers; OIC</w:t>
        <w:tab/>
        <w:t>51</w:t>
      </w:r>
    </w:p>
    <w:p>
      <w:pPr>
        <w:pStyle w:val="para7"/>
        <w:tabs defTabSz="708">
          <w:tab w:val="clear" w:pos="709" w:leader="middleDot"/>
          <w:tab w:val="right" w:pos="9639" w:leader="middleDot"/>
        </w:tabs>
      </w:pPr>
      <w:r>
        <w:rPr>
          <w:hyperlink w:anchor="_TOC000238"/>
        </w:rPr>
        <w:t>Besteck eines Retourschiffes; OIC</w:t>
        <w:tab/>
        <w:t>51</w:t>
      </w:r>
    </w:p>
    <w:p>
      <w:pPr>
        <w:pStyle w:val="para7"/>
        <w:tabs defTabSz="708">
          <w:tab w:val="clear" w:pos="709" w:leader="middleDot"/>
          <w:tab w:val="right" w:pos="9639" w:leader="middleDot"/>
        </w:tabs>
      </w:pPr>
      <w:r>
        <w:rPr>
          <w:hyperlink w:anchor="_TOC000259"/>
        </w:rPr>
        <w:t>Die 50er-Jahre des 17. Jahrhunderts; OIC</w:t>
        <w:tab/>
        <w:t>51</w:t>
      </w:r>
    </w:p>
    <w:p>
      <w:pPr>
        <w:pStyle w:val="para7"/>
        <w:tabs defTabSz="708">
          <w:tab w:val="clear" w:pos="709" w:leader="middleDot"/>
          <w:tab w:val="right" w:pos="9639" w:leader="middleDot"/>
        </w:tabs>
      </w:pPr>
      <w:r>
        <w:rPr>
          <w:hyperlink w:anchor="_TOC000260"/>
        </w:rPr>
        <w:t>Das Jahr 1654; OIC</w:t>
        <w:tab/>
        <w:t>51</w:t>
      </w:r>
    </w:p>
    <w:p>
      <w:pPr>
        <w:pStyle w:val="para7"/>
        <w:tabs defTabSz="708">
          <w:tab w:val="clear" w:pos="709" w:leader="middleDot"/>
          <w:tab w:val="right" w:pos="9639" w:leader="middleDot"/>
        </w:tabs>
      </w:pPr>
      <w:r>
        <w:rPr>
          <w:hyperlink w:anchor="_TOC000265"/>
        </w:rPr>
        <w:t>Das Jahr 1657; OIC</w:t>
        <w:tab/>
        <w:t>51</w:t>
      </w:r>
    </w:p>
    <w:p>
      <w:pPr>
        <w:pStyle w:val="para7"/>
        <w:tabs defTabSz="708">
          <w:tab w:val="clear" w:pos="709" w:leader="middleDot"/>
          <w:tab w:val="right" w:pos="9639" w:leader="middleDot"/>
        </w:tabs>
      </w:pPr>
      <w:r>
        <w:rPr>
          <w:hyperlink w:anchor="_TOC000266"/>
        </w:rPr>
        <w:t>Zweites Drittel des 17. Jahrhunderts; OIC</w:t>
        <w:tab/>
        <w:t>51</w:t>
      </w:r>
    </w:p>
    <w:p>
      <w:pPr>
        <w:pStyle w:val="para7"/>
        <w:tabs defTabSz="708">
          <w:tab w:val="clear" w:pos="709" w:leader="middleDot"/>
          <w:tab w:val="right" w:pos="9639" w:leader="middleDot"/>
        </w:tabs>
      </w:pPr>
      <w:r>
        <w:rPr>
          <w:hyperlink w:anchor="_TOC000267"/>
        </w:rPr>
        <w:t>Das Jahr 1688; OIC</w:t>
        <w:tab/>
        <w:t>51</w:t>
      </w:r>
    </w:p>
    <w:p>
      <w:pPr>
        <w:pStyle w:val="para7"/>
        <w:tabs defTabSz="708">
          <w:tab w:val="clear" w:pos="709" w:leader="middleDot"/>
          <w:tab w:val="right" w:pos="9639" w:leader="middleDot"/>
        </w:tabs>
      </w:pPr>
      <w:r>
        <w:rPr>
          <w:hyperlink w:anchor="_TOC000268"/>
        </w:rPr>
        <w:t>Das Jahr 1689; OIC</w:t>
        <w:tab/>
        <w:t>51</w:t>
      </w:r>
    </w:p>
    <w:p>
      <w:pPr>
        <w:pStyle w:val="para7"/>
        <w:tabs defTabSz="708">
          <w:tab w:val="clear" w:pos="709" w:leader="middleDot"/>
          <w:tab w:val="right" w:pos="9639" w:leader="middleDot"/>
        </w:tabs>
      </w:pPr>
      <w:r>
        <w:rPr>
          <w:hyperlink w:anchor="_TOC000269"/>
        </w:rPr>
        <w:t>Ein weiteres Schiff aus dem Jahr 1689-12-31; OIC</w:t>
        <w:tab/>
        <w:t>52</w:t>
      </w:r>
    </w:p>
    <w:p>
      <w:pPr>
        <w:pStyle w:val="para7"/>
        <w:tabs defTabSz="708">
          <w:tab w:val="clear" w:pos="709" w:leader="middleDot"/>
          <w:tab w:val="right" w:pos="9639" w:leader="middleDot"/>
        </w:tabs>
      </w:pPr>
      <w:r>
        <w:rPr>
          <w:hyperlink w:anchor="_TOC000270"/>
        </w:rPr>
        <w:t>Konstruktion der OIC im Jahr 1696; OIC</w:t>
        <w:tab/>
        <w:t>52</w:t>
      </w:r>
    </w:p>
    <w:p>
      <w:pPr>
        <w:pStyle w:val="para7"/>
        <w:tabs defTabSz="708">
          <w:tab w:val="clear" w:pos="709" w:leader="middleDot"/>
          <w:tab w:val="right" w:pos="9639" w:leader="middleDot"/>
        </w:tabs>
      </w:pPr>
      <w:r>
        <w:rPr>
          <w:hyperlink w:anchor="_TOC000271"/>
        </w:rPr>
        <w:t>Die Jahre 1726 bis 1728; OIC</w:t>
        <w:tab/>
        <w:t>52</w:t>
      </w:r>
    </w:p>
    <w:p>
      <w:pPr>
        <w:pStyle w:val="para7"/>
        <w:tabs defTabSz="708">
          <w:tab w:val="clear" w:pos="709" w:leader="middleDot"/>
          <w:tab w:val="right" w:pos="9639" w:leader="middleDot"/>
        </w:tabs>
      </w:pPr>
      <w:r>
        <w:rPr>
          <w:hyperlink w:anchor="_TOC000272"/>
        </w:rPr>
        <w:t>Das Jahr 1737; OIC</w:t>
        <w:tab/>
        <w:t>53</w:t>
      </w:r>
    </w:p>
    <w:p>
      <w:pPr>
        <w:pStyle w:val="para7"/>
        <w:tabs defTabSz="708">
          <w:tab w:val="clear" w:pos="709" w:leader="middleDot"/>
          <w:tab w:val="right" w:pos="9639" w:leader="middleDot"/>
        </w:tabs>
      </w:pPr>
      <w:r>
        <w:rPr>
          <w:hyperlink w:anchor="_TOC000273"/>
        </w:rPr>
        <w:t>Das Jahr 1741; OIC</w:t>
        <w:tab/>
        <w:t>53</w:t>
      </w:r>
    </w:p>
    <w:p>
      <w:pPr>
        <w:pStyle w:val="para7"/>
        <w:tabs defTabSz="708">
          <w:tab w:val="clear" w:pos="709" w:leader="middleDot"/>
          <w:tab w:val="right" w:pos="9639" w:leader="middleDot"/>
        </w:tabs>
      </w:pPr>
      <w:r>
        <w:rPr>
          <w:hyperlink w:anchor="_TOC000274"/>
        </w:rPr>
        <w:t>Das Jahr 1749; OIC</w:t>
        <w:tab/>
        <w:t>53</w:t>
      </w:r>
    </w:p>
    <w:p>
      <w:pPr>
        <w:pStyle w:val="para7"/>
        <w:tabs defTabSz="708">
          <w:tab w:val="clear" w:pos="709" w:leader="middleDot"/>
          <w:tab w:val="right" w:pos="9639" w:leader="middleDot"/>
        </w:tabs>
      </w:pPr>
      <w:r>
        <w:rPr>
          <w:hyperlink w:anchor="_TOC000239"/>
        </w:rPr>
        <w:t>Das vermessene 130-Fuß-Schiff von 1697; OIC - Van Dam</w:t>
        <w:tab/>
        <w:t>54</w:t>
      </w:r>
    </w:p>
    <w:p>
      <w:pPr>
        <w:pStyle w:val="para7"/>
        <w:tabs defTabSz="708">
          <w:tab w:val="clear" w:pos="709" w:leader="middleDot"/>
          <w:tab w:val="right" w:pos="9639" w:leader="middleDot"/>
        </w:tabs>
      </w:pPr>
      <w:r>
        <w:rPr>
          <w:hyperlink w:anchor="_TOC000263"/>
        </w:rPr>
        <w:t>Das vermessene 145-Fuß-Schiff; OIC - Van Dam</w:t>
        <w:tab/>
        <w:t>57</w:t>
      </w:r>
    </w:p>
    <w:p>
      <w:pPr>
        <w:pStyle w:val="para7"/>
        <w:tabs defTabSz="708">
          <w:tab w:val="clear" w:pos="709" w:leader="middleDot"/>
          <w:tab w:val="right" w:pos="9639" w:leader="middleDot"/>
        </w:tabs>
      </w:pPr>
      <w:r>
        <w:rPr>
          <w:hyperlink w:anchor="_TOC000241"/>
        </w:rPr>
        <w:t>Das vermessene 160-Fuß-Schiff; OIC - Van Dam</w:t>
        <w:tab/>
        <w:t>57</w:t>
      </w:r>
    </w:p>
    <w:p>
      <w:pPr>
        <w:pStyle w:val="para7"/>
        <w:tabs defTabSz="708">
          <w:tab w:val="clear" w:pos="709" w:leader="middleDot"/>
          <w:tab w:val="right" w:pos="9639" w:leader="middleDot"/>
        </w:tabs>
      </w:pPr>
      <w:r>
        <w:rPr>
          <w:hyperlink w:anchor="_TOC000242"/>
        </w:rPr>
        <w:t>Die ersten Veränderungen 1714; OIC</w:t>
        <w:tab/>
        <w:t>57</w:t>
      </w:r>
    </w:p>
    <w:p>
      <w:pPr>
        <w:pStyle w:val="para7"/>
        <w:tabs defTabSz="708">
          <w:tab w:val="clear" w:pos="709" w:leader="middleDot"/>
          <w:tab w:val="right" w:pos="9639" w:leader="middleDot"/>
        </w:tabs>
      </w:pPr>
      <w:r>
        <w:rPr>
          <w:hyperlink w:anchor="_TOC000243"/>
        </w:rPr>
        <w:t>Grundlage der Änderungen im Jahr 1741; OIC</w:t>
        <w:tab/>
        <w:t>57</w:t>
      </w:r>
    </w:p>
    <w:p>
      <w:pPr>
        <w:pStyle w:val="para7"/>
        <w:tabs defTabSz="708">
          <w:tab w:val="clear" w:pos="709" w:leader="middleDot"/>
          <w:tab w:val="right" w:pos="9639" w:leader="middleDot"/>
        </w:tabs>
      </w:pPr>
      <w:r>
        <w:rPr>
          <w:hyperlink w:anchor="_TOC000249"/>
        </w:rPr>
        <w:t>Verfügte Änderungen; OIC</w:t>
        <w:tab/>
        <w:t>58</w:t>
      </w:r>
    </w:p>
    <w:p>
      <w:pPr>
        <w:pStyle w:val="para7"/>
        <w:tabs defTabSz="708">
          <w:tab w:val="clear" w:pos="709" w:leader="middleDot"/>
          <w:tab w:val="right" w:pos="9639" w:leader="middleDot"/>
        </w:tabs>
      </w:pPr>
      <w:r>
        <w:rPr>
          <w:hyperlink w:anchor="_TOC000252"/>
        </w:rPr>
        <w:t>Charter des 150-Fuß-Schiffes; OIC</w:t>
        <w:tab/>
        <w:t>58</w:t>
      </w:r>
    </w:p>
    <w:p>
      <w:pPr>
        <w:pStyle w:val="para7"/>
        <w:tabs defTabSz="708">
          <w:tab w:val="clear" w:pos="709" w:leader="middleDot"/>
          <w:tab w:val="right" w:pos="9639" w:leader="middleDot"/>
        </w:tabs>
      </w:pPr>
      <w:r>
        <w:rPr>
          <w:hyperlink w:anchor="_TOC000253"/>
        </w:rPr>
        <w:t>Charter des 135-Fuß-Schiffes; OIC</w:t>
        <w:tab/>
        <w:t>59</w:t>
      </w:r>
    </w:p>
    <w:p>
      <w:pPr>
        <w:pStyle w:val="para7"/>
        <w:tabs defTabSz="708">
          <w:tab w:val="clear" w:pos="709" w:leader="middleDot"/>
          <w:tab w:val="right" w:pos="9639" w:leader="middleDot"/>
        </w:tabs>
      </w:pPr>
      <w:r>
        <w:rPr>
          <w:hyperlink w:anchor="_TOC000254"/>
        </w:rPr>
        <w:t>Die geänderten Maße der Masten bzw. Rundhölzer; OIC</w:t>
        <w:tab/>
        <w:t>60</w:t>
      </w:r>
    </w:p>
    <w:p>
      <w:pPr>
        <w:pStyle w:val="para7"/>
        <w:tabs defTabSz="708">
          <w:tab w:val="clear" w:pos="709" w:leader="middleDot"/>
          <w:tab w:val="right" w:pos="9639" w:leader="middleDot"/>
        </w:tabs>
      </w:pPr>
      <w:r>
        <w:rPr>
          <w:hyperlink w:anchor="_TOC000264"/>
        </w:rPr>
        <w:t>Die geänderten Segelgrößen; OIC</w:t>
        <w:tab/>
        <w:t>60</w:t>
      </w:r>
    </w:p>
    <w:p>
      <w:pPr>
        <w:pStyle w:val="para7"/>
        <w:tabs defTabSz="708">
          <w:tab w:val="clear" w:pos="709" w:leader="middleDot"/>
          <w:tab w:val="right" w:pos="9639" w:leader="middleDot"/>
        </w:tabs>
      </w:pPr>
      <w:r>
        <w:rPr>
          <w:hyperlink w:anchor="_TOC000255"/>
        </w:rPr>
        <w:t>Die geänderten Taustärken; OIC</w:t>
        <w:tab/>
        <w:t>60</w:t>
      </w:r>
    </w:p>
    <w:p>
      <w:pPr>
        <w:pStyle w:val="para7"/>
        <w:tabs defTabSz="708">
          <w:tab w:val="clear" w:pos="709" w:leader="middleDot"/>
          <w:tab w:val="right" w:pos="9639" w:leader="middleDot"/>
        </w:tabs>
      </w:pPr>
      <w:r>
        <w:rPr>
          <w:hyperlink w:anchor="_TOC000257"/>
        </w:rPr>
        <w:t>Konzept Charter 125 Fuß-Schiff; OIC</w:t>
        <w:tab/>
        <w:t>60</w:t>
      </w:r>
    </w:p>
    <w:p>
      <w:pPr>
        <w:pStyle w:val="para7"/>
        <w:tabs defTabSz="708">
          <w:tab w:val="clear" w:pos="709" w:leader="middleDot"/>
          <w:tab w:val="right" w:pos="9639" w:leader="middleDot"/>
        </w:tabs>
      </w:pPr>
      <w:r>
        <w:rPr>
          <w:hyperlink w:anchor="_TOC000258"/>
        </w:rPr>
        <w:t>Die geänderten Maße der Masten bzw. Rundhölzer; OIC</w:t>
        <w:tab/>
        <w:t>61</w:t>
      </w:r>
    </w:p>
    <w:p>
      <w:pPr>
        <w:pStyle w:val="para6"/>
        <w:tabs defTabSz="708">
          <w:tab w:val="clear" w:pos="709" w:leader="none"/>
          <w:tab w:val="right" w:pos="9639" w:leader="middleDot"/>
        </w:tabs>
      </w:pPr>
      <w:r>
        <w:rPr>
          <w:hyperlink w:anchor="_TOC000065"/>
        </w:rPr>
        <w:t>Literaturverzeichnis</w:t>
        <w:tab/>
        <w:t>62</w:t>
      </w:r>
    </w:p>
    <w:p>
      <w:pPr>
        <w:pStyle w:val="para5"/>
      </w:pPr>
      <w:r>
        <w:fldChar w:fldCharType="end"/>
      </w:r>
      <w:r/>
    </w:p>
    <w:p>
      <w:pPr>
        <w:pStyle w:val="para6"/>
        <w:tabs defTabSz="708">
          <w:tab w:val="clear" w:pos="709" w:leader="none"/>
          <w:tab w:val="right" w:pos="9638" w:leader="middleDot"/>
        </w:tabs>
      </w:pPr>
      <w:r>
        <w:br w:type="page"/>
      </w:r>
      <w:r>
        <w:rPr>
          <w:noProof/>
        </w:rPr>
        <mc:AlternateContent>
          <mc:Choice Requires="wpg">
            <w:drawing>
              <wp:anchor distT="144145" distB="179705" distL="89535" distR="89535" simplePos="0" relativeHeight="251658241" behindDoc="0" locked="0" layoutInCell="0" hidden="0" allowOverlap="1">
                <wp:simplePos x="0" y="0"/>
                <wp:positionH relativeFrom="margin">
                  <wp:align>left</wp:align>
                </wp:positionH>
                <wp:positionV relativeFrom="margin">
                  <wp:align>top</wp:align>
                </wp:positionV>
                <wp:extent cx="6125845" cy="2586355"/>
                <wp:effectExtent l="0" t="0" r="0" b="0"/>
                <wp:wrapTopAndBottom/>
                <wp:docPr id="1" name="Gruppe1"/>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BAAAJAAAABAAAAAAAAAAhAAAAQAAAADwAAAC7AAAAAKEAACAAAAAAAAAAAQAAAAEAAAAAAAAAAQAAAAEAAAAAAAAAryUAAOkPAAAGAAAApQYAAG4EAAAoAAAACAAAAAEAAAABAAAA"/>
                          </a:ext>
                        </a:extLst>
                      </wpg:cNvGrpSpPr>
                      <wpg:grpSpPr>
                        <a:xfrm>
                          <a:off x="0" y="0"/>
                          <a:ext cx="6125845" cy="2586355"/>
                          <a:chOff x="0" y="0"/>
                          <a:chExt cx="6125845" cy="2586355"/>
                        </a:xfrm>
                      </wpg:grpSpPr>
                      <wps:wsp>
                        <wps:cNvPr id="2" name="Textbox1"/>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0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vJQAAnQ4AAAAAAAClBgAAbgQAACgAAAAIAAAAAQAAAAIAAAAwAAAAFAAAAAAAAAAAAP//AAABAAAA//8AAAEA"/>
                            </a:ext>
                          </a:extLst>
                        </wps:cNvSpPr>
                        <wps:spPr>
                          <a:xfrm>
                            <a:off x="0" y="0"/>
                            <a:ext cx="6125845" cy="237553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Übersicht zu den Bestecken</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MYCLOUD\M\Manuskripte\Arbeiten-an-Bestecken\Abbildungen\Uebersicht.prd</w:t>
                              </w:r>
                            </w:p>
                            <w:p>
                              <w:pPr>
                                <w:pStyle w:val="para18"/>
                              </w:pPr>
                              <w:r/>
                            </w:p>
                          </w:txbxContent>
                        </wps:txbx>
                        <wps:bodyPr spcFirstLastPara="1" vertOverflow="clip" horzOverflow="clip" upright="1">
                          <a:prstTxWarp prst="textNoShape">
                            <a:avLst/>
                          </a:prstTxWarp>
                          <a:spAutoFit/>
                        </wps:bodyPr>
                      </wps:wsp>
                      <wps:wsp>
                        <wps:cNvPr id="3" name="Textbox2"/>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r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vJQAATAEAAAAAAAClBgAACxMAACgAAAAIAAAAAQAAAAIAAAAwAAAAFAAAAAAAAAAAAP//AAABAAAA//8AAAEA"/>
                            </a:ext>
                          </a:extLst>
                        </wps:cNvSpPr>
                        <wps:spPr>
                          <a:xfrm>
                            <a:off x="0" y="2375535"/>
                            <a:ext cx="6125845"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w:t>
                                <w:fldChar w:fldCharType="end"/>
                              </w:r>
                              <w:r>
                                <w:t>: Übersicht zu den Bestecken. ©Werner Ulrich, 2020.</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2.35pt;height:203.65pt;z-index:251658241;mso-wrap-distance-left:7.05pt;mso-wrap-distance-top:11.35pt;mso-wrap-distance-right:7.05pt;mso-wrap-distance-bottom:14.15pt" coordorigin="1701,1134" coordsize="9647,4073">
                <v:shapetype id="_x0000_t202" coordsize="21600,21600" o:spt="202" path="m,l,21600r21600,l21600,xe">
                  <v:path gradientshapeok="t" o:connecttype="rect"/>
                </v:shapetype>
                <v:shape id="Textbox1" o:spid="_x0000_s1026" type="#_x0000_t202" style="position:absolute;left:1701;top:1134;width:9647;height:3741"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0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Übersicht zu den Bestecken</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MYCLOUD\M\Manuskripte\Arbeiten-an-Bestecken\Abbildungen\Uebersicht.prd</w:t>
                        </w:r>
                      </w:p>
                      <w:p>
                        <w:pPr>
                          <w:pStyle w:val="para18"/>
                        </w:pPr>
                        <w:r/>
                      </w:p>
                    </w:txbxContent>
                  </v:textbox>
                </v:shape>
                <v:shape id="Textbox2" o:spid="_x0000_s1027" type="#_x0000_t202" style="position:absolute;left:1701;top:4875;width:9647;height:332"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r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w:t>
                          <w:fldChar w:fldCharType="end"/>
                        </w:r>
                        <w:r>
                          <w:t>: Übersicht zu den Bestecken. ©Werner Ulrich, 2020.</w:t>
                        </w:r>
                      </w:p>
                    </w:txbxContent>
                  </v:textbox>
                </v:shape>
                <w10:wrap type="topAndBottom" anchorx="margin" anchory="margin"/>
              </v:group>
            </w:pict>
          </mc:Fallback>
        </mc:AlternateContent>
      </w:r>
      <w:r/>
    </w:p>
    <w:p>
      <w:pPr>
        <w:pStyle w:val="para1"/>
      </w:pPr>
      <w:r>
        <w:br w:type="page"/>
      </w:r>
      <w:bookmarkStart w:id="0" w:name="_TOC000007"/>
      <w:r/>
      <w:bookmarkStart w:id="1" w:name="_TOC000206"/>
      <w:r/>
      <w:bookmarkStart w:id="2" w:name="_TOC000165"/>
      <w:r/>
      <w:bookmarkStart w:id="3" w:name="_TOC000127"/>
      <w:r/>
      <w:bookmarkStart w:id="4" w:name="_TOC000039"/>
      <w:r/>
      <w:bookmarkStart w:id="5" w:name="_TOC000037"/>
      <w:r/>
      <w:bookmarkStart w:id="6" w:name="_TOC000034"/>
      <w:r/>
      <w:bookmarkStart w:id="7" w:name="_TOC000025"/>
      <w:r/>
      <w:bookmarkStart w:id="8" w:name="_TOC000023"/>
      <w:r/>
      <w:bookmarkStart w:id="9" w:name="_TOC000021"/>
      <w:r/>
      <w:bookmarkStart w:id="10" w:name="_TOC000020"/>
      <w:r/>
      <w:bookmarkStart w:id="11" w:name="_TOC000019"/>
      <w:r/>
      <w:bookmarkStart w:id="12" w:name="_TOC000017"/>
      <w:r/>
      <w:bookmarkStart w:id="13" w:name="_TOC000088"/>
      <w:r/>
      <w:bookmarkStart w:id="14" w:name="_TOC000089"/>
      <w:r/>
      <w:bookmarkStart w:id="15" w:name="_TOC000086"/>
      <w:r/>
      <w:bookmarkStart w:id="16" w:name="_TOC000084"/>
      <w:r/>
      <w:bookmarkStart w:id="17" w:name="_TOC000082"/>
      <w:r/>
      <w:bookmarkStart w:id="18" w:name="_TOC000080"/>
      <w:r/>
      <w:bookmarkStart w:id="19" w:name="_TOC000079"/>
      <w:r/>
      <w:bookmarkStart w:id="20" w:name="_TOC000074"/>
      <w:r/>
      <w:bookmarkStart w:id="21" w:name="_TOC000072"/>
      <w:r/>
      <w:bookmarkStart w:id="22" w:name="_TOC000005"/>
      <w:r/>
      <w:bookmarkStart w:id="23" w:name="_TOC000070"/>
      <w:r/>
      <w:bookmarkStart w:id="24" w:name="_TOC000069"/>
      <w:r/>
      <w:bookmarkStart w:id="25" w:name="_TOC000068"/>
      <w:r/>
      <w:bookmarkStart w:id="26" w:name="_TOC000067"/>
      <w:r/>
      <w:bookmarkStart w:id="27" w:name="_TOC000066"/>
      <w:r/>
      <w:bookmarkStart w:id="28" w:name="_TOC000001"/>
      <w:r/>
      <w:bookmarkStart w:id="29" w:name="_TOC000006"/>
      <w:r/>
      <w:bookmarkStart w:id="30" w:name="_TOC000094"/>
      <w:r/>
      <w:r>
        <w:rPr>
          <w:color w:val="000000"/>
        </w:rPr>
        <w:t>Einleitung</w:t>
      </w:r>
      <w:r/>
      <w:bookmarkEnd w:id="30"/>
      <w:r/>
      <w:bookmarkEnd w:id="4"/>
      <w:r/>
      <w:bookmarkEnd w:id="3"/>
      <w:r/>
      <w:bookmarkEnd w:id="2"/>
      <w:r/>
      <w:bookmarkEnd w:id="1"/>
      <w:r/>
      <w:bookmarkEnd w:id="0"/>
      <w:r/>
    </w:p>
    <w:p>
      <w:pPr>
        <w:pStyle w:val="para9"/>
        <w:spacing/>
        <w:jc w:val="left"/>
        <w:tabs defTabSz="708">
          <w:tab w:val="left" w:pos="4535" w:leader="none"/>
        </w:tabs>
      </w:pPr>
      <w:r>
        <w:t>Durch die vielen, über die Jahre verteilten Arbeitsstunden in niederländischen Archiven wurde erhebliches Material zu den Flottenbauprogammen des 16., 17. und 18. Jahrhunderts zutage gebracht. Stand am Anfang der Wunsch im Vordergrund, die eine oder andere Rekonstruktion zu wagen, ergab es sich im Laufe der Jahre ganz selbstverständlich, einen Großteil der gefundenen Dokumente auszuwerten und in diese Arbeit mit einfließen zu lassen. Vor allem die Dokumente, die zu den einzelnen Schiffen gefunden wurden, erweiterten den Blick auf den Bau der Schiffe. Ohne die vielschichtigen Originaldokumente wäre es nicht möglich gewesen, die einzelnen Schiffsgrößen der Bauprogramme in Zahlen darzustellen. Vor allem die Bestecke der gebauten Kriegsschiffe lassen einen Blick zum damaligen Geschehen auf den Werften zu.</w:t>
      </w:r>
    </w:p>
    <w:p>
      <w:pPr>
        <w:pStyle w:val="para9"/>
        <w:spacing/>
        <w:jc w:val="left"/>
        <w:tabs defTabSz="708">
          <w:tab w:val="left" w:pos="4535" w:leader="none"/>
        </w:tabs>
        <w:rPr>
          <w:b/>
          <w:bCs/>
          <w:color w:val="ff0000"/>
        </w:rPr>
      </w:pPr>
      <w:r>
        <w:rPr>
          <w:b/>
          <w:bCs/>
          <w:color w:val="ff0000"/>
        </w:rPr>
        <w:tab/>
        <w:t>Hier fehlt noch Text; wo ist der Anfang?</w:t>
      </w:r>
    </w:p>
    <w:p>
      <w:pPr>
        <w:pStyle w:val="para2"/>
      </w:pPr>
      <w:bookmarkStart w:id="31" w:name="_TOC000122"/>
      <w:r/>
      <w:bookmarkEnd w:id="31"/>
      <w:r>
        <w:t>Allgemeines</w:t>
      </w:r>
    </w:p>
    <w:p>
      <w:pPr>
        <w:pStyle w:val="para9"/>
      </w:pPr>
      <w:r>
        <w:t>Am 4 Dezember 1600 konnten die neuen Bestecke der Kommission in Den Haag vorgelegt werden.</w:t>
      </w:r>
      <w:r>
        <w:rPr>
          <w:rStyle w:val="char1"/>
        </w:rPr>
      </w:r>
      <w:r>
        <w:rPr>
          <w:rStyle w:val="char1"/>
        </w:rPr>
        <w:footnoteReference w:id="33"/>
      </w:r>
      <w:r>
        <w:t xml:space="preserve"> Laut </w:t>
      </w:r>
      <w:r>
        <w:fldChar w:fldCharType="begin"/>
        <w:instrText xml:space="preserve"> TMBIBLIOGRAPHY «Elias 1933» </w:instrText>
        <w:fldChar w:fldCharType="separate"/>
        <w:t>[Elias 1933]</w:t>
        <w:fldChar w:fldCharType="end"/>
      </w:r>
      <w:r>
        <w:t xml:space="preserve"> sollten daraufhin 12 Schiffe und 4 RoyJachten gebaut werden. Über Größe oder Abmessungen war Elias nichts bekannt.</w:t>
      </w:r>
      <w:r>
        <w:rPr>
          <w:rStyle w:val="char1"/>
        </w:rPr>
      </w:r>
      <w:r>
        <w:rPr>
          <w:rStyle w:val="char1"/>
        </w:rPr>
        <w:footnoteReference w:id="34"/>
      </w:r>
      <w:r>
        <w:t xml:space="preserve"> Er berichtete, dass die Größe der Schiffe folgendermaßen überliefert waren.</w:t>
      </w:r>
    </w:p>
    <w:p>
      <w:pPr>
        <w:pStyle w:val="para9"/>
      </w:pPr>
      <w:r>
        <w:t>Die Admiralität Rotterdam, hatte 1621 zwei Schiffe im Dienst:</w:t>
      </w:r>
      <w:r>
        <w:rPr>
          <w:rStyle w:val="char1"/>
        </w:rPr>
      </w:r>
      <w:r>
        <w:rPr>
          <w:rStyle w:val="char1"/>
        </w:rPr>
        <w:footnoteReference w:id="35"/>
      </w:r>
      <w:r>
        <w:tab/>
        <w:br w:type="textWrapping"/>
        <w:t>Da wäre zum Beispiel der Tiger von 1600 mit 120 bis 160 Lasten; der Löwe von 1601 mit 130 bis 200 Lasten.</w:t>
      </w:r>
    </w:p>
    <w:p>
      <w:pPr>
        <w:pStyle w:val="para9"/>
      </w:pPr>
      <w:r>
        <w:t>Die Admiralität Noorderkwartier hatte:</w:t>
        <w:tab/>
        <w:br w:type="textWrapping"/>
        <w:t>Die Schiffe Griffion und Goliath, beide seit 1601 im Dienst. Erstes hatte 110 bis 130 Lasten, letzteres 120 bis 150 Lasten.</w:t>
      </w:r>
    </w:p>
    <w:p>
      <w:pPr>
        <w:pStyle w:val="para9"/>
      </w:pPr>
      <w:r>
        <w:t>Die Admiralität Amsterdam:</w:t>
      </w:r>
      <w:r>
        <w:rPr>
          <w:rStyle w:val="char1"/>
        </w:rPr>
      </w:r>
      <w:r>
        <w:rPr>
          <w:rStyle w:val="char1"/>
        </w:rPr>
        <w:footnoteReference w:id="36"/>
      </w:r>
      <w:r>
        <w:tab/>
        <w:br w:type="textWrapping"/>
        <w:t>Das Schiff Gouden Steer von 1600 und die Silveren Steer von 1602 wurden auf 130 Last geschätzt.</w:t>
      </w:r>
    </w:p>
    <w:p>
      <w:pPr>
        <w:pStyle w:val="para9"/>
      </w:pPr>
      <w:r>
        <w:t>Ende Dezember kamen auch die verantwortlichen Schiffbauer der Provinzen Holland und Zeeland in Hoorn zusammen, um sich über die zu bauenden Galeeren auszutauschen.</w:t>
      </w:r>
      <w:r>
        <w:rPr>
          <w:rStyle w:val="char1"/>
        </w:rPr>
      </w:r>
      <w:r>
        <w:rPr>
          <w:rStyle w:val="char1"/>
        </w:rPr>
        <w:footnoteReference w:id="37"/>
      </w:r>
      <w:r/>
    </w:p>
    <w:p>
      <w:pPr>
        <w:pStyle w:val="para9"/>
      </w:pPr>
      <w:r>
        <w:t>1606 ging den Niederländern vor Goeree eine spanische Galione in die Hände.</w:t>
      </w:r>
      <w:r>
        <w:rPr>
          <w:rStyle w:val="char1"/>
        </w:rPr>
      </w:r>
      <w:r>
        <w:rPr>
          <w:rStyle w:val="char1"/>
        </w:rPr>
        <w:footnoteReference w:id="38"/>
      </w:r>
      <w:r/>
    </w:p>
    <w:p>
      <w:pPr>
        <w:pStyle w:val="para9"/>
      </w:pPr>
      <w:r>
        <w:t xml:space="preserve">Um die Mitte des 16. Jahrhunderts tauchen auch </w:t>
      </w:r>
      <w:r>
        <w:rPr>
          <w:i/>
          <w:iCs/>
        </w:rPr>
        <w:t>Craveelschepen</w:t>
      </w:r>
      <w:r>
        <w:rPr>
          <w:rStyle w:val="char1"/>
        </w:rPr>
      </w:r>
      <w:r>
        <w:rPr>
          <w:rStyle w:val="char1"/>
        </w:rPr>
        <w:footnoteReference w:id="39"/>
      </w:r>
      <w:r>
        <w:t xml:space="preserve"> in den Überlieferungen auf. Sie wurden wohl überwiegend zum Handel genutzt. Später zum Ende des Jahrhunderts tauchen sie auch als kleine bis mittlere Kriegsschiffe in Erscheinung. Aber schon in den ersten Jahrzehnten des 17. Jahrhunderts spielten sie keine Rolle mehr in der Marine. Eine schöne Abbildung finden wir in </w:t>
      </w:r>
      <w:r>
        <w:rPr>
          <w:i/>
          <w:iCs/>
        </w:rPr>
        <w:t>„Zeilschepen Prenten van de Nederlandse meesters van de zestiende tot de negentiende eeuw“</w:t>
      </w:r>
      <w:r>
        <w:t>.</w:t>
      </w:r>
      <w:r>
        <w:rPr>
          <w:rStyle w:val="char1"/>
        </w:rPr>
      </w:r>
      <w:r>
        <w:rPr>
          <w:rStyle w:val="char1"/>
        </w:rPr>
        <w:footnoteReference w:id="40"/>
      </w:r>
      <w:r>
        <w:t xml:space="preserve"> </w:t>
      </w:r>
    </w:p>
    <w:p>
      <w:pPr>
        <w:pStyle w:val="para2"/>
      </w:pPr>
      <w:bookmarkStart w:id="40" w:name="_TOC000123"/>
      <w:r/>
      <w:bookmarkStart w:id="41" w:name="_TOC000093"/>
      <w:r/>
      <w:bookmarkStart w:id="42" w:name="_TOC000294"/>
      <w:r/>
      <w:bookmarkStart w:id="43" w:name="_TOC000250"/>
      <w:r/>
      <w:bookmarkStart w:id="44" w:name="_TOC000217"/>
      <w:r/>
      <w:bookmarkStart w:id="45" w:name="_TOC000178"/>
      <w:r/>
      <w:bookmarkStart w:id="46" w:name="_TOC000153"/>
      <w:r/>
      <w:bookmarkStart w:id="47" w:name="_TOC000118"/>
      <w:r/>
      <w:bookmarkStart w:id="48" w:name="_TOC000057"/>
      <w:r/>
      <w:bookmarkEnd w:id="48"/>
      <w:r/>
      <w:bookmarkEnd w:id="47"/>
      <w:r/>
      <w:bookmarkEnd w:id="46"/>
      <w:r/>
      <w:bookmarkEnd w:id="45"/>
      <w:r/>
      <w:bookmarkEnd w:id="44"/>
      <w:r/>
      <w:bookmarkEnd w:id="43"/>
      <w:r/>
      <w:bookmarkEnd w:id="42"/>
      <w:r/>
      <w:bookmarkEnd w:id="41"/>
      <w:r/>
      <w:bookmarkStart w:id="49" w:name="_TOC000129"/>
      <w:r/>
      <w:bookmarkEnd w:id="49"/>
      <w:r/>
      <w:bookmarkEnd w:id="40"/>
      <w:r/>
      <w:bookmarkStart w:id="50" w:name="_TOC000059"/>
      <w:r/>
      <w:r>
        <w:rPr>
          <w:rFonts w:eastAsia="Comic Sans MS"/>
        </w:rPr>
        <w:t>Ausgang der Betrachtung</w:t>
      </w:r>
      <w:r/>
      <w:bookmarkEnd w:id="29"/>
      <w:r/>
      <w:bookmarkEnd w:id="19"/>
      <w:r/>
      <w:bookmarkEnd w:id="18"/>
      <w:r/>
      <w:bookmarkEnd w:id="17"/>
      <w:r/>
      <w:bookmarkEnd w:id="16"/>
      <w:r/>
      <w:bookmarkEnd w:id="15"/>
      <w:r/>
      <w:bookmarkEnd w:id="14"/>
      <w:r/>
      <w:bookmarkEnd w:id="13"/>
      <w:r/>
      <w:bookmarkEnd w:id="12"/>
      <w:r/>
      <w:bookmarkEnd w:id="11"/>
      <w:r/>
      <w:bookmarkEnd w:id="10"/>
      <w:r/>
      <w:bookmarkEnd w:id="9"/>
      <w:r/>
      <w:bookmarkEnd w:id="8"/>
      <w:r/>
      <w:bookmarkEnd w:id="7"/>
      <w:r/>
      <w:bookmarkEnd w:id="6"/>
      <w:r/>
      <w:bookmarkEnd w:id="5"/>
      <w:r/>
      <w:bookmarkEnd w:id="50"/>
      <w:r/>
    </w:p>
    <w:p>
      <w:pPr>
        <w:pStyle w:val="para9"/>
      </w:pPr>
      <w:r>
        <w:t>Ausgang dieser kurzen Betrachtung waren die sich im Laufe der letzten Jahrzehnte angesammelten Bestecke aus verschiedenen niederländischen und deutschen Archiven. Der Autor dieses Berichtes geht seit Jahren regelmäßig in die Archive, um die frühen Zeugnisse der Schiffbaugeschichte zu sichten. Oft werden diese Archivbesuche belohnt, denn es tauchen immer mal wieder neue Bestecke auf. Die Anfänge der schriftlichen Zusammenfassungen der Vertragstexte zwischen Schiffbauer und Kunde sind wenig erforscht und können zeitlich nur schwer eingeordnet werden. Es wird aber so sein, dass es zu allen Zeiten Verträge zwischen den Parteien gegeben hat. Ob diese immer in schriftlicher Form erfolgten, ist leider nicht überliefert. Die frühesten uns bekannten Zeugnisse dieser Verträge gehen auf die Mitte des 16. Jahrhunderts zurück. Es sind noch sehr einfach gehaltene Aufzeichnungen, die nur die wichtigsten Informationen zum Inhalt hatten.</w:t>
      </w:r>
    </w:p>
    <w:p>
      <w:pPr>
        <w:pStyle w:val="para9"/>
        <w:hyphenationLines w:val="3"/>
        <w:rPr>
          <w:lang w:val="default"/>
        </w:rPr>
      </w:pPr>
      <w:r>
        <w:rPr>
          <w:lang w:val="default"/>
        </w:rPr>
        <w:t>Es gibt ein ca. 4000 Jahre altes Dokument, welches den Bau eines Schiffes zum Inhalt hat. Dr. Irving Finkel, ein Historiker vom British Museum hatte diese Tontafel 2009 im Museum entdeck und entziffert.</w:t>
      </w:r>
      <w:r>
        <w:rPr>
          <w:rStyle w:val="char1"/>
        </w:rPr>
      </w:r>
      <w:r>
        <w:rPr>
          <w:rStyle w:val="char1"/>
        </w:rPr>
        <w:footnoteReference w:id="52"/>
      </w:r>
      <w:r>
        <w:rPr>
          <w:lang w:val="default"/>
        </w:rPr>
        <w:t xml:space="preserve"> Dann ließ er nach diesen Anweisungen ein Rundboot bauen. Wir sehen also, dass es scheinbar immer Verträge zwischen Werft und Kunde gegeben hat, nur die frühen Kontrakte haben die Zeit nicht überdauert. Diese Tontafel wurde in den 40er-Jahren von einem britischen Soldaten im Nahen Osten gefunden.</w:t>
      </w:r>
      <w:r>
        <w:rPr>
          <w:lang w:val="default"/>
        </w:rPr>
      </w:r>
    </w:p>
    <w:p>
      <w:pPr>
        <w:pStyle w:val="para9"/>
      </w:pPr>
      <w:r>
        <w:rPr>
          <w:noProof/>
        </w:rPr>
        <mc:AlternateContent>
          <mc:Choice Requires="wpg">
            <w:drawing>
              <wp:anchor distT="89535" distB="179705" distL="89535" distR="144145" simplePos="0" relativeHeight="251658244" behindDoc="0" locked="0" layoutInCell="0" hidden="0" allowOverlap="1">
                <wp:simplePos x="0" y="0"/>
                <wp:positionH relativeFrom="margin">
                  <wp:posOffset>1270</wp:posOffset>
                </wp:positionH>
                <wp:positionV relativeFrom="margin">
                  <wp:align>top</wp:align>
                </wp:positionV>
                <wp:extent cx="2858770" cy="3937635"/>
                <wp:effectExtent l="0" t="0" r="0" b="0"/>
                <wp:wrapSquare wrapText="bothSides"/>
                <wp:docPr id="4" name="Gruppe2"/>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DKAAAAAKIAACAAAAAAAAAAAAAAAAEAAAACAAAAAQAAAAEAAAAAAAAAlhEAADkYAAAIAAAApwYAAG4EAAAoAAAACAAAAAEAAAABAAAA"/>
                          </a:ext>
                        </a:extLst>
                      </wpg:cNvGrpSpPr>
                      <wpg:grpSpPr>
                        <a:xfrm>
                          <a:off x="0" y="0"/>
                          <a:ext cx="2858770" cy="3937635"/>
                          <a:chOff x="0" y="0"/>
                          <a:chExt cx="2858770" cy="3937635"/>
                        </a:xfrm>
                      </wpg:grpSpPr>
                      <wps:wsp>
                        <wps:cNvPr id="5" name="Textbox3"/>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EW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WEQAAERYAAAAAAACnBgAAbgQAACgAAAAIAAAAAQAAAAIAAAAwAAAAFAAAAAAAAAAAAP//AAABAAAA//8AAAEA"/>
                            </a:ext>
                          </a:extLst>
                        </wps:cNvSpPr>
                        <wps:spPr>
                          <a:xfrm>
                            <a:off x="0" y="0"/>
                            <a:ext cx="2858770" cy="358711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Arche-Tontafel.JPG</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Tontafel der „Arche“</w:t>
                              </w:r>
                            </w:p>
                          </w:txbxContent>
                        </wps:txbx>
                        <wps:bodyPr spcFirstLastPara="1" vertOverflow="clip" horzOverflow="clip" upright="1">
                          <a:prstTxWarp prst="textNoShape">
                            <a:avLst/>
                          </a:prstTxWarp>
                          <a:spAutoFit/>
                        </wps:bodyPr>
                      </wps:wsp>
                      <wps:wsp>
                        <wps:cNvPr id="6" name="Textbox4"/>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lhE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WEQAAKAIAAAAAAACnBgAAfxoAACgAAAAIAAAAAQAAAAIAAAAwAAAAFAAAAAAAAAAAAP//AAABAAAA//8AAAEA"/>
                            </a:ext>
                          </a:extLst>
                        </wps:cNvSpPr>
                        <wps:spPr>
                          <a:xfrm>
                            <a:off x="0" y="3587115"/>
                            <a:ext cx="2858770" cy="3505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2</w:t>
                                <w:fldChar w:fldCharType="end"/>
                              </w:r>
                              <w:r>
                                <w:t>: Das vermutlich ältestes Besteck der Welt.</w:t>
                                <w:br w:type="textWrapping"/>
                                <w:t>Quelle: British Museum.</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0.10pt;mso-position-vertical:top;mso-position-horizontal-relative:margin;mso-position-vertical-relative:margin;width:225.10pt;height:310.05pt;z-index:251658244;mso-wrap-distance-left:7.05pt;mso-wrap-distance-top:7.05pt;mso-wrap-distance-right:11.35pt;mso-wrap-distance-bottom:14.15pt" coordorigin="1703,1134" coordsize="4502,6201">
                <v:shape id="Textbox3" o:spid="_x0000_s1028" type="#_x0000_t202" style="position:absolute;left:1703;top:1134;width:4502;height:5649"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EW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Arche-Tontafel.JPG</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Tontafel der „Arche“</w:t>
                        </w:r>
                      </w:p>
                    </w:txbxContent>
                  </v:textbox>
                </v:shape>
                <v:shape id="Textbox4" o:spid="_x0000_s1029" type="#_x0000_t202" style="position:absolute;left:1703;top:6783;width:4502;height:55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lhE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2</w:t>
                          <w:fldChar w:fldCharType="end"/>
                        </w:r>
                        <w:r>
                          <w:t>: Das vermutlich ältestes Besteck der Welt.</w:t>
                          <w:br w:type="textWrapping"/>
                          <w:t>Quelle: British Museum.</w:t>
                        </w:r>
                      </w:p>
                    </w:txbxContent>
                  </v:textbox>
                </v:shape>
                <w10:wrap type="square" anchorx="margin" anchory="margin"/>
              </v:group>
            </w:pict>
          </mc:Fallback>
        </mc:AlternateContent>
      </w:r>
      <w:r>
        <w:t>Verschiedene, für den Schiffbau wichtige Aspekte sollen in dieser Arbeit aufgezeigt werden. Nun liegt es auf der Hand, dass in einer solchen Arbeit nicht der gesamte Schiffbau abgehandelt werden kann. Diese Arbeit beschränkt sich somit auf einige Besonderheiten, wie sie aus den Bestecken dieser frühen Zeitepoche herausgelesen werden können. Es soll natürlich nicht unterschlagen werden, dass gerade in der Frühzeit des Militärschiffbaus, also dem ausgehenden 16. Jahrhundert, noch keine richtige Abgrenzung zu den Handelsschiffen erkennbar ist. Das Potenzial, also das geballte Wissen um den Marineschiffbau, war im 16. und selbst im frühen 17. Jahrhundert einfach noch nicht vorhanden. Selbst die englischen Nachbarn waren zu dieser Zeit noch bestrebt, den Kriegsschiffbau in ihrem Sinne zu entwickeln.</w:t>
      </w:r>
    </w:p>
    <w:p>
      <w:pPr>
        <w:pStyle w:val="para9"/>
      </w:pPr>
      <w:r>
        <w:t>Der Kiel und die Steven waren den Vertragspartnern stets eine Erwähnung wert. Beim Vor- und auch Achtersteven ging es um die Höhe bzw. Länge derselben und wenigstens den Fall des Stevens nach vorne/hinten. War es den Vertragspartnern wichtig, wurde auch die sogenannte Bucht der Steven vermerkt. Waren diese Informationen im 16. Jahrhundert noch in vielen Bestecken Bestandteil des Textes, änderte sich dieses im 17. Jahrhundert. Nur noch selten tauchen diese detaillierten Angaben zur Bucht derselben in den Bestecken auf.</w:t>
      </w:r>
    </w:p>
    <w:p>
      <w:pPr>
        <w:pStyle w:val="para9"/>
      </w:pPr>
      <w:r>
        <w:t>Gelegentlich kommt beim heutigen Betrachter der Gedanke auf, dass eingebürgertes Wissen nach einer gewissen Zeit die Bestecke wieder verlassen hat. Nach dem Motto, Bekanntes muss nicht unbedingt in ein Besteck aufgenommen werden.</w:t>
      </w:r>
    </w:p>
    <w:p>
      <w:pPr>
        <w:pStyle w:val="para2"/>
      </w:pPr>
      <w:bookmarkStart w:id="52" w:name="_TOC000024"/>
      <w:r>
        <w:t>Größenangaben</w:t>
      </w:r>
      <w:bookmarkEnd w:id="52"/>
      <w:r>
        <w:t xml:space="preserve"> der Schiffe allgemein</w:t>
      </w:r>
    </w:p>
    <w:p>
      <w:pPr>
        <w:pStyle w:val="para9"/>
      </w:pPr>
      <w:r>
        <w:t>Heinsius</w:t>
      </w:r>
      <w:r>
        <w:rPr>
          <w:rStyle w:val="char1"/>
        </w:rPr>
      </w:r>
      <w:r>
        <w:rPr>
          <w:rStyle w:val="char1"/>
        </w:rPr>
        <w:footnoteReference w:id="54"/>
      </w:r>
      <w:r>
        <w:t xml:space="preserve"> führte in seinem Buch über das Schiff der hansischen Frühzeit auf, dass die Ladefähigkeit in der frühen Neuzeit recht unterschiedlich gesehen wurde. Im Mittelmeerraum zum Beispiel wurde nach der Einheit Botte gerechnet. auf der Nord- und Ostsee rechnete man mit Lasten. Im Westen Europas kannte man die Einheit Tonne. Er führte weiter auf, dass eine Botte etwa die Hälfte einer Tonne ausmachte.</w:t>
      </w:r>
    </w:p>
    <w:p>
      <w:pPr>
        <w:pStyle w:val="para9"/>
      </w:pPr>
      <w:r>
        <w:t>Crone berichtetet in seinem Buch über die Schiffe im 17. Jahrhundert, dass man in den Niederlanden in den 30er-Jahren des 17. Jahrhunderts die Angabe in Lasten zugunsten der Länge über Steven änderte, und gibt einige Beispiele mit Gegenüberstellung Last - Länge.</w:t>
      </w:r>
      <w:r>
        <w:rPr>
          <w:rStyle w:val="char1"/>
        </w:rPr>
      </w:r>
      <w:r>
        <w:rPr>
          <w:rStyle w:val="char1"/>
        </w:rPr>
        <w:footnoteReference w:id="55"/>
      </w:r>
      <w:r/>
    </w:p>
    <w:p>
      <w:pPr>
        <w:pStyle w:val="para9"/>
      </w:pPr>
      <w:r>
        <w:t>Die Berechnung der Schiffsgrößen, also die Verdrängung oder die Ladekapazität eines Schiffes war bis ins 18. Jahrhundert nur fragmentarisch möglich. Es gab schlicht und ergreifend keinen mathematischen Ansatz. Erst um die Mitte des 18. Jahrhunderts erarbeitet sich Thomas Simpson</w:t>
      </w:r>
      <w:r>
        <w:rPr>
          <w:rStyle w:val="char1"/>
          <w:rFonts w:eastAsia="SimSun" w:cs="Times New Roman"/>
          <w:szCs w:val="20"/>
          <w:lang w:eastAsia="default" w:bidi="default"/>
        </w:rPr>
      </w:r>
      <w:r>
        <w:rPr>
          <w:rStyle w:val="char1"/>
          <w:rFonts w:eastAsia="SimSun" w:cs="Times New Roman"/>
          <w:szCs w:val="20"/>
          <w:lang w:eastAsia="default" w:bidi="default"/>
        </w:rPr>
        <w:footnoteReference w:id="56"/>
      </w:r>
      <w:r>
        <w:t xml:space="preserve"> ein System, unregelmäßige Körper zu berechnen. Kein Geringerer als Johannes Keppler legte die Grundlagen für Simpsons Formel. Keppler hatte Untersuchungen und Berechnungen angestellt, um den Inhalt eins Weinfasses zu berechnen.</w:t>
      </w:r>
    </w:p>
    <w:p>
      <w:pPr>
        <w:pStyle w:val="para9"/>
      </w:pPr>
      <w:r>
        <w:t xml:space="preserve">In den Archiven der Niederlande finden wir gelegentliche Ansätze, den Rauminhalt der Laderäume exakt zu ermitteln. Das wurde von den großen Handelskompanien OIC und WIC vorangetrieben. Den eingesehenen Unterlagen konnte entnommen werden, </w:t>
      </w:r>
      <w:tmLocalIgnore type="32" err="47">das Wunsch und Wirklichkeit</w:tmLocalIgnore>
      <w:r>
        <w:t>das Wunsch und Wirklichkeit nicht in Übereinstimmung gebracht werden konnte. So befindet sich in Het Scheepvaart Musem Amsterdam eine Schrift zum Thema. Um 1687 versuchte man bei eine der Handelskompanien den Laderaum mit aufwendigen Hilfsmitteln zu ermitteln. Der damalige Autor hatte versucht, den Rauminhalt ihm bekannter Schiffe theoretisch zu ermitteln. Doch die durch die Kapitäne der Schiffe übermittelten Ladungsgewichte stimmten nie mit der Berechnung überein.</w:t>
      </w:r>
      <w:r>
        <w:rPr>
          <w:rStyle w:val="char1"/>
          <w:rFonts w:eastAsia="SimSun" w:cs="Times New Roman"/>
          <w:szCs w:val="20"/>
          <w:lang w:eastAsia="default" w:bidi="default"/>
        </w:rPr>
      </w:r>
      <w:r>
        <w:rPr>
          <w:rStyle w:val="char1"/>
          <w:rFonts w:eastAsia="SimSun" w:cs="Times New Roman"/>
          <w:szCs w:val="20"/>
          <w:lang w:eastAsia="default" w:bidi="default"/>
        </w:rPr>
        <w:footnoteReference w:id="57"/>
      </w:r>
      <w:r/>
    </w:p>
    <w:p>
      <w:pPr>
        <w:pStyle w:val="para9"/>
      </w:pPr>
      <w:r>
        <w:t>1740 und 1741 tauchen im Nationaal Archief Den Haag zwei interessante Unterlagen auf. Es wurden verschiedene Schiffsnamen aufgeführt. Das ist ja eigentlich nichts Besonderes, aber es wurden für die einzelnen Kammern, wie Amsterdam, Zeeland, Delft, Rotterdam, Hoorn und Enkhuizen, nicht nur die Namen der Schiffe, sondern auch die Länge über Steven und die Tragfähigkeit in Lasten niedergeschrieben.</w:t>
      </w:r>
    </w:p>
    <w:p>
      <w:pPr>
        <w:pStyle w:val="para9"/>
      </w:pPr>
      <w:r>
        <w:t>Es sollen hier nur die wichtigsten Angaben gezeigt werden:</w:t>
        <w:tab/>
        <w:br w:type="textWrapping"/>
        <w:t>Die Schiffe mit einer Länge von 145 Fuß konnten 140 Lasten tragen, die 130 Fuß Schiffe konnten 100 Lasten tragen, die 125-Fuß-Schiffe noch 85 Lasten und die 120-Fuß-Schiffe 75 Lasten. Diese Angaben galten für alle Kammern der OIC.</w:t>
      </w:r>
      <w:r>
        <w:rPr>
          <w:rStyle w:val="char1"/>
          <w:rFonts w:eastAsia="SimSun" w:cs="Times New Roman"/>
          <w:szCs w:val="20"/>
          <w:lang w:eastAsia="default" w:bidi="default"/>
        </w:rPr>
      </w:r>
      <w:r>
        <w:rPr>
          <w:rStyle w:val="char1"/>
          <w:rFonts w:eastAsia="SimSun" w:cs="Times New Roman"/>
          <w:szCs w:val="20"/>
          <w:lang w:eastAsia="default" w:bidi="default"/>
        </w:rPr>
        <w:footnoteReference w:id="58"/>
      </w:r>
      <w:r/>
    </w:p>
    <w:p>
      <w:pPr>
        <w:pStyle w:val="para9"/>
      </w:pPr>
      <w:r>
        <w:t>Im Jahr 1741 taucht noch ein 150-Fuß-Schiff auf. Hier wurden 150 Lasten angegeben. Das aufgeführte 136-Fuß-Schiff konnte 110 Lasten tragen.</w:t>
      </w:r>
    </w:p>
    <w:p>
      <w:pPr>
        <w:pStyle w:val="para9"/>
      </w:pPr>
      <w:r/>
    </w:p>
    <w:p>
      <w:pPr>
        <w:pStyle w:val="para9"/>
      </w:pPr>
      <w:r/>
    </w:p>
    <w:tbl>
      <w:tblPr>
        <w:tblStyle w:val="TableNormal"/>
        <w:name w:val="Tabelle1"/>
        <w:tabOrder w:val="0"/>
        <w:jc w:val="left"/>
        <w:tblInd w:w="0" w:type="dxa"/>
        <w:tblW w:w="8807" w:type="dxa"/>
        <w:tblLook w:val="0600" w:firstRow="0" w:lastRow="0" w:firstColumn="0" w:lastColumn="0" w:noHBand="1" w:noVBand="1"/>
      </w:tblPr>
      <w:tblGrid>
        <w:gridCol w:w="204"/>
        <w:gridCol w:w="204"/>
        <w:gridCol w:w="234"/>
        <w:gridCol w:w="204"/>
        <w:gridCol w:w="204"/>
        <w:gridCol w:w="204"/>
        <w:gridCol w:w="204"/>
        <w:gridCol w:w="234"/>
        <w:gridCol w:w="204"/>
        <w:gridCol w:w="204"/>
        <w:gridCol w:w="204"/>
        <w:gridCol w:w="204"/>
        <w:gridCol w:w="180"/>
        <w:gridCol w:w="1744"/>
        <w:gridCol w:w="595"/>
        <w:gridCol w:w="56"/>
        <w:gridCol w:w="124"/>
        <w:gridCol w:w="56"/>
        <w:gridCol w:w="202"/>
        <w:gridCol w:w="202"/>
        <w:gridCol w:w="202"/>
        <w:gridCol w:w="202"/>
        <w:gridCol w:w="459"/>
        <w:gridCol w:w="220"/>
        <w:gridCol w:w="220"/>
        <w:gridCol w:w="180"/>
        <w:gridCol w:w="1458"/>
        <w:gridCol w:w="85"/>
        <w:gridCol w:w="114"/>
      </w:tblGrid>
      <w:tr>
        <w:trPr>
          <w:tblHeader w:val="0"/>
          <w:trKeepWithNext w:val="0"/>
          <w:trBreak w:val="0"/>
          <w:cantSplit w:val="0"/>
          <w:trHeight w:val="424" w:hRule="atLeast"/>
        </w:trPr>
        <w:tc>
          <w:tcPr>
            <w:tcW w:w="8608" w:type="dxa"/>
            <w:gridSpan w:val="27"/>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Länge=109; Weite=32 1/2; Raumtiefe=12 1/2; Verdeckhöhe=5 1/2 Fuß</w:t>
            </w:r>
          </w:p>
        </w:tc>
      </w:tr>
      <w:tr>
        <w:trPr>
          <w:tblHeader w:val="0"/>
          <w:trKeepWithNext w:val="0"/>
          <w:trBreak w:val="0"/>
          <w:cantSplit w:val="0"/>
          <w:trHeight w:val="326" w:hRule="atLeast"/>
        </w:trPr>
        <w:tc>
          <w:tcPr>
            <w:tcW w:w="8608" w:type="dxa"/>
            <w:gridSpan w:val="27"/>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L=109; W=32,5; R=16,25; H=5,5</w:t>
            </w:r>
          </w:p>
        </w:tc>
      </w:tr>
      <w:tr>
        <w:trPr>
          <w:tblHeader w:val="0"/>
          <w:trKeepWithNext w:val="0"/>
          <w:trBreak w:val="0"/>
          <w:cantSplit w:val="0"/>
          <w:trHeight w:val="0" w:hRule="auto"/>
        </w:trPr>
        <w:tc>
          <w:tcPr>
            <w:tcW w:w="5027" w:type="dxa"/>
            <w:gridSpan w:val="15"/>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Schiffsgröße in Lasten</w:t>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r>
          </w:p>
        </w:tc>
        <w:tc>
          <w:tcPr>
            <w:tcW w:w="3486" w:type="dxa"/>
            <w:gridSpan w:val="11"/>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Anzahl der Lasten unter dem Verdeck</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b/>
                <w:bCs/>
                <w:color w:val="000000"/>
              </w:rPr>
            </w:pPr>
            <w:r>
              <w:rPr>
                <w:b/>
                <w:bCs/>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b/>
                <w:bCs/>
                <w:color w:val="000000"/>
              </w:rPr>
            </w:pPr>
            <w:r>
              <w:rPr>
                <w:b/>
                <w:bCs/>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b/>
                <w:bCs/>
                <w:color w:val="000000"/>
              </w:rPr>
            </w:pPr>
            <w:r>
              <w:rPr>
                <w:b/>
                <w:bCs/>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b/>
                <w:bCs/>
                <w:color w:val="000000"/>
              </w:rPr>
            </w:pPr>
            <w:r>
              <w:rPr>
                <w:b/>
                <w:bCs/>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9</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Länge</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9</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Länge</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½</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Schiffsweite</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6</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¼</w:t>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32,5</w:t>
            </w:r>
            <w:r>
              <w:rPr>
                <w:color w:val="000000"/>
              </w:rPr>
              <w:t>/2=16,25</w:t>
            </w:r>
            <w:r>
              <w:rPr>
                <w:b/>
                <w:bCs/>
                <w:color w:val="000000"/>
              </w:rPr>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8</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109</w:t>
            </w:r>
            <w:r>
              <w:rPr>
                <w:color w:val="000000"/>
              </w:rPr>
              <w:t>x2=218</w:t>
            </w:r>
            <w:r>
              <w:rPr>
                <w:b/>
                <w:bCs/>
                <w:color w:val="000000"/>
              </w:rPr>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6</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109</w:t>
            </w:r>
            <w:r>
              <w:rPr>
                <w:color w:val="000000"/>
              </w:rPr>
              <w:t>x6=654</w:t>
            </w:r>
            <w:r>
              <w:rPr>
                <w:b/>
                <w:bCs/>
                <w:color w:val="000000"/>
              </w:rPr>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t>0</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109</w:t>
            </w:r>
            <w:r>
              <w:rPr>
                <w:color w:val="000000"/>
              </w:rPr>
              <w:t>x30=3270</w:t>
            </w:r>
            <w:r>
              <w:rPr>
                <w:b/>
                <w:bCs/>
                <w:color w:val="000000"/>
              </w:rPr>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9</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t>0</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109</w:t>
            </w:r>
            <w:r>
              <w:rPr>
                <w:color w:val="000000"/>
              </w:rPr>
              <w:t>x10=1090</w:t>
            </w:r>
            <w:r>
              <w:rPr>
                <w:b/>
                <w:bCs/>
                <w:color w:val="000000"/>
              </w:rPr>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885/16,25</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54/2=27</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109</w:t>
            </w:r>
            <w:r>
              <w:rPr>
                <w:color w:val="000000"/>
              </w:rPr>
              <w:t>x32,5=3542</w:t>
            </w:r>
            <w:r>
              <w:rPr>
                <w:b/>
                <w:bCs/>
                <w:color w:val="000000"/>
              </w:rPr>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109</w:t>
            </w:r>
            <w:r>
              <w:rPr>
                <w:color w:val="000000"/>
              </w:rPr>
              <w:t>x16,25=1771</w:t>
            </w:r>
            <w:r>
              <w:rPr>
                <w:b/>
                <w:bCs/>
                <w:color w:val="000000"/>
              </w:rPr>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½</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Raumtiefe</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 xml:space="preserve"> 3/4</w:t>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5,5/2=2,75</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8</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3542x2=7085</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7084/2=3542</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t>0</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ff0000"/>
              </w:rPr>
            </w:pPr>
            <w:r>
              <w:rPr>
                <w:b/>
                <w:bCs/>
                <w:color w:val="ff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3542x10=35420</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8</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8</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4542/4=885</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3542/2=1771</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885/2=442</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7</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w:t>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3542x12,5=44275</w:t>
              <w:br w:type="textWrapping"/>
              <w:t>44275/200=221</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8</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6</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9</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2</w:t>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4</w:t>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4869/200=24</w:t>
              <w:br w:type="textWrapping"/>
              <w:t>Lasten</w:t>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4</w:t>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Lasten</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w:t>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221+24=245</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a</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f</w:t>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1</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5</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4</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9</w:t>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single" w:sz="8"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0,2x245=49</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r>
      <w:tr>
        <w:trPr>
          <w:tblHeader w:val="0"/>
          <w:trKeepWithNext w:val="0"/>
          <w:trBreak w:val="0"/>
          <w:cantSplit w:val="0"/>
          <w:trHeight w:val="0" w:hRule="auto"/>
        </w:trPr>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3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widowControl/>
              <w:rPr>
                <w:color w:val="000000"/>
              </w:rPr>
            </w:pPr>
            <w:r>
              <w:rPr>
                <w:color w:val="000000"/>
              </w:rPr>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1</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9</w:t>
            </w:r>
          </w:p>
        </w:tc>
        <w:tc>
          <w:tcPr>
            <w:tcW w:w="20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t>6</w:t>
            </w:r>
          </w:p>
        </w:tc>
        <w:tc>
          <w:tcPr>
            <w:tcW w:w="12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b/>
                <w:bCs/>
                <w:color w:val="000000"/>
              </w:rPr>
            </w:pPr>
            <w:r>
              <w:rPr>
                <w:b/>
                <w:bCs/>
                <w:color w:val="000000"/>
              </w:rPr>
            </w:r>
          </w:p>
        </w:tc>
        <w:tc>
          <w:tcPr>
            <w:tcW w:w="1744"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245-49=196</w:t>
            </w:r>
          </w:p>
        </w:tc>
        <w:tc>
          <w:tcPr>
            <w:tcW w:w="651"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t>Lasten</w:t>
            </w:r>
          </w:p>
        </w:tc>
        <w:tc>
          <w:tcPr>
            <w:tcW w:w="95" w:type="dxa"/>
            <w:gridSpan w:val="2"/>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0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459"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220"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22" w:type="dxa"/>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c>
          <w:tcPr>
            <w:tcW w:w="1657" w:type="dxa"/>
            <w:gridSpan w:val="3"/>
            <w:vAlign w:val="center"/>
            <w:shd w:val="none"/>
            <w:tcMar>
              <w:top w:w="0" w:type="dxa"/>
              <w:left w:w="20" w:type="dxa"/>
              <w:bottom w:w="0" w:type="dxa"/>
              <w:right w:w="20" w:type="dxa"/>
            </w:tcMar>
            <w:tcBorders>
              <w:top w:val="nil" w:sz="0" w:space="0" w:color="000000" tmln="20, 20, 20, 0, 0"/>
              <w:left w:val="nil" w:sz="0" w:space="0" w:color="000000" tmln="20, 20, 20, 0, 0"/>
              <w:bottom w:val="nil" w:sz="0" w:space="0" w:color="000000" tmln="20, 20, 20, 0, 0"/>
              <w:right w:val="nil" w:sz="0" w:space="0" w:color="000000" tmln="20, 20, 20, 0, 0"/>
              <w:tl2br w:val="nil" w:sz="0" w:space="0" w:color="000000" tmln="20, 20, 20, 0, 0"/>
              <w:tr2bl w:val="nil" w:sz="0" w:space="0" w:color="000000" tmln="20, 20, 20, 0, 0"/>
            </w:tcBorders>
            <w:tmTcPr id="1690738358" protected="0"/>
          </w:tcPr>
          <w:p>
            <w:pPr>
              <w:spacing/>
              <w:jc w:val="center"/>
              <w:rPr>
                <w:color w:val="000000"/>
              </w:rPr>
            </w:pPr>
            <w:r>
              <w:rPr>
                <w:color w:val="000000"/>
              </w:rPr>
            </w:r>
          </w:p>
        </w:tc>
      </w:tr>
    </w:tbl>
    <w:p>
      <w:pPr>
        <w:pStyle w:val="para9"/>
      </w:pPr>
      <w:r/>
    </w:p>
    <w:p>
      <w:pPr>
        <w:pStyle w:val="para9"/>
      </w:pPr>
      <w:r>
        <w:t>Diese aufwendige Berechnung, um die Tragfähigkeit der Schiffe zu ermitteln, zeigt, welche Möglichkeiten die Menschen im 17. Jahrhundert nutzen konnten. Die uns heut bekannte Berechnungsmethode war vermutlich nicht in allen Bereichen bekannt, denn Algebra gab es schon in der Antike.</w:t>
      </w:r>
    </w:p>
    <w:p>
      <w:pPr>
        <w:pStyle w:val="para9"/>
      </w:pPr>
      <w:r/>
    </w:p>
    <w:p>
      <w:pPr>
        <w:pStyle w:val="para9"/>
      </w:pPr>
      <w:r/>
    </w:p>
    <w:p>
      <w:pPr>
        <w:pStyle w:val="para9"/>
      </w:pPr>
      <w:r/>
    </w:p>
    <w:p>
      <w:pPr>
        <w:pStyle w:val="para9"/>
      </w:pPr>
      <w:r/>
    </w:p>
    <w:p>
      <w:pPr>
        <w:pStyle w:val="para2"/>
      </w:pPr>
      <w:bookmarkStart w:id="58" w:name="_TOC000042"/>
      <w:r>
        <w:t>Die Maßsysteme</w:t>
      </w:r>
      <w:bookmarkEnd w:id="58"/>
      <w:r/>
    </w:p>
    <w:p>
      <w:pPr>
        <w:pStyle w:val="para9"/>
      </w:pPr>
      <w:r>
        <w:t>Die in den Niederlanden verwendeten Maßsysteme sind ähnlich wie im übrigen Europa höchst unterschiedlich. Leider sind nicht für alle Plätze in den Niederlanden die Einheiten überliefert. Um dennoch die Unterschiede aufzuzeigen, sollten einige wichtige Maßeinheiten gezeigt werden. Der Amsterdamer Fuß hatte im 16. und 17. Jahrhundert eine Länge von 283 mm und 11 Daumen. Der rheinländische Fuß beinhaltet 314 mm, aber es ergaben sich 12 Daumen für den Fuß. Das Maß der Stadt Vlissingen hatte 301,42 mm und 12 Daumen, Veere hatte 306 mm und 12 Daumen. Middelburg wiederum hatte für den Fuß 299 mm mit 12 Daumen. In Rotterdam lag das Maß für den Fuß bei 302 mm mit 12 Daumen. Das Maß der Stadt Wesel können wir mit ca. 288 mm zugrunde legen.</w:t>
      </w:r>
      <w:bookmarkStart w:id="59" w:name="_TOC000143"/>
      <w:r/>
      <w:bookmarkEnd w:id="59"/>
      <w:r/>
    </w:p>
    <w:p>
      <w:pPr>
        <w:pStyle w:val="para9"/>
      </w:pPr>
      <w:r>
        <w:t>Hier soll noch kurz eingeworfen werden, dass mehrheitlich das Amsterdamer Maß benutzt wurde. Dieses kann aber nur für die Schiffe der O.I.C. und der Marine verbindlich ausgesagt werden. Wie die vielen zivilen, kleinen und größeren Werften es mit den Maßsystemen hielten, ist nicht überliefert. Leider wird nicht in jedem Besteck auf das Maßsystem hingewiesen. Bis etwa um die Mitte des 17. Jahrhunderts war es vielfach noch üblich, das auf der Werft gültige System zu übernehmen. Das hatte aber immer wieder zur Folge, dass die Vertragsparteien von verschiedenen Dingen reden konnten. Der Schiffbauer meinte das Rotterdamer, der Kunde das Maßsystem des Noorderkwartiers oder eines anderen Ortes in den Niederlanden. Das kam öfter vor, als uns heute bekannt ist.</w:t>
      </w:r>
    </w:p>
    <w:p>
      <w:pPr>
        <w:pStyle w:val="para2"/>
      </w:pPr>
      <w:bookmarkStart w:id="60" w:name="_TOC000207"/>
      <w:r>
        <w:t>Die Schiffstypen</w:t>
      </w:r>
      <w:bookmarkEnd w:id="60"/>
      <w:r/>
    </w:p>
    <w:p>
      <w:pPr>
        <w:pStyle w:val="para9"/>
      </w:pPr>
      <w:r>
        <w:t>Ganz allgemein kann in dieser Arbeit nur etwas zu den Schiffstypen gesagt werden, die auch in den Bestecken zum Tragen kommen. Hier geht es dann im ersten Augenblick nur um die Hauptabmessungen und die wichtigsten Decks.</w:t>
      </w:r>
    </w:p>
    <w:p>
      <w:pPr>
        <w:pStyle w:val="para9"/>
      </w:pPr>
      <w:r>
        <w:rPr>
          <w:noProof/>
        </w:rPr>
        <mc:AlternateContent>
          <mc:Choice Requires="wpg">
            <w:drawing>
              <wp:anchor distT="89535" distB="179705" distL="89535" distR="89535" simplePos="0" relativeHeight="251658250" behindDoc="0" locked="0" layoutInCell="0" hidden="0" allowOverlap="1">
                <wp:simplePos x="0" y="0"/>
                <wp:positionH relativeFrom="margin">
                  <wp:posOffset>-38100</wp:posOffset>
                </wp:positionH>
                <wp:positionV relativeFrom="margin">
                  <wp:posOffset>1341120</wp:posOffset>
                </wp:positionV>
                <wp:extent cx="6156325" cy="3416935"/>
                <wp:effectExtent l="0" t="0" r="0" b="0"/>
                <wp:wrapTopAndBottom/>
                <wp:docPr id="10" name="Gruppe5"/>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E0BAAAAkAAAAEgAAACQAAAASAAAAAAAAAAAAAAAAAAAABcAAAAUAAAAAAAAAAAAAAD/fwAA/38AAAABAAAJAAAABAAAAAAAAAAhAAAAQAAAADwAAADjAAAAAKEAACAAAAAAAAAAAAAAAAEAAADE////AAAAAAEAAABACAAA3yUAAAUVAAAKAAAAaQYAAK4MAAAoAAAACAAAAAEAAAABAAAA"/>
                          </a:ext>
                        </a:extLst>
                      </wpg:cNvGrpSpPr>
                      <wpg:grpSpPr>
                        <a:xfrm>
                          <a:off x="0" y="0"/>
                          <a:ext cx="6156325" cy="3416935"/>
                          <a:chOff x="0" y="0"/>
                          <a:chExt cx="6156325" cy="3416935"/>
                        </a:xfrm>
                      </wpg:grpSpPr>
                      <wps:wsp>
                        <wps:cNvPr id="11" name="Textbox9"/>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kT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DfJQAAuRMAAAAAAABpBgAArgwAACgAAAAIAAAAAQAAAAIAAAAwAAAAFAAAAAAAAAAAAP//AAABAAAA//8AAAEA"/>
                            </a:ext>
                          </a:extLst>
                        </wps:cNvSpPr>
                        <wps:spPr>
                          <a:xfrm>
                            <a:off x="0" y="0"/>
                            <a:ext cx="6156325" cy="320611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Es sollte die Abbildung aus dem Manuskript</w:t>
                              </w:r>
                            </w:p>
                            <w:p>
                              <w:pPr>
                                <w:spacing/>
                                <w:jc w:val="center"/>
                                <w:rPr>
                                  <w:b/>
                                  <w:bCs/>
                                  <w:sz w:val="24"/>
                                  <w:szCs w:val="24"/>
                                </w:rPr>
                              </w:pPr>
                              <w:r>
                                <w:rPr>
                                  <w:b/>
                                  <w:bCs/>
                                  <w:sz w:val="24"/>
                                  <w:szCs w:val="24"/>
                                </w:rPr>
                                <w:t>der Aeolus genommen werden!</w:t>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LS-Schip-1593.JPG</w:t>
                              </w:r>
                            </w:p>
                            <w:p>
                              <w:pPr>
                                <w:spacing/>
                                <w:jc w:val="center"/>
                                <w:rPr>
                                  <w:b/>
                                  <w:bCs/>
                                  <w:sz w:val="24"/>
                                  <w:szCs w:val="24"/>
                                </w:rPr>
                              </w:pPr>
                              <w:r>
                                <w:rPr>
                                  <w:b/>
                                  <w:bCs/>
                                  <w:sz w:val="24"/>
                                  <w:szCs w:val="24"/>
                                </w:rPr>
                              </w:r>
                            </w:p>
                            <w:p>
                              <w:pPr>
                                <w:spacing/>
                                <w:jc w:val="center"/>
                                <w:rPr>
                                  <w:b/>
                                  <w:bCs/>
                                  <w:sz w:val="24"/>
                                  <w:szCs w:val="24"/>
                                </w:rPr>
                              </w:pPr>
                              <w:r>
                                <w:rPr>
                                  <w:b/>
                                  <w:bCs/>
                                  <w:sz w:val="24"/>
                                  <w:szCs w:val="24"/>
                                </w:rPr>
                                <w:t>Längsschnitt des Schiffs von 1593.</w:t>
                              </w:r>
                            </w:p>
                          </w:txbxContent>
                        </wps:txbx>
                        <wps:bodyPr spcFirstLastPara="1" vertOverflow="clip" horzOverflow="clip" upright="1">
                          <a:prstTxWarp prst="textNoShape">
                            <a:avLst/>
                          </a:prstTxWarp>
                          <a:spAutoFit/>
                        </wps:bodyPr>
                      </wps:wsp>
                      <wps:wsp>
                        <wps:cNvPr id="12" name="Textbox10"/>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3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DfJQAATAEAAAAAAABpBgAAZyAAACgAAAAIAAAAAQAAAAIAAAAwAAAAFAAAAAAAAAAAAP//AAABAAAA//8AAAEA"/>
                            </a:ext>
                          </a:extLst>
                        </wps:cNvSpPr>
                        <wps:spPr>
                          <a:xfrm>
                            <a:off x="0" y="3206115"/>
                            <a:ext cx="6156325"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3</w:t>
                                <w:fldChar w:fldCharType="end"/>
                              </w:r>
                              <w:r>
                                <w:t>: Eine grobe Skizze des 1593 in Auftrag gegebenen Schiff. Es gab im Archiv vier relativ identische Bestecke.</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3.00pt;margin-top:105.60pt;mso-position-horizontal-relative:margin;mso-position-vertical-relative:margin;width:484.75pt;height:269.05pt;z-index:251658250;mso-wrap-distance-left:7.05pt;mso-wrap-distance-top:7.05pt;mso-wrap-distance-right:7.05pt;mso-wrap-distance-bottom:14.15pt" coordorigin="1641,3246" coordsize="9695,5381">
                <v:shape id="Textbox9" o:spid="_x0000_s1030" type="#_x0000_t202" style="position:absolute;left:1641;top:3246;width:9695;height:5049"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kT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Es sollte die Abbildung aus dem Manuskript</w:t>
                        </w:r>
                      </w:p>
                      <w:p>
                        <w:pPr>
                          <w:spacing/>
                          <w:jc w:val="center"/>
                          <w:rPr>
                            <w:b/>
                            <w:bCs/>
                            <w:sz w:val="24"/>
                            <w:szCs w:val="24"/>
                          </w:rPr>
                        </w:pPr>
                        <w:r>
                          <w:rPr>
                            <w:b/>
                            <w:bCs/>
                            <w:sz w:val="24"/>
                            <w:szCs w:val="24"/>
                          </w:rPr>
                          <w:t>der Aeolus genommen werden!</w:t>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LS-Schip-1593.JPG</w:t>
                        </w:r>
                      </w:p>
                      <w:p>
                        <w:pPr>
                          <w:spacing/>
                          <w:jc w:val="center"/>
                          <w:rPr>
                            <w:b/>
                            <w:bCs/>
                            <w:sz w:val="24"/>
                            <w:szCs w:val="24"/>
                          </w:rPr>
                        </w:pPr>
                        <w:r>
                          <w:rPr>
                            <w:b/>
                            <w:bCs/>
                            <w:sz w:val="24"/>
                            <w:szCs w:val="24"/>
                          </w:rPr>
                        </w:r>
                      </w:p>
                      <w:p>
                        <w:pPr>
                          <w:spacing/>
                          <w:jc w:val="center"/>
                          <w:rPr>
                            <w:b/>
                            <w:bCs/>
                            <w:sz w:val="24"/>
                            <w:szCs w:val="24"/>
                          </w:rPr>
                        </w:pPr>
                        <w:r>
                          <w:rPr>
                            <w:b/>
                            <w:bCs/>
                            <w:sz w:val="24"/>
                            <w:szCs w:val="24"/>
                          </w:rPr>
                          <w:t>Längsschnitt des Schiffs von 1593.</w:t>
                        </w:r>
                      </w:p>
                    </w:txbxContent>
                  </v:textbox>
                </v:shape>
                <v:shape id="Textbox10" o:spid="_x0000_s1031" type="#_x0000_t202" style="position:absolute;left:1641;top:8295;width:9695;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3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3</w:t>
                          <w:fldChar w:fldCharType="end"/>
                        </w:r>
                        <w:r>
                          <w:t>: Eine grobe Skizze des 1593 in Auftrag gegebenen Schiff. Es gab im Archiv vier relativ identische Bestecke.</w:t>
                        </w:r>
                      </w:p>
                    </w:txbxContent>
                  </v:textbox>
                </v:shape>
                <w10:wrap type="topAndBottom" anchorx="margin" anchory="margin"/>
              </v:group>
            </w:pict>
          </mc:Fallback>
        </mc:AlternateContent>
      </w:r>
      <w:r>
        <w:t>Die wichtigsten Daten wurden in eine Tabelle aufgenommen und können hier nachfolgend ausgewertet werden.</w:t>
      </w:r>
    </w:p>
    <w:p>
      <w:pPr>
        <w:pStyle w:val="para2"/>
      </w:pPr>
      <w:r>
        <w:rPr>
          <w:noProof/>
        </w:rPr>
        <mc:AlternateContent>
          <mc:Choice Requires="wpg">
            <w:drawing>
              <wp:anchor distT="144145" distB="144145" distL="89535" distR="89535" simplePos="0" relativeHeight="251658247" behindDoc="0" locked="0" layoutInCell="0" hidden="0" allowOverlap="1">
                <wp:simplePos x="0" y="0"/>
                <wp:positionH relativeFrom="margin">
                  <wp:align>left</wp:align>
                </wp:positionH>
                <wp:positionV relativeFrom="margin">
                  <wp:posOffset>5129530</wp:posOffset>
                </wp:positionV>
                <wp:extent cx="6118225" cy="2740660"/>
                <wp:effectExtent l="0" t="0" r="0" b="0"/>
                <wp:wrapTopAndBottom/>
                <wp:docPr id="7" name="Gruppe3"/>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BAAAJAAAABAAAAAAAAAAhAAAAQAAAADwAAADkAAAAAKEAACAAAAAAAAAAAQAAAAEAAAAAAAAAAAAAAAEAAACOHwAAoyUAANwQAAALAAAANwIAAPwjAAAoAAAACAAAAAEAAAABAAAA"/>
                          </a:ext>
                        </a:extLst>
                      </wpg:cNvGrpSpPr>
                      <wpg:grpSpPr>
                        <a:xfrm>
                          <a:off x="0" y="0"/>
                          <a:ext cx="6118225" cy="2740660"/>
                          <a:chOff x="0" y="0"/>
                          <a:chExt cx="6118225" cy="2740660"/>
                        </a:xfrm>
                      </wpg:grpSpPr>
                      <wps:wsp>
                        <wps:cNvPr id="8" name="Textbox5"/>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AP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jJQAAkA8AAAAAAAA3AgAA/CMAACgAAAAIAAAAAQAAAAIAAAAwAAAAFAAAAAAAAAAAAP//AAABAAAA//8AAAEA"/>
                            </a:ext>
                          </a:extLst>
                        </wps:cNvSpPr>
                        <wps:spPr>
                          <a:xfrm>
                            <a:off x="0" y="0"/>
                            <a:ext cx="6118225" cy="252984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t>Die entsprechende Tabelle befindet sich</w:t>
                                <w:br w:type="textWrapping"/>
                                <w:t>in der großen Tabelle</w:t>
                              </w:r>
                            </w:p>
                            <w:p>
                              <w:pPr>
                                <w:spacing/>
                                <w:jc w:val="center"/>
                                <w:rPr>
                                  <w:b/>
                                  <w:bCs/>
                                  <w:sz w:val="24"/>
                                  <w:szCs w:val="24"/>
                                </w:rPr>
                              </w:pPr>
                              <w:r>
                                <w:rPr>
                                  <w:b/>
                                  <w:bCs/>
                                  <w:sz w:val="24"/>
                                  <w:szCs w:val="24"/>
                                </w:rPr>
                                <w:br w:type="textWrapping"/>
                                <w:t>MYCLOUD\M\Manuskripte\Arbeiten-an-Bestecken\Tabellen\</w:t>
                                <w:br w:type="textWrapping"/>
                                <w:t>Uebersicht-Oorlogschiffe.pmdx</w:t>
                              </w:r>
                            </w:p>
                            <w:p>
                              <w:pPr>
                                <w:spacing/>
                                <w:jc w:val="center"/>
                                <w:rPr>
                                  <w:b/>
                                  <w:bCs/>
                                  <w:sz w:val="24"/>
                                  <w:szCs w:val="24"/>
                                </w:rPr>
                              </w:pPr>
                              <w:r>
                                <w:rPr>
                                  <w:b/>
                                  <w:bCs/>
                                  <w:sz w:val="24"/>
                                  <w:szCs w:val="24"/>
                                </w:rPr>
                              </w:r>
                            </w:p>
                            <w:p>
                              <w:pPr>
                                <w:spacing/>
                                <w:jc w:val="center"/>
                                <w:rPr>
                                  <w:b/>
                                  <w:bCs/>
                                  <w:sz w:val="24"/>
                                  <w:szCs w:val="24"/>
                                </w:rPr>
                              </w:pPr>
                              <w:r>
                                <w:rPr>
                                  <w:b/>
                                  <w:bCs/>
                                  <w:sz w:val="24"/>
                                  <w:szCs w:val="24"/>
                                </w:rPr>
                                <w:t>Register: Oorlogschiffe</w:t>
                              </w:r>
                            </w:p>
                            <w:p>
                              <w:pPr>
                                <w:spacing/>
                                <w:jc w:val="center"/>
                                <w:rPr>
                                  <w:b/>
                                  <w:bCs/>
                                  <w:sz w:val="24"/>
                                  <w:szCs w:val="24"/>
                                </w:rPr>
                              </w:pPr>
                              <w:r>
                                <w:rPr>
                                  <w:b/>
                                  <w:bCs/>
                                  <w:sz w:val="24"/>
                                  <w:szCs w:val="24"/>
                                </w:rPr>
                              </w:r>
                            </w:p>
                            <w:p>
                              <w:pPr>
                                <w:spacing/>
                                <w:jc w:val="center"/>
                                <w:rPr>
                                  <w:b/>
                                  <w:bCs/>
                                  <w:sz w:val="24"/>
                                  <w:szCs w:val="24"/>
                                </w:rPr>
                              </w:pPr>
                              <w:r>
                                <w:rPr>
                                  <w:b/>
                                  <w:bCs/>
                                  <w:sz w:val="24"/>
                                  <w:szCs w:val="24"/>
                                </w:rPr>
                                <w:t>Die wichtigsten Abmessungen der frühen Oorlogschiffe</w:t>
                              </w:r>
                            </w:p>
                          </w:txbxContent>
                        </wps:txbx>
                        <wps:bodyPr spcFirstLastPara="1" vertOverflow="clip" horzOverflow="clip" upright="1">
                          <a:prstTxWarp prst="textNoShape">
                            <a:avLst/>
                          </a:prstTxWarp>
                          <a:spAutoFit/>
                        </wps:bodyPr>
                      </wps:wsp>
                      <wps:wsp>
                        <wps:cNvPr id="9" name="Textbox6"/>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o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jJQAATAEAAAAAAAA3AgAAjDMAACgAAAAIAAAAAQAAAAIAAAAwAAAAFAAAAAAAAAAAAP//AAABAAAA//8AAAEA"/>
                            </a:ext>
                          </a:extLst>
                        </wps:cNvSpPr>
                        <wps:spPr>
                          <a:xfrm>
                            <a:off x="0" y="2529840"/>
                            <a:ext cx="6118225"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1</w:t>
                                <w:fldChar w:fldCharType="end"/>
                              </w:r>
                              <w:r>
                                <w:t>: Die wichtigsten Abmessungen der frühen Oorlogschiffe</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403.90pt;mso-position-horizontal-relative:margin;mso-position-vertical-relative:margin;width:481.75pt;height:215.80pt;z-index:251658247;mso-wrap-distance-left:7.05pt;mso-wrap-distance-top:11.35pt;mso-wrap-distance-right:7.05pt;mso-wrap-distance-bottom:11.35pt" coordorigin="567,9212" coordsize="9635,4316">
                <v:shape id="Textbox5" o:spid="_x0000_s1032" type="#_x0000_t202" style="position:absolute;left:567;top:9212;width:9635;height:3984"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AP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t>Die entsprechende Tabelle befindet sich</w:t>
                          <w:br w:type="textWrapping"/>
                          <w:t>in der großen Tabelle</w:t>
                        </w:r>
                      </w:p>
                      <w:p>
                        <w:pPr>
                          <w:spacing/>
                          <w:jc w:val="center"/>
                          <w:rPr>
                            <w:b/>
                            <w:bCs/>
                            <w:sz w:val="24"/>
                            <w:szCs w:val="24"/>
                          </w:rPr>
                        </w:pPr>
                        <w:r>
                          <w:rPr>
                            <w:b/>
                            <w:bCs/>
                            <w:sz w:val="24"/>
                            <w:szCs w:val="24"/>
                          </w:rPr>
                          <w:br w:type="textWrapping"/>
                          <w:t>MYCLOUD\M\Manuskripte\Arbeiten-an-Bestecken\Tabellen\</w:t>
                          <w:br w:type="textWrapping"/>
                          <w:t>Uebersicht-Oorlogschiffe.pmdx</w:t>
                        </w:r>
                      </w:p>
                      <w:p>
                        <w:pPr>
                          <w:spacing/>
                          <w:jc w:val="center"/>
                          <w:rPr>
                            <w:b/>
                            <w:bCs/>
                            <w:sz w:val="24"/>
                            <w:szCs w:val="24"/>
                          </w:rPr>
                        </w:pPr>
                        <w:r>
                          <w:rPr>
                            <w:b/>
                            <w:bCs/>
                            <w:sz w:val="24"/>
                            <w:szCs w:val="24"/>
                          </w:rPr>
                        </w:r>
                      </w:p>
                      <w:p>
                        <w:pPr>
                          <w:spacing/>
                          <w:jc w:val="center"/>
                          <w:rPr>
                            <w:b/>
                            <w:bCs/>
                            <w:sz w:val="24"/>
                            <w:szCs w:val="24"/>
                          </w:rPr>
                        </w:pPr>
                        <w:r>
                          <w:rPr>
                            <w:b/>
                            <w:bCs/>
                            <w:sz w:val="24"/>
                            <w:szCs w:val="24"/>
                          </w:rPr>
                          <w:t>Register: Oorlogschiffe</w:t>
                        </w:r>
                      </w:p>
                      <w:p>
                        <w:pPr>
                          <w:spacing/>
                          <w:jc w:val="center"/>
                          <w:rPr>
                            <w:b/>
                            <w:bCs/>
                            <w:sz w:val="24"/>
                            <w:szCs w:val="24"/>
                          </w:rPr>
                        </w:pPr>
                        <w:r>
                          <w:rPr>
                            <w:b/>
                            <w:bCs/>
                            <w:sz w:val="24"/>
                            <w:szCs w:val="24"/>
                          </w:rPr>
                        </w:r>
                      </w:p>
                      <w:p>
                        <w:pPr>
                          <w:spacing/>
                          <w:jc w:val="center"/>
                          <w:rPr>
                            <w:b/>
                            <w:bCs/>
                            <w:sz w:val="24"/>
                            <w:szCs w:val="24"/>
                          </w:rPr>
                        </w:pPr>
                        <w:r>
                          <w:rPr>
                            <w:b/>
                            <w:bCs/>
                            <w:sz w:val="24"/>
                            <w:szCs w:val="24"/>
                          </w:rPr>
                          <w:t>Die wichtigsten Abmessungen der frühen Oorlogschiffe</w:t>
                        </w:r>
                      </w:p>
                    </w:txbxContent>
                  </v:textbox>
                </v:shape>
                <v:shape id="Textbox6" o:spid="_x0000_s1033" type="#_x0000_t202" style="position:absolute;left:567;top:13196;width:9635;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o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1</w:t>
                          <w:fldChar w:fldCharType="end"/>
                        </w:r>
                        <w:r>
                          <w:t>: Die wichtigsten Abmessungen der frühen Oorlogschiffe</w:t>
                        </w:r>
                      </w:p>
                    </w:txbxContent>
                  </v:textbox>
                </v:shape>
                <w10:wrap type="topAndBottom" anchorx="margin" anchory="margin"/>
              </v:group>
            </w:pict>
          </mc:Fallback>
        </mc:AlternateContent>
      </w:r>
      <w:bookmarkStart w:id="61" w:name="_TOC000124"/>
      <w:r/>
      <w:r>
        <w:rPr>
          <w:color w:val="000000"/>
        </w:rPr>
        <w:t>Etwas zu den Abmessungen</w:t>
      </w:r>
      <w:r/>
      <w:bookmarkEnd w:id="61"/>
      <w:r/>
    </w:p>
    <w:p>
      <w:pPr>
        <w:pStyle w:val="para9"/>
      </w:pPr>
      <w:r>
        <w:t>Die Länge eines Schiffes entsprach dem Maß von der Achterkante des Achterstevens bis zur Vorderkante des Vorstevens. Die Schiffsweite wurde an der weitesten Stelle des Schiffes gemessen. Die Außenhaut fand keine Berücksichtigung. Und schließlich die Raumtiefe, sie wurde von der Oberkante des Kiels bis zur Oberkante des Überlaufs an der Bordseite gemessen. Dieses geschah wiederum an der weitesten Stelle des Schiffes, nämlich am sogenannten Hals. Die Bezeichnung Hauptspant war noch nicht geläufig. Die Decksbeplankung fand für dieses Maß keine Berücksichtigung, die Oberkante des Decksbalkens war ausschlaggebend. Die größeren Kriegsschiffe hatten in der Regel auch eine Kuhbrücke, die oberhalb des Überlaufs lag. Ihre Höhe wurde an der Bordseite von der Oberkante Decksbalken des Überlaufs bis zur Oberkante des Decksbalkens der Kuhbrücke gemessen. Auch hier fand die Decksbeplankung keine Berücksichtigung.</w:t>
      </w:r>
    </w:p>
    <w:p>
      <w:pPr>
        <w:pStyle w:val="para9"/>
      </w:pPr>
      <w:r>
        <w:t>Die Fachbegriffe sind, so weit möglich, dem Sprachgebrauch der damaligen Zeit angeglichen. Dennoch wurde versucht, eine einheitliche Schreibweise zu benutzen. Hierzu dienten die maritimen Wörterbücher, die im Literaturverzeichnis vermerkt sind. Wurde zum Beispiel ein Begriff bei Winschootens oder Röding gefunden, wurde die Schreibweise übernommen. Wurde der Begriff erst bei Kluge gefunden, galt diese Schreibweise. Die heutige Schreibweise, beispielsweise nach Duden, wurde bei den Fachbegriffen nicht angestrebt.</w:t>
      </w:r>
    </w:p>
    <w:p>
      <w:pPr>
        <w:pStyle w:val="para2"/>
      </w:pPr>
      <w:bookmarkStart w:id="62" w:name="_TOC000121"/>
      <w:r/>
      <w:bookmarkStart w:id="63" w:name="_TOC000209"/>
      <w:r/>
      <w:bookmarkStart w:id="64" w:name="_TOC000172"/>
      <w:r/>
      <w:bookmarkStart w:id="65" w:name="_TOC000136"/>
      <w:r/>
      <w:bookmarkStart w:id="66" w:name="_TOC000062"/>
      <w:r/>
      <w:bookmarkStart w:id="67" w:name="_TOC000351"/>
      <w:r/>
      <w:bookmarkStart w:id="68" w:name="_TOC000321"/>
      <w:r/>
      <w:bookmarkStart w:id="69" w:name="_TOC000289"/>
      <w:r/>
      <w:bookmarkStart w:id="70" w:name="_TOC000277"/>
      <w:r/>
      <w:bookmarkStart w:id="71" w:name="_TOC000245"/>
      <w:r/>
      <w:bookmarkStart w:id="72" w:name="_TOC000212"/>
      <w:r/>
      <w:bookmarkStart w:id="73" w:name="_TOC000181"/>
      <w:r/>
      <w:bookmarkStart w:id="74" w:name="_TOC000167"/>
      <w:r/>
      <w:bookmarkStart w:id="75" w:name="_TOC000132"/>
      <w:r/>
      <w:bookmarkStart w:id="76" w:name="_TOC000097"/>
      <w:r/>
      <w:bookmarkStart w:id="77" w:name="_TOC000114"/>
      <w:r>
        <w:t>Die Jahre 1653/54 und 1654/55</w:t>
      </w:r>
      <w:bookmarkEnd w:id="76"/>
      <w:r/>
      <w:bookmarkEnd w:id="75"/>
      <w:r/>
      <w:bookmarkEnd w:id="74"/>
      <w:r/>
      <w:bookmarkEnd w:id="73"/>
      <w:r/>
      <w:bookmarkEnd w:id="72"/>
      <w:r/>
      <w:bookmarkEnd w:id="71"/>
      <w:r/>
      <w:bookmarkEnd w:id="70"/>
      <w:r/>
      <w:bookmarkEnd w:id="69"/>
      <w:r/>
      <w:bookmarkEnd w:id="68"/>
      <w:r/>
      <w:bookmarkEnd w:id="67"/>
      <w:r/>
      <w:bookmarkEnd w:id="66"/>
      <w:r/>
      <w:bookmarkEnd w:id="65"/>
      <w:r/>
      <w:bookmarkEnd w:id="64"/>
      <w:r/>
      <w:bookmarkEnd w:id="63"/>
      <w:r>
        <w:tab/>
        <w:tab/>
        <w:t>17. Jahrhundert</w:t>
      </w:r>
      <w:bookmarkEnd w:id="62"/>
      <w:r/>
      <w:bookmarkEnd w:id="77"/>
      <w:r>
        <w:t>; Adm</w:t>
      </w:r>
    </w:p>
    <w:p>
      <w:pPr>
        <w:pStyle w:val="para9"/>
      </w:pPr>
      <w:r>
        <w:t>In den 1630er-Jahren kamen die Verantwortlichen in den Niederlanden zu der Überzeugung, dass dem Flottenchef ein eigenes Schiff zustehen würde.</w:t>
      </w:r>
      <w:r>
        <w:rPr>
          <w:rStyle w:val="char1"/>
        </w:rPr>
      </w:r>
      <w:r>
        <w:rPr>
          <w:rStyle w:val="char1"/>
        </w:rPr>
        <w:footnoteReference w:id="79"/>
      </w:r>
      <w:r>
        <w:t xml:space="preserve"> War er in der Vergangenheit traditionell Gast auf einem ihm zugeteilten Schiff, hatte man nun beschlossen, diesen Umstand zu ändern. Der leitende Schiffbaumeister der Admiralitätswerft in Rotterdam, Jan Salomon van der Tempel (* - †1657), (im folgenden J.S.v. Tempel) bekam 1632 den Auftrag, dieses Schiff zu entwerfen und zu bauen. Es war die Aemilia, ein fregattenartiges Schiff von 132 Fuß Länge, 32 Fuß Weite und 13 ½ Fuß Raumtiefe. In den frühen Jahren des 17. Jahrhunderts wurde die Größe eines Schiffes noch in Lasten ausgedrückt. So erfahren wir, dass die Aemilia eine Größe von 300 Lasten hatte. Dieses Kriegsschiff, wie in der niederländischen Fachliteratur nachzulesen ist, war für die spätere Entwicklung des Kriegsschiffbaus maßgebend.</w:t>
      </w:r>
      <w:r>
        <w:rPr>
          <w:rStyle w:val="char1"/>
        </w:rPr>
      </w:r>
      <w:r>
        <w:rPr>
          <w:rStyle w:val="char1"/>
        </w:rPr>
        <w:footnoteReference w:id="80"/>
      </w:r>
      <w:r>
        <w:t xml:space="preserve"> Nach dem Verkauf des Schiffes im Jahre 1647 wurde dann die Brederode, ein 1643 bis 1646 gebautes Kriegsschiff, dem Flottenchef überantwortet.</w:t>
      </w:r>
      <w:r>
        <w:rPr>
          <w:rStyle w:val="char1"/>
        </w:rPr>
      </w:r>
      <w:r>
        <w:rPr>
          <w:rStyle w:val="char1"/>
        </w:rPr>
        <w:footnoteReference w:id="81"/>
      </w:r>
      <w:r>
        <w:t xml:space="preserve"> Beide Schiffe standen 1652 vermutlich Pate für das wichtige Flottenbauprogramm dieser Periode.</w:t>
      </w:r>
    </w:p>
    <w:p>
      <w:pPr>
        <w:pStyle w:val="para1"/>
      </w:pPr>
      <w:bookmarkStart w:id="81" w:name="_TOC000125"/>
      <w:r/>
      <w:bookmarkStart w:id="82" w:name="_TOC000210"/>
      <w:r/>
      <w:bookmarkStart w:id="83" w:name="_TOC000173"/>
      <w:r/>
      <w:bookmarkStart w:id="84" w:name="_TOC000138"/>
      <w:r/>
      <w:bookmarkStart w:id="85" w:name="_TOC000040"/>
      <w:r/>
      <w:bookmarkStart w:id="86" w:name="_TOC000038"/>
      <w:r/>
      <w:bookmarkStart w:id="87" w:name="_TOC000035"/>
      <w:r/>
      <w:bookmarkStart w:id="88" w:name="_TOC000026"/>
      <w:r/>
      <w:bookmarkStart w:id="89" w:name="_TOC000091"/>
      <w:r/>
      <w:bookmarkStart w:id="90" w:name="_TOC000090"/>
      <w:r/>
      <w:bookmarkStart w:id="91" w:name="_TOC000087"/>
      <w:r/>
      <w:bookmarkStart w:id="92" w:name="_TOC000085"/>
      <w:r/>
      <w:bookmarkStart w:id="93" w:name="_TOC000083"/>
      <w:r/>
      <w:bookmarkStart w:id="94" w:name="_TOC000081"/>
      <w:r/>
      <w:bookmarkStart w:id="95" w:name="_TOC000078"/>
      <w:r>
        <w:t>Allgemeines zu den Bestecken; Ablauf und Aufbau.</w:t>
      </w:r>
      <w:bookmarkEnd w:id="28"/>
      <w:r/>
      <w:bookmarkEnd w:id="27"/>
      <w:r/>
      <w:bookmarkEnd w:id="26"/>
      <w:r/>
      <w:bookmarkEnd w:id="25"/>
      <w:r/>
      <w:bookmarkEnd w:id="24"/>
      <w:r/>
      <w:bookmarkEnd w:id="23"/>
      <w:r/>
      <w:bookmarkEnd w:id="22"/>
      <w:r/>
      <w:bookmarkEnd w:id="21"/>
      <w:r/>
      <w:bookmarkEnd w:id="20"/>
      <w:r/>
      <w:bookmarkEnd w:id="95"/>
      <w:r/>
      <w:bookmarkEnd w:id="94"/>
      <w:r/>
      <w:bookmarkEnd w:id="93"/>
      <w:r/>
      <w:bookmarkEnd w:id="92"/>
      <w:r/>
      <w:bookmarkEnd w:id="91"/>
      <w:r/>
      <w:bookmarkEnd w:id="90"/>
      <w:r/>
      <w:bookmarkEnd w:id="89"/>
      <w:r/>
      <w:bookmarkEnd w:id="88"/>
      <w:r/>
      <w:bookmarkEnd w:id="87"/>
      <w:r/>
      <w:bookmarkEnd w:id="86"/>
      <w:r/>
      <w:bookmarkEnd w:id="85"/>
      <w:r/>
      <w:bookmarkEnd w:id="84"/>
      <w:r/>
      <w:bookmarkEnd w:id="83"/>
      <w:r/>
      <w:bookmarkEnd w:id="82"/>
      <w:r/>
      <w:bookmarkEnd w:id="81"/>
      <w:r/>
    </w:p>
    <w:p>
      <w:pPr>
        <w:pStyle w:val="para9"/>
      </w:pPr>
      <w:r>
        <w:t>Die europäischen Schiffbauer haben zu allen Zeiten selbst ihre größeren Schiffe nur zum Teil ohne schriftliche Fixierung entworfen und gebaut. Schriftliche Zeugnisse aus der frühen Neuzeit sind allerdings eher selten. Die Archive, hier vor allem die der Niederlande, sind zwar gut gefüllt, aber die zweckgebundenen Dokumente zum Bau eines Schiffes tauchen leider in der Zeit vor 1570 eher selten auf. Nach 1570 lassen sich in einigen niederländischen Archiven Kontrakte zwischen Kunde und Werft finden. In den Niederlanden handelt es sich in der Regel um einen Baukontrakt zwischen diesen beiden Partnern. Wir reden hier also über Begriffe wie Zerter, Bauzerter oder Besteck. In Emden sprach man zum Beispiel von Kontraktenprotokollen. Alle Dokumente regelten aber den Bau oder den Verkauf eines Schiffes.</w:t>
      </w:r>
    </w:p>
    <w:p>
      <w:pPr>
        <w:pStyle w:val="para9"/>
      </w:pPr>
      <w:r>
        <w:t>Man muss bei den überlieferten Bestecken unterscheiden zwischen Handels- und Kriegsschiff. Während man bei den Kriegsschiffen immer auch detailliertere Unterlagen in den Archiven findet, verhält es sich bei den Verträgen zu den Handelsschiffen etwas anders. Hier wurde häufig nur das Notwendige formuliert.</w:t>
      </w:r>
    </w:p>
    <w:p>
      <w:pPr>
        <w:pStyle w:val="para9"/>
      </w:pPr>
      <w:r>
        <w:t>Beschäftigt man sich eingehender mit den mittlerweile vielen bekannten Bestecken, wird eine große Übereinkunft im Aufbau derselben festgestellt. Im Kopf des Vertragswerks wird in der Regel in kurzer Form das zu Bauende Schiff genannt. Häufig wird auch darauf hingewiesen, dass es einen juristisch, kaufmännischen Abschnitt gibt. Waren die Beteiligten nicht in der Lage, den Vertragstext selbst zu lesen, wurde ein Notar beauftragt, die schriftliche Formgebung zu übernehmen.</w:t>
      </w:r>
    </w:p>
    <w:p>
      <w:pPr>
        <w:pStyle w:val="para9"/>
      </w:pPr>
      <w:r>
        <w:t>Die ganz frühen Bestecke waren sehr kurz gehalten. Die Schiffbauer, aber auch die Kunden, hielten nicht viel von langen schriftlich fixierten Verträgen. Sie legten noch viel Wert auf die fachliche Ausführung vor Ort und überließen es oft dem Schiffbauer, das Schiff zu entwerfen und dann zu bauen. Die Bestecke waren aber schon so ausgelegt, dass es wenig Spielraum für Pfusch oder Betrügereien gab.</w:t>
      </w:r>
    </w:p>
    <w:p>
      <w:pPr>
        <w:pStyle w:val="para2"/>
      </w:pPr>
      <w:bookmarkStart w:id="96" w:name="_TOC000041"/>
      <w:r>
        <w:t>Der technische Teil</w:t>
      </w:r>
      <w:bookmarkEnd w:id="96"/>
      <w:r>
        <w:t xml:space="preserve"> in den Bestecken</w:t>
      </w:r>
    </w:p>
    <w:p>
      <w:pPr>
        <w:pStyle w:val="para9"/>
      </w:pPr>
      <w:r>
        <w:t>Dann, nach dem ersten Abschnitt, ging es in der Regel ganz schnell um die Details der schiffbaulichen Ausführung. Wichtige Parameter waren die Hauptabmessungen des Schiffes.</w:t>
      </w:r>
    </w:p>
    <w:p>
      <w:pPr>
        <w:pStyle w:val="para9"/>
      </w:pPr>
      <w:r>
        <w:t>Die Länge über die Außenkanten der Steven oder die Länge des Kiels, die Schiffsweite und die Raumtiefe wurden meistens festgelegt. Diese Hauptabmessungen unterlagen für den untersuchten Zeitraum nur bedingt irgendwelchen Regeln. Im 16. Jahrhundert hatten die Schiffe noch überwiegend ein Verhältnis Länge/Breite von 3:1. Dieses verschob sich aber zum Anfang des 17. Jahrhunderts in die Richtung 4:1. Erst in der Mitte des 17. Jahrhunderts stabilisierte sich dieser 4:1-Wert für geraume Zeit. Wobei natürlich unterschieden werden muss zwischen Handelsschiffen und Marinefahrzeugen. Die Vertragsparteien im zivilen Umfeld hatten bezüglich der Abmessungen der Bauteile und dem wichtigen Bereich des Hecks scheinbar keine einheitlichen Vorstellungen. Zum Beispiel die Länge des Heckbalkens lässt immer wieder die Frage aufkommen, nach welchen Kriterien wurde sie festgelegt. Es kann auch davon ausgegangen werden, dass der Mensch des 16. Jahrhunderts noch mehr durch das eigentliche Handwerk geprägt war. Die Dürftigkeit der Texte lassen die Vermutung zu, dass die Handhabung im Bau eines Schiffes weniger theoretisch war. Man vertraute mehr auf die Fähigkeiten der Fachleute als auf schriftlich formulierte Anweisungen. Selbst in den ersten Jahrzehnten des folgenden Jahrhunderts lässt sich das noch an der Ausführung der Bestecke ablesen.</w:t>
      </w:r>
    </w:p>
    <w:p>
      <w:pPr>
        <w:pStyle w:val="para9"/>
      </w:pPr>
      <w:r>
        <w:t>Zur Länge eines Schiffes gab es bis in die ersten Jahrzehnte des 17. Jahrhunderts zwei verschiedene Sichtweisen. In der nördlichen Provinz Hollands sprach man von der Länge über die Außenkanten der Steven. In Zeeland hingegen wurde die Länge des Kiels zugrunde gelegt. Als Nächstes wurden die Steven beschrieben. Ihre Länge und ihr Stevenfall wurden standardmäßig fixiert. Die weitere Beschreibung des Schiffes hing nun von der Region, sprich Standort der Werft ab. In den nördlichen Landstrichen um Hoorn, Enkhuizen, Medemblick, Zaandam und Amsterdam, um nur einige zu nennen, folgte das Besteck nun der Bautradition. Man setzte zuerst die Kielplanke. Dann wurde eine Richtwrange am Hals des Schiffes bis über die Kimm auf dem Kiel befestigt. Danach legten die Schiffbauer die Außenhaut des Schiffes bis in die Kimm oder darüber hinaus. Der Schiffbauer hatte gut gehütete Erfahrungswerte, wie die Rumpfform aussehen sollte. Nachdem die Bodenstruktur dem Erbauer zusagte, wurde dieser Bereich mit entsprechend geformten Innenhölzern aufgefüllt. Also geht es in den entsprechenden Bestecken auch zuerst um die Außenhaut des Schiffes.</w:t>
      </w:r>
    </w:p>
    <w:p>
      <w:pPr>
        <w:pStyle w:val="para9"/>
      </w:pPr>
      <w:r>
        <w:t>In den südlichen Niederlanden und vermutlich auch in Zeeland verfolgte man beim Bau eines Schiffes eine andere Vorgehensweise. Hier wurden wie im Norden der Provinz Holland, zuerst Kiel und Steven aufgerichtet, danach die Kielplanke gesetzt. Hiernach setzte man die sogenannten Richtspanten. In der Mitte des Schiffes stellte man eine Reihe von Mittelspanten auf. Am vorderen Ende des Kiels und im hinteren Bereich wurden noch je ein Spant gestellt. In Verbindung mit dem Heck und den Richtspanten wurden dann eine Reihe von Senten um das zu bauende Schiff gelegt. Sie dienten der Findung der Schiffsform. Auch hier hatte ein jeder Schiffbauer seine eigenen Einsichten. Da kann es nicht verwundern, dass es selten Schiffe gab, die sich wie ein Ei dem anderen glichen. Es hat lange Zeit gedauert, bis man in der Lage war Schiffe zu reproduzieren.</w:t>
      </w:r>
    </w:p>
    <w:p>
      <w:pPr>
        <w:pStyle w:val="para9"/>
      </w:pPr>
      <w:r>
        <w:t>Es wird in der heutigen Zeit viel darüber diskutiert, warum denn die Menschen des 16. und 17. Jahrhunderts ihre Schiffe nach einem Besteck gebaut haben. Das für uns unmöglich erscheinende war für den Schiffbauer der damaligen Zeit alltägliche Praxis. Für ihn war das Besteck das, was für uns heute die Zeichnung mit detaillierter Bauspezifikation darstellt. Mit etwas Übung und entsprechendem Fachwissen kann man auch heute ein Besteck sehen und lesen wie eine Zeichnung. Denn man darf nicht außer Acht lassen, dass unsere heutige Vorstellung von Technik und Genauigkeit, den damaligen Menschen vollkommen fremd war. Das hat nichts damit zu tun, dass die Menschen nicht innovativ genug waren. Gerade in den letzten Jahrzehnten des 16. Jahrhunderts hat sich viel im Schiffbau getan. Leider lassen sich die einzelnen Stationen der Veränderungen nicht direkt nachvollziehen. Die Änderungen wurden nicht über Nacht, sondern peu à peu eingeführt.</w:t>
      </w:r>
    </w:p>
    <w:p>
      <w:pPr>
        <w:pStyle w:val="para9"/>
      </w:pPr>
      <w:r>
        <w:t>In den Niederlanden war man nach 1567 gezwungen, sich ständig der spanischen Macht zu entziehen und mit militärischen Mitteln das Land von den Spaniern zu befreien. Dieses geschah zu Wasser und zu Lande. Nachdem Prins Maurits (1567</w:t>
        <w:noBreakHyphen/>
        <w:t>1625)</w:t>
      </w:r>
      <w:r>
        <w:rPr>
          <w:rStyle w:val="char1"/>
        </w:rPr>
      </w:r>
      <w:r>
        <w:rPr>
          <w:rStyle w:val="char1"/>
        </w:rPr>
        <w:footnoteReference w:id="98"/>
      </w:r>
      <w:r>
        <w:t xml:space="preserve"> nach 1580 anfing, das Heerwesen zu reformieren, einheitliche Waffensysteme entwickeln ließ und somit die Niederlande auf dem Gebiet der Kriegsführung in Europa eine führende Rolle einnahm, konnten die Spanier nach und nach zurückgedrängt werden. Diese Entwicklung ist aber an anderer Stelle in vielen Publikationen ausführlich behandelt worden, sodass hier nicht weiter darauf eingegangen wird.</w:t>
      </w:r>
      <w:r>
        <w:rPr>
          <w:rStyle w:val="char1"/>
        </w:rPr>
      </w:r>
      <w:r>
        <w:rPr>
          <w:rStyle w:val="char1"/>
        </w:rPr>
        <w:footnoteReference w:id="99"/>
      </w:r>
      <w:r/>
    </w:p>
    <w:p>
      <w:pPr>
        <w:pStyle w:val="para9"/>
      </w:pPr>
      <w:r>
        <w:t>Maurits hatte sich aber auch um die Belange der Marine gekümmert. Seinem Einfluss wär es zu danken, dass es zu einheitlichen Neubauten für die Marine hätte kommen können. Sein Mitarbeiterstab schaute sich im Lande um und machte geeignete Vorschläge, wie die Marineschiffe gut und günstig gebaut werden konnten. Einer der Berater Maurits war der Erfinder der Fleute</w:t>
      </w:r>
      <w:r>
        <w:rPr>
          <w:rStyle w:val="char1"/>
        </w:rPr>
      </w:r>
      <w:r>
        <w:rPr>
          <w:rStyle w:val="char1"/>
        </w:rPr>
        <w:footnoteReference w:id="100"/>
      </w:r>
      <w:r>
        <w:t>, Pieter Jansz. Liorne (1561</w:t>
        <w:noBreakHyphen/>
        <w:t>1620). Er entwickelt mit anderen zusammen im Auftrag Maurits ein tragfähiges Konzept zum Flottenbauprogramm. Zum Beispiel wurden die Schiffbauer der Provinzen Zeeland und Holland gebeten, ihre besten Bestecke vorzulegen. Nach diesen Bestecken wurde ein Schiffbauer in Amsterdam beauftragt, ein Modell anzufertigen. Dieses und weitere Modelle stellte man Maurits vor. Erst nach reiflicher Prüfung wurden dann die Aufträge öffentlich ausgeschrieben und vergeben.</w:t>
      </w:r>
    </w:p>
    <w:p>
      <w:pPr>
        <w:pStyle w:val="para9"/>
      </w:pPr>
      <w:r>
        <w:t>Es handelte sich bei den Neubauten zunächst nicht um die ganz großen Kriegsschiffe, sondern um Schiffstypen wie Vlieboote, Pinassen, Royjachten und das Craveelschip. Vereinzelt wurden auch größere Kriegsschiffe gebaut. Man nannte sie schlicht Oorlogschip oder Boot ofte Schip. Auch tauchen die ersten Fregatten auf. Sie waren aber in den Abmessungen noch recht klein und wurden neben den Segeln auch mit Riemen angetrieben. Selbst Galeeren wurden in den Niederlanden entwickelt und gebaut. Man stellte aber recht schnell fest, dass dieser Schiffstyp für die raue Nordsee ungeeignet war. Neben den Neubauten wurden aber ganz überwiegend Handelsschiffe angemietet.</w:t>
      </w:r>
    </w:p>
    <w:p>
      <w:pPr>
        <w:pStyle w:val="para9"/>
      </w:pPr>
      <w:r>
        <w:t>Man folgte der Überzeugung, dass ein der Tradition geschultertes Mittel zur Wahl der Schiffe sicher in Ordnung wäre. Der Unterschied zwischen einem Handelsschiff und einem Kriegsschiff war zur damaligen Zeit nicht sonderlich groß. Die Argumente der Verantwortlichen konnten nicht unbedingt ausgeräumt werden, denn es standen nach ihrer Aussage gut 2700 Schiffe ständig zur Auswahl.</w:t>
      </w:r>
    </w:p>
    <w:p>
      <w:pPr>
        <w:pStyle w:val="para9"/>
      </w:pPr>
      <w:r>
        <w:t>In den niederländischen Archiven sind in den letzten Jahren viele Bestecke gesichtet worden, die nun ausgewertet werden können. Für alle hier aufgeführten Schiffstypen gibt es auch die entsprechenden Bestecke. Besonders ergiebig ist hier das Zeeuws Archief in Middelburg.</w:t>
      </w:r>
    </w:p>
    <w:p>
      <w:pPr>
        <w:pStyle w:val="para2"/>
      </w:pPr>
      <w:bookmarkStart w:id="100" w:name="_TOC000058"/>
      <w:r/>
      <w:bookmarkStart w:id="101" w:name="_TOC000208"/>
      <w:r/>
      <w:bookmarkStart w:id="102" w:name="_TOC000171"/>
      <w:r/>
      <w:bookmarkStart w:id="103" w:name="_TOC000130"/>
      <w:r/>
      <w:bookmarkStart w:id="104" w:name="_TOC000061"/>
      <w:r/>
      <w:bookmarkStart w:id="105" w:name="_TOC000350"/>
      <w:r/>
      <w:bookmarkStart w:id="106" w:name="_TOC000320"/>
      <w:r/>
      <w:bookmarkStart w:id="107" w:name="_TOC000288"/>
      <w:r/>
      <w:bookmarkStart w:id="108" w:name="_TOC000276"/>
      <w:r/>
      <w:bookmarkStart w:id="109" w:name="_TOC000244"/>
      <w:r/>
      <w:bookmarkStart w:id="110" w:name="_TOC000211"/>
      <w:r/>
      <w:bookmarkStart w:id="111" w:name="_TOC000180"/>
      <w:r/>
      <w:bookmarkStart w:id="112" w:name="_TOC000166"/>
      <w:r/>
      <w:bookmarkStart w:id="113" w:name="_TOC000131"/>
      <w:r/>
      <w:bookmarkStart w:id="114" w:name="_TOC000096"/>
      <w:r>
        <w:t>Frühe Versuche in Zeeland</w:t>
      </w:r>
      <w:bookmarkEnd w:id="114"/>
      <w:r/>
      <w:bookmarkEnd w:id="113"/>
      <w:r/>
      <w:bookmarkEnd w:id="112"/>
      <w:r/>
      <w:bookmarkEnd w:id="111"/>
      <w:r/>
      <w:bookmarkEnd w:id="110"/>
      <w:r/>
      <w:bookmarkEnd w:id="109"/>
      <w:r/>
      <w:bookmarkEnd w:id="108"/>
      <w:r/>
      <w:bookmarkEnd w:id="107"/>
      <w:r/>
      <w:bookmarkEnd w:id="106"/>
      <w:r/>
      <w:bookmarkEnd w:id="105"/>
      <w:r/>
      <w:bookmarkEnd w:id="104"/>
      <w:r/>
      <w:bookmarkEnd w:id="103"/>
      <w:r/>
      <w:bookmarkEnd w:id="102"/>
      <w:r/>
      <w:bookmarkEnd w:id="101"/>
      <w:r/>
      <w:bookmarkEnd w:id="100"/>
      <w:r>
        <w:tab/>
        <w:tab/>
        <w:tab/>
        <w:t>16. Jahrhundert; Adm</w:t>
      </w:r>
    </w:p>
    <w:p>
      <w:pPr>
        <w:pStyle w:val="para9"/>
      </w:pPr>
      <w:r>
        <w:t xml:space="preserve">In den 90er-Jahren des 16. Jahrhunderts gab es auch in Zeeland die Notwendigkeit, sich des spanischen Zugriffs zu erwehren. Zu diesem Zweck bediente man sich der unterschiedlichsten Schiffstypen. Im Vordergrund standen allerdings die Vlieboote und Pinassen. Sie machten das Gros der Flotte aus. Es kamen aber noch die etwas größeren Oorlogschiffe hinzu. Die gebauten Schiffe waren noch recht klein im Vergleich zu denen des 17. Jahrhunderts. In dieser Arbeit wurden nur bestimmte Bestecke ausgewertet, da sich die schiffbauliche Entwicklung noch in Grenzen hielt. Anfangs gab es auch noch nicht die Bezeichnung </w:t>
      </w:r>
      <w:r>
        <w:rPr>
          <w:i/>
          <w:iCs/>
        </w:rPr>
        <w:t>Oorlogschip</w:t>
      </w:r>
      <w:r>
        <w:t xml:space="preserve">. Die im Zeeuws Archief gefundenen Bestecke führten den Begriff </w:t>
      </w:r>
      <w:r>
        <w:rPr>
          <w:i/>
          <w:iCs/>
        </w:rPr>
        <w:t>Schip</w:t>
      </w:r>
      <w:r>
        <w:t>. Streng genommen hantelte es sich wohl um ein Urbesteck und drei Kopien, denn der Inhalt ist ganz überwiegend identisch. Da man aber für jeden Auftragnehmer ein eigenes Besteck benötigte, entdecken wir heute in den Archiven viele, in Teilbereichen, identische Bestecke.</w:t>
      </w:r>
    </w:p>
    <w:p>
      <w:pPr>
        <w:pStyle w:val="para9"/>
        <w:spacing/>
        <w:jc w:val="center"/>
        <w:rPr>
          <w:b/>
          <w:bCs/>
          <w:color w:val="ff0000"/>
        </w:rPr>
      </w:pPr>
      <w:r>
        <w:rPr>
          <w:b/>
          <w:bCs/>
          <w:color w:val="ff0000"/>
        </w:rPr>
        <w:t>Hier den Längsschnitt 1593 einfügen!</w:t>
      </w:r>
    </w:p>
    <w:p>
      <w:pPr>
        <w:pStyle w:val="para9"/>
      </w:pPr>
      <w:r>
        <w:t>Wir haben also das Besteck eines Schiffes aus dem Jahre 1593. Die Länge über die Steven lag noch bei 96 1/2 Fuß, die Schiffsweite lag bei 31 Fuß und die Raumtiefe, also die Höhe des unteren Decksbalkens am Hals, mit 12 1/2 Fuß. Diese Schiffe wurden in Vlissingen und Veere gebaut. Folgende Schiffbauer bekamen einen Auftrag:</w:t>
      </w:r>
    </w:p>
    <w:p>
      <w:pPr>
        <w:pStyle w:val="para9"/>
        <w:spacing/>
        <w:jc w:val="center"/>
        <w:rPr>
          <w:b/>
          <w:bCs/>
          <w:color w:val="ff0000"/>
        </w:rPr>
      </w:pPr>
      <w:r>
        <w:rPr>
          <w:b/>
          <w:bCs/>
          <w:color w:val="ff0000"/>
        </w:rPr>
        <w:t>Tabelle der Schiffbauer einfügen!</w:t>
      </w:r>
    </w:p>
    <w:p>
      <w:pPr>
        <w:pStyle w:val="para2"/>
      </w:pPr>
      <w:bookmarkStart w:id="115" w:name="_TOC000009"/>
      <w:r>
        <w:t>Bestecke nach 1600</w:t>
      </w:r>
      <w:bookmarkEnd w:id="115"/>
      <w:r>
        <w:t xml:space="preserve"> bis in die 1650er-Jahre; Adm</w:t>
      </w:r>
    </w:p>
    <w:p>
      <w:pPr>
        <w:pStyle w:val="para9"/>
      </w:pPr>
      <w:r>
        <w:t>Die Bestecke der Kriegsschiffe aus der Zeit vor 1600 bis ca. 1640 stammen ganz überwiegend aus Zeeland. Hierbei handelte es sich meist um kleinere Fregatten und Fahrzeuge für den Betrieb an der Küste und innerhalb des Landes. Angefangen bei 70 Fuß überschritten sie selten 115 Fuß Länge über Steven. Nach 1640 finden wir auch Bestecke für die Admiralitäten Amsterdam, Rotterdam, dem Noorderkwartier und Friesland. Wobei die in Friesland gebauten Schiffe sich in Grenzen halten.</w:t>
      </w:r>
    </w:p>
    <w:p>
      <w:pPr>
        <w:pStyle w:val="para2"/>
      </w:pPr>
      <w:bookmarkStart w:id="116" w:name="_TOC000012"/>
      <w:r>
        <w:t xml:space="preserve">Beurteilung der Bestecke </w:t>
      </w:r>
      <w:bookmarkEnd w:id="116"/>
      <w:r>
        <w:t>des ersten großen Bauprogramms im 17. Jahrhundert; Adm</w:t>
      </w:r>
    </w:p>
    <w:p>
      <w:pPr>
        <w:pStyle w:val="para9"/>
      </w:pPr>
      <w:r>
        <w:t>Kommen wir nun zu den Hauptabmessungen der ersten und zweiten Bauserie aus den Jahren 1653/54 und 1654/55. In diesen Jahren wurde ein großes Flottenbauprogramm aufgelegt. In den Jahren 1653/54 wurden 30 neue Schiffe gebaut, in den Jahren 1654/55 wurde das erste Bauprogramm erneut aufgelegt. Nachdem die Bestecke Ende 1652 wohl einvernehmlich mit allen Beteiligten abgestimmt waren, legten drei Vertreter der Generalstaaten dem Vizeadmiral C.W.de With einen Satz der Bestecke vor. Man bat ihn um sein fachliches Urteil, da sich die Vertreter der Generalstaaten nicht sicher waren, ob es die richtigen Schiffe waren, die in Auftrag gegeben werden sollten. Dieses geschah am 23.12.1652. Schon einen Tag später wurde durch C.W.de With ein Schreiben an die Generalstaaten geschickt.</w:t>
      </w:r>
      <w:r>
        <w:rPr>
          <w:rStyle w:val="char1"/>
        </w:rPr>
      </w:r>
      <w:r>
        <w:rPr>
          <w:rStyle w:val="char1"/>
        </w:rPr>
        <w:footnoteReference w:id="118"/>
      </w:r>
      <w:r>
        <w:t xml:space="preserve"> De With fällte ein vernichtendes Urteil. Seine Aussage könnte man in wenigen Worten zusammenfassen. Wenn man die Kriegsschiffe nach diesen Bestecken bauen würde, hätte man erneut die schon lange bekannten Probleme. Die Schiffe wären ungeeignet, um Dienst für das Vaterland zu leisten. Sie wären viel zu rank, die untere Batterie würde wiederum bei sehr geringen Winden nicht einsatzbereit sein, da die Pforten nicht geöffnet werden könnten. Die kleinen 130er würden den Anforderungen der neuen Kriegsführung nicht mehr gerecht, da die Engländer immer größere Schiffe in ihre Marine integrierten. Die Bewaffnung der englischen Schiffe wäre so gut, dass sie feindliche Schiffe auf Abstand halten konnten. Was die niederländische Marine benötigen würde, wären große Kriegsschiffe ab 150 Fuß Länge. Die kleinen 130er könnten da nicht mehr mithalten. Seine Forderung lautete also, baut größere und breitere Kriegsschiffe. Sorgt dafür, dass die untere Batterie weiter aus dem Wasser kommt. Schafft auf der Kuhbrücke</w:t>
      </w:r>
      <w:r>
        <w:fldChar w:fldCharType="begin"/>
        <w:instrText xml:space="preserve">XE "Kuhbrücke"</w:instrText>
        <w:fldChar w:fldCharType="end"/>
      </w:r>
      <w:r>
        <w:t xml:space="preserve"> mehr Raum zwischen den dort stehenden Booten und der Bordwand. Die dort aufgestellten 12-Pfünder benötigten mehr Raum. Es waren ja keine aufregenden Forderungen, die C.W.de With an die Schiffbauer stellte. Mit ein wenig Überlegung und einer Portion Mut wäre es sicher möglich gewesen, diese Forderungen beim Bau der neuen Schiffe zu berücksichtigen. Alleine, alle Beteiligte waren nicht in der Lage, auf die Situation zu reagieren. Man ging zur Tagesordnung über, prüfte die Kosten und stellte fest, dass es eigentlich nicht möglich wäre, den Forderungen nach großen Schiffen nachzukommen. Das Ergebnis ist hinlänglich bekannt und soll hier nicht weiter erörtert werden.</w:t>
      </w:r>
    </w:p>
    <w:p>
      <w:pPr>
        <w:pStyle w:val="para9"/>
      </w:pPr>
      <w:r>
        <w:rPr>
          <w:noProof/>
        </w:rPr>
        <mc:AlternateContent>
          <mc:Choice Requires="wpg">
            <w:drawing>
              <wp:anchor distT="89535" distB="215900" distL="89535" distR="144145" simplePos="0" relativeHeight="251658256" behindDoc="0" locked="0" layoutInCell="0" hidden="0" allowOverlap="1">
                <wp:simplePos x="0" y="0"/>
                <wp:positionH relativeFrom="margin">
                  <wp:posOffset>34925</wp:posOffset>
                </wp:positionH>
                <wp:positionV relativeFrom="margin">
                  <wp:posOffset>30480</wp:posOffset>
                </wp:positionV>
                <wp:extent cx="4662170" cy="3289300"/>
                <wp:effectExtent l="0" t="0" r="0" b="0"/>
                <wp:wrapSquare wrapText="bothSides"/>
                <wp:docPr id="16" name="Gruppe7"/>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CAQAAAKIAACAAAAAAAAAAAAAAAAEAAAA3AAAAAAAAAAEAAAAwAAAArhwAADwUAAAPAAAAbgIAAJ4EAAAoAAAACAAAAAEAAAABAAAA"/>
                          </a:ext>
                        </a:extLst>
                      </wpg:cNvGrpSpPr>
                      <wpg:grpSpPr>
                        <a:xfrm>
                          <a:off x="0" y="0"/>
                          <a:ext cx="4662170" cy="3289300"/>
                          <a:chOff x="0" y="0"/>
                          <a:chExt cx="4662170" cy="3289300"/>
                        </a:xfrm>
                      </wpg:grpSpPr>
                      <wps:wsp>
                        <wps:cNvPr id="17" name="Textbox13"/>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PAS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uHAAA8BIAAAAAAABuAgAAngQAACgAAAAIAAAAAQAAAAIAAAAwAAAAFAAAAAAAAAAAAP//AAABAAAA//8AAAEA"/>
                            </a:ext>
                          </a:extLst>
                        </wps:cNvSpPr>
                        <wps:spPr>
                          <a:xfrm>
                            <a:off x="0" y="0"/>
                            <a:ext cx="4662170" cy="307848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Ein früher Entwurf, dargestellt durch einen Künstler.</w:t>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Jan-Breughel-1637.Jpg</w:t>
                              </w:r>
                            </w:p>
                          </w:txbxContent>
                        </wps:txbx>
                        <wps:bodyPr spcFirstLastPara="1" vertOverflow="clip" horzOverflow="clip" upright="1">
                          <a:prstTxWarp prst="textNoShape">
                            <a:avLst/>
                          </a:prstTxWarp>
                          <a:spAutoFit/>
                        </wps:bodyPr>
                      </wps:wsp>
                      <wps:wsp>
                        <wps:cNvPr id="18" name="Textbox14"/>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rhw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uHAAATAEAAAAAAABuAgAAjhcAACgAAAAIAAAAAQAAAAIAAAAwAAAAFAAAAAAAAAAAAP//AAABAAAA//8AAAEA"/>
                            </a:ext>
                          </a:extLst>
                        </wps:cNvSpPr>
                        <wps:spPr>
                          <a:xfrm>
                            <a:off x="0" y="3078480"/>
                            <a:ext cx="466217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4</w:t>
                                <w:fldChar w:fldCharType="end"/>
                              </w:r>
                              <w:r>
                                <w:t>: Eine frühe Entwurfszeichnung.</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2.75pt;margin-top:2.40pt;mso-position-horizontal-relative:margin;mso-position-vertical-relative:margin;width:367.10pt;height:259.00pt;z-index:251658256;mso-wrap-distance-left:7.05pt;mso-wrap-distance-top:7.05pt;mso-wrap-distance-right:11.35pt;mso-wrap-distance-bottom:17.00pt" coordorigin="622,1182" coordsize="7342,5180">
                <v:shape id="Textbox13" o:spid="_x0000_s1034" type="#_x0000_t202" style="position:absolute;left:622;top:1182;width:7342;height:4848"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PAS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Ein früher Entwurf, dargestellt durch einen Künstler.</w:t>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Jan-Breughel-1637.Jpg</w:t>
                        </w:r>
                      </w:p>
                    </w:txbxContent>
                  </v:textbox>
                </v:shape>
                <v:shape id="Textbox14" o:spid="_x0000_s1035" type="#_x0000_t202" style="position:absolute;left:622;top:6030;width:7342;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rhw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4</w:t>
                          <w:fldChar w:fldCharType="end"/>
                        </w:r>
                        <w:r>
                          <w:t>: Eine frühe Entwurfszeichnung.</w:t>
                        </w:r>
                      </w:p>
                    </w:txbxContent>
                  </v:textbox>
                </v:shape>
                <w10:wrap type="square" anchorx="margin" anchory="margin"/>
              </v:group>
            </w:pict>
          </mc:Fallback>
        </mc:AlternateContent>
      </w:r>
      <w:r/>
    </w:p>
    <w:p>
      <w:pPr>
        <w:pStyle w:val="para2"/>
      </w:pPr>
      <w:bookmarkStart w:id="118" w:name="_TOC000174"/>
      <w:r>
        <w:t>Die Entwurfspraktik in den Niederlanden</w:t>
      </w:r>
      <w:bookmarkEnd w:id="118"/>
      <w:r>
        <w:t>; allgemein</w:t>
      </w:r>
    </w:p>
    <w:p>
      <w:pPr>
        <w:pStyle w:val="para9"/>
      </w:pPr>
      <w:r>
        <w:t>Vielfach wurde in der Vergangenheit in diversen Publikationen davon berichtet, dass der niederländische Schiffbau nur empirisch geprägt sei. Das wird auch in groben Zügen zutreffen, dennoch soll hier der Versuch unternommen werden, den Entwurfsprozess etwas näher zu beleuchten.</w:t>
      </w:r>
    </w:p>
    <w:p>
      <w:pPr>
        <w:pStyle w:val="para1"/>
      </w:pPr>
      <w:bookmarkStart w:id="119" w:name="_TOC000002"/>
      <w:r>
        <w:t>Konstruktionswerkzeuge in den Niederlanden</w:t>
      </w:r>
      <w:bookmarkEnd w:id="119"/>
      <w:r>
        <w:t>; allgemein</w:t>
      </w:r>
    </w:p>
    <w:p>
      <w:pPr>
        <w:pStyle w:val="para9"/>
      </w:pPr>
      <w:r>
        <w:t>Wenn es um die eigentliche Konstruktion eines Schiffes geht, wird schnell sichtbar, dass diese Angelegenheit gerade in der Zeit vor 1700 schwierig zu fassen ist. Es gibt kaum schriftliche Zeugnisse, aus denen man einen Schiffsentwurf ableiten kann. Die Entwurfspraktik unserer Zeit war den Menschen in den Niederlanden unbekannt. Während man in Portugal, Spanien, vermutlich auch in Italien und ganz besonders in England schon vor 1600 Schiffsentwürfe im kleinen Maßstab kannte</w:t>
      </w:r>
      <w:r>
        <w:rPr>
          <w:rStyle w:val="char1"/>
        </w:rPr>
      </w:r>
      <w:r>
        <w:rPr>
          <w:rStyle w:val="char1"/>
        </w:rPr>
        <w:footnoteReference w:id="121"/>
      </w:r>
      <w:r>
        <w:t xml:space="preserve">, gab es in den Niederlanden nur wenige Begrifflichkeiten, die auf eine Entwurfspraktik hinweisen könnte. Hier wäre der </w:t>
      </w:r>
      <w:r>
        <w:rPr>
          <w:i/>
          <w:iCs/>
        </w:rPr>
        <w:t>Scheerstrook</w:t>
      </w:r>
      <w:r>
        <w:t xml:space="preserve"> oder </w:t>
      </w:r>
      <w:r>
        <w:rPr>
          <w:i/>
          <w:iCs/>
        </w:rPr>
        <w:t>Scheergang</w:t>
      </w:r>
      <w:r>
        <w:t xml:space="preserve"> zu nennen. Beim </w:t>
      </w:r>
      <w:r>
        <w:rPr>
          <w:i/>
          <w:iCs/>
        </w:rPr>
        <w:t>Scheerstrook bzw. Scheergang</w:t>
      </w:r>
      <w:r>
        <w:t xml:space="preserve"> handelte es sich um die größte Weite eines Schiffes entlang der Außenhaut von vorne nach hinten. Der </w:t>
      </w:r>
      <w:r>
        <w:rPr>
          <w:i/>
          <w:iCs/>
        </w:rPr>
        <w:t>Scheerstrook</w:t>
      </w:r>
      <w:r>
        <w:t xml:space="preserve"> war nicht nur ein theoretisches Werkzeug, sondern wurde auch praktisch verwendet. Diesen </w:t>
      </w:r>
      <w:r>
        <w:rPr>
          <w:i/>
          <w:iCs/>
        </w:rPr>
        <w:t>Scheerstrook</w:t>
      </w:r>
      <w:r>
        <w:t xml:space="preserve"> bewahrte der Schiffbauer in der Regel auf, um bei einem späteren Neubau das Rad nicht neu erfinden zu müssen. Wir würden heute gerne von einem Mall sprechen. Dieser Begriff taucht auch in ganz wenigen Dokumenten des 17. und 18. Jahrhunderts auf. In diesen überlieferten Fällen wurden die Schiffbauer oder die Zulieferer angewiesen, sich die für den Bau von bestimmten Teilen vorhandenen Mallen, bei der Admiralität zu kopieren oder auszuleihen. Details dieser Vorgänge sind leider nicht näher bekannt.</w:t>
      </w:r>
    </w:p>
    <w:p>
      <w:pPr>
        <w:pStyle w:val="para9"/>
      </w:pPr>
      <w:r>
        <w:t>Im Britischen Museum befindet sich eine interessante Zeichnung vom Bau eines Schiffes. Es ist natürlich nicht ersichtlich, ob es sich hier um einen niederländischen Entwurf handelt. Aber, diese Zeichnung wird dem niederländischen Maler Jan Brueghel dem Älteren zugeordnet.</w:t>
      </w:r>
      <w:r>
        <w:rPr>
          <w:rStyle w:val="char1"/>
        </w:rPr>
      </w:r>
      <w:r>
        <w:rPr>
          <w:rStyle w:val="char1"/>
        </w:rPr>
        <w:footnoteReference w:id="122"/>
      </w:r>
      <w:r>
        <w:t xml:space="preserve"> Jan Brueghel der ältere (1568</w:t>
        <w:noBreakHyphen/>
        <w:t>1625)</w:t>
      </w:r>
      <w:r>
        <w:rPr>
          <w:rStyle w:val="char1"/>
        </w:rPr>
      </w:r>
      <w:r>
        <w:rPr>
          <w:rStyle w:val="char1"/>
        </w:rPr>
        <w:footnoteReference w:id="123"/>
      </w:r>
      <w:r>
        <w:t xml:space="preserve"> war einer der beiden Söhne von Pieter Breughel dem Älteren (1525</w:t>
        <w:noBreakHyphen/>
        <w:t>1569). Der zweite Sohn mit Namen Pieter lebte von 1564 bis nach 1636. Die Oosthoek’s Encyclopædie</w:t>
      </w:r>
      <w:r>
        <w:rPr>
          <w:rStyle w:val="char1"/>
        </w:rPr>
      </w:r>
      <w:r>
        <w:rPr>
          <w:rStyle w:val="char1"/>
        </w:rPr>
        <w:footnoteReference w:id="124"/>
      </w:r>
      <w:r>
        <w:t>, Band III, 1948, führt noch einen Jan Brueghel den Jüngeren auf. Er lebte von 1610 bis 1678.</w:t>
      </w:r>
    </w:p>
    <w:p>
      <w:pPr>
        <w:pStyle w:val="para9"/>
      </w:pPr>
      <w:r>
        <w:rPr>
          <w:noProof/>
        </w:rPr>
        <mc:AlternateContent>
          <mc:Choice Requires="wpg">
            <w:drawing>
              <wp:anchor distT="144145" distB="179705" distL="89535" distR="89535" simplePos="0" relativeHeight="251658253" behindDoc="0" locked="0" layoutInCell="0" hidden="0" allowOverlap="1">
                <wp:simplePos x="0" y="0"/>
                <wp:positionH relativeFrom="margin">
                  <wp:posOffset>88265</wp:posOffset>
                </wp:positionH>
                <wp:positionV relativeFrom="margin">
                  <wp:posOffset>4777105</wp:posOffset>
                </wp:positionV>
                <wp:extent cx="6120130" cy="2905760"/>
                <wp:effectExtent l="0" t="0" r="0" b="0"/>
                <wp:wrapTopAndBottom/>
                <wp:docPr id="13" name="Gruppe6"/>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BAAAJAAAABAAAAAAAAAAhAAAAQAAAADwAAAAIAQAAAKEAACAAAAAAAAAAAAAAAAEAAACLAAAAAAAAAAEAAABjHQAApiUAAOARAAAQAAAAMAcAANEhAAAoAAAACAAAAAEAAAABAAAA"/>
                          </a:ext>
                        </a:extLst>
                      </wpg:cNvGrpSpPr>
                      <wpg:grpSpPr>
                        <a:xfrm>
                          <a:off x="0" y="0"/>
                          <a:ext cx="6120130" cy="2905760"/>
                          <a:chOff x="0" y="0"/>
                          <a:chExt cx="6120130" cy="2905760"/>
                        </a:xfrm>
                      </wpg:grpSpPr>
                      <wps:wsp>
                        <wps:cNvPr id="14" name="Textbox11"/>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M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lxAAAAAAAAAwBwAA0SEAACgAAAAIAAAAAQAAAAIAAAAwAAAAFAAAAAAAAAAAAP//AAABAAAA//8AAAEA"/>
                            </a:ext>
                          </a:extLst>
                        </wps:cNvSpPr>
                        <wps:spPr>
                          <a:xfrm>
                            <a:off x="0" y="0"/>
                            <a:ext cx="6120130" cy="269684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Praktische Ausführung.Jpg</w:t>
                              </w:r>
                            </w:p>
                            <w:p>
                              <w:pPr>
                                <w:spacing/>
                                <w:jc w:val="center"/>
                                <w:rPr>
                                  <w:b/>
                                  <w:bCs/>
                                  <w:sz w:val="24"/>
                                  <w:szCs w:val="24"/>
                                </w:rPr>
                              </w:pPr>
                              <w:r>
                                <w:rPr>
                                  <w:b/>
                                  <w:bCs/>
                                  <w:sz w:val="24"/>
                                  <w:szCs w:val="24"/>
                                </w:rPr>
                              </w:r>
                            </w:p>
                            <w:p>
                              <w:pPr>
                                <w:spacing/>
                                <w:jc w:val="center"/>
                                <w:rPr>
                                  <w:b/>
                                  <w:bCs/>
                                  <w:sz w:val="24"/>
                                  <w:szCs w:val="24"/>
                                </w:rPr>
                              </w:pPr>
                              <w:r>
                                <w:rPr>
                                  <w:b/>
                                  <w:bCs/>
                                  <w:sz w:val="24"/>
                                  <w:szCs w:val="24"/>
                                </w:rPr>
                                <w:t>Caddy-Zeichnung der Eendracht.</w:t>
                              </w:r>
                            </w:p>
                          </w:txbxContent>
                        </wps:txbx>
                        <wps:bodyPr spcFirstLastPara="1" vertOverflow="clip" horzOverflow="clip" upright="1">
                          <a:prstTxWarp prst="textNoShape">
                            <a:avLst/>
                          </a:prstTxWarp>
                          <a:spAutoFit/>
                        </wps:bodyPr>
                      </wps:wsp>
                      <wps:wsp>
                        <wps:cNvPr id="15" name="Textbox12"/>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2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SQEAAAAAAAAwBwAAaDIAACgAAAAIAAAAAQAAAAIAAAAwAAAAFAAAAAAAAAAAAP//AAABAAAA//8AAAEA"/>
                            </a:ext>
                          </a:extLst>
                        </wps:cNvSpPr>
                        <wps:spPr>
                          <a:xfrm>
                            <a:off x="0" y="2696845"/>
                            <a:ext cx="6120130" cy="208915"/>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5</w:t>
                                <w:fldChar w:fldCharType="end"/>
                              </w:r>
                              <w:r>
                                <w:t>: Eine moderne Darstellung der Bauweise in den südlichen Niederlanden. ©Zeichnung Werner Ulrich, 2008.</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6.95pt;margin-top:376.15pt;mso-position-horizontal-relative:margin;mso-position-vertical-relative:margin;width:481.90pt;height:228.80pt;z-index:251658253;mso-wrap-distance-left:7.05pt;mso-wrap-distance-top:11.35pt;mso-wrap-distance-right:7.05pt;mso-wrap-distance-bottom:14.15pt" coordorigin="1840,8657" coordsize="9638,4576">
                <v:shape id="Textbox11" o:spid="_x0000_s1036" type="#_x0000_t202" style="position:absolute;left:1840;top:8657;width:9638;height:4247"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M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Praktische Ausführung.Jpg</w:t>
                        </w:r>
                      </w:p>
                      <w:p>
                        <w:pPr>
                          <w:spacing/>
                          <w:jc w:val="center"/>
                          <w:rPr>
                            <w:b/>
                            <w:bCs/>
                            <w:sz w:val="24"/>
                            <w:szCs w:val="24"/>
                          </w:rPr>
                        </w:pPr>
                        <w:r>
                          <w:rPr>
                            <w:b/>
                            <w:bCs/>
                            <w:sz w:val="24"/>
                            <w:szCs w:val="24"/>
                          </w:rPr>
                        </w:r>
                      </w:p>
                      <w:p>
                        <w:pPr>
                          <w:spacing/>
                          <w:jc w:val="center"/>
                          <w:rPr>
                            <w:b/>
                            <w:bCs/>
                            <w:sz w:val="24"/>
                            <w:szCs w:val="24"/>
                          </w:rPr>
                        </w:pPr>
                        <w:r>
                          <w:rPr>
                            <w:b/>
                            <w:bCs/>
                            <w:sz w:val="24"/>
                            <w:szCs w:val="24"/>
                          </w:rPr>
                          <w:t>Caddy-Zeichnung der Eendracht.</w:t>
                        </w:r>
                      </w:p>
                    </w:txbxContent>
                  </v:textbox>
                </v:shape>
                <v:shape id="Textbox12" o:spid="_x0000_s1037" type="#_x0000_t202" style="position:absolute;left:1840;top:12904;width:9638;height:329"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2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5</w:t>
                          <w:fldChar w:fldCharType="end"/>
                        </w:r>
                        <w:r>
                          <w:t>: Eine moderne Darstellung der Bauweise in den südlichen Niederlanden. ©Zeichnung Werner Ulrich, 2008.</w:t>
                        </w:r>
                      </w:p>
                    </w:txbxContent>
                  </v:textbox>
                </v:shape>
                <w10:wrap type="topAndBottom" anchorx="margin" anchory="margin"/>
              </v:group>
            </w:pict>
          </mc:Fallback>
        </mc:AlternateContent>
      </w:r>
      <w:r>
        <w:t>Für diese Arbeit ist es unerheblich, welcher Brueghel diese Zeichnung erstellt hat. Wichtig erscheint es, dass es sich dabei um eine der frühesten Darstellungen einer praktischen Konstruktion handelt. Der Zeichner hatte die wichtigsten Elemente des praktischen Entwurfs erfasst und dem Betrachter nahe gebracht. Neben dem Kiel, den Steven nebst unterem Spiegel im Hinterschiff sehen wir auch die vier aufgerichtete Spanten oder Mallen. Sie sind recht gut dargestellt und haben auch die richtige Lage im Schiff. Dann zeigt uns der Zeichner eine gewisse Anzahl von Senten. Ganz entscheidend war dabei die Herzsente oder der Scheergang/Scheerstrook.</w:t>
      </w:r>
    </w:p>
    <w:p>
      <w:pPr>
        <w:pStyle w:val="para2"/>
      </w:pPr>
      <w:bookmarkStart w:id="124" w:name="_TOC000175"/>
      <w:r>
        <w:t>Das Hauptspant</w:t>
      </w:r>
      <w:bookmarkEnd w:id="124"/>
      <w:r>
        <w:t>; allgemein</w:t>
      </w:r>
    </w:p>
    <w:p>
      <w:pPr>
        <w:pStyle w:val="para9"/>
      </w:pPr>
      <w:r>
        <w:t>Die Kontur eines Schiffsrumpfes hängt im starken Maße von der Kontur des Hauptspants ab. Dabei spielt es keine Rolle, wo und wann ein Schiff entworfen wurde.</w:t>
      </w:r>
    </w:p>
    <w:p>
      <w:pPr>
        <w:pStyle w:val="para9"/>
      </w:pPr>
      <w:r>
        <w:t>Um nun der Sache etwas genauer auf den Grund zu gehen, erstellen wir uns ein Rechteck in den Abmessungen der Schiffsweite und der Höhe der Bordwand über der Oberkante des Kiels.</w:t>
      </w:r>
    </w:p>
    <w:p>
      <w:pPr>
        <w:pStyle w:val="para9"/>
      </w:pPr>
      <w:r>
        <w:t>Der Schiffbauer wird dieses Rechteck praktisch auf dem Schnürboden oder theoretisch in seinen Gedanken vor Augen gehabt haben.</w:t>
      </w:r>
    </w:p>
    <w:p>
      <w:pPr>
        <w:pStyle w:val="para9"/>
      </w:pPr>
      <w:r>
        <w:t>Zunächst wird er die Aufteilung der Decks festgelegt haben. In den Niederlanden handelte es sich immer um wenigsten ein Deck. Waren die Schiffe etwas größer, kam ein weiteres Deck hinzu.</w:t>
      </w:r>
    </w:p>
    <w:p>
      <w:pPr>
        <w:pStyle w:val="para9"/>
      </w:pPr>
      <w:r>
        <w:t>Das Maß der Raumtiefe hing von der Länge des Schiffes ab. Wurde ein Handelsschiff entworfen, waren die Anforderungen anders als bei einem Kriegsschiff oder einem Fischereifahrzeug. Auch die Höhe zum weiteren Deck unterlag immer bestimmten Kriterien. Diese Kriterien erschließen sich dem heutigen Betrachter nicht wirklich. Hier hatte der Kunde wie auch der Schiffbauer eigene Vorstellungen und Erfahrungen gesammelt.</w:t>
      </w:r>
    </w:p>
    <w:p>
      <w:pPr>
        <w:pStyle w:val="para9"/>
      </w:pPr>
      <w:r>
        <w:rPr>
          <w:noProof/>
        </w:rPr>
        <mc:AlternateContent>
          <mc:Choice Requires="wpg">
            <w:drawing>
              <wp:anchor distT="144145" distB="179705" distL="144145" distR="89535" simplePos="0" relativeHeight="251658259" behindDoc="0" locked="0" layoutInCell="0" hidden="0" allowOverlap="1">
                <wp:simplePos x="0" y="0"/>
                <wp:positionH relativeFrom="margin">
                  <wp:align>right</wp:align>
                  <wp:posOffset2>2538095</wp:posOffset2>
                </wp:positionH>
                <wp:positionV relativeFrom="margin">
                  <wp:posOffset>3639185</wp:posOffset>
                </wp:positionV>
                <wp:extent cx="3599815" cy="4659630"/>
                <wp:effectExtent l="0" t="0" r="0" b="0"/>
                <wp:wrapSquare wrapText="bothSides"/>
                <wp:docPr id="19" name="Gruppe8"/>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PAQAAAKIAACAAAAAAAAAAAwAAAAEAAACdDwAAAAAAAAEAAABjFgAAJRYAAKocAAARAAAAHAIAANEaAAAoAAAACAAAAAEAAAABAAAA"/>
                          </a:ext>
                        </a:extLst>
                      </wpg:cNvGrpSpPr>
                      <wpg:grpSpPr>
                        <a:xfrm>
                          <a:off x="0" y="0"/>
                          <a:ext cx="3599815" cy="4659630"/>
                          <a:chOff x="0" y="0"/>
                          <a:chExt cx="3599815" cy="4659630"/>
                        </a:xfrm>
                      </wpg:grpSpPr>
                      <wps:wsp>
                        <wps:cNvPr id="20" name="Textbox15"/>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MY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lFgAAVhoAAAAAAAAcAgAA0RoAACgAAAAIAAAAAQAAAAIAAAAwAAAAFAAAAAAAAAAAAP//AAABAAAA//8AAAEA"/>
                            </a:ext>
                          </a:extLst>
                        </wps:cNvSpPr>
                        <wps:spPr>
                          <a:xfrm>
                            <a:off x="0" y="0"/>
                            <a:ext cx="3599815" cy="428117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Beschreibung der Linien im frühen</w:t>
                              </w:r>
                            </w:p>
                            <w:p>
                              <w:pPr>
                                <w:spacing/>
                                <w:jc w:val="center"/>
                                <w:rPr>
                                  <w:b/>
                                  <w:bCs/>
                                  <w:sz w:val="24"/>
                                  <w:szCs w:val="24"/>
                                </w:rPr>
                              </w:pPr>
                              <w:r>
                                <w:rPr>
                                  <w:b/>
                                  <w:bCs/>
                                  <w:sz w:val="24"/>
                                  <w:szCs w:val="24"/>
                                </w:rPr>
                              </w:r>
                            </w:p>
                            <w:p>
                              <w:pPr>
                                <w:spacing/>
                                <w:jc w:val="center"/>
                                <w:rPr>
                                  <w:b/>
                                  <w:bCs/>
                                  <w:sz w:val="24"/>
                                  <w:szCs w:val="24"/>
                                </w:rPr>
                              </w:pPr>
                              <w:r>
                                <w:rPr>
                                  <w:b/>
                                  <w:bCs/>
                                  <w:sz w:val="24"/>
                                  <w:szCs w:val="24"/>
                                </w:rPr>
                                <w:t>18. Jahrhundert</w:t>
                              </w:r>
                            </w:p>
                            <w:p>
                              <w:pPr>
                                <w:spacing/>
                                <w:jc w:val="center"/>
                                <w:rPr>
                                  <w:b/>
                                  <w:bCs/>
                                  <w:sz w:val="24"/>
                                  <w:szCs w:val="24"/>
                                </w:rPr>
                              </w:pPr>
                              <w:r>
                                <w:rPr>
                                  <w:b/>
                                  <w:bCs/>
                                  <w:sz w:val="24"/>
                                  <w:szCs w:val="24"/>
                                </w:rPr>
                              </w:r>
                            </w:p>
                            <w:p>
                              <w:pPr>
                                <w:spacing/>
                                <w:jc w:val="center"/>
                                <w:rPr>
                                  <w:b/>
                                  <w:bCs/>
                                  <w:sz w:val="24"/>
                                  <w:szCs w:val="24"/>
                                </w:rPr>
                              </w:pPr>
                              <w:r>
                                <w:rPr>
                                  <w:b/>
                                  <w:bCs/>
                                  <w:sz w:val="24"/>
                                  <w:szCs w:val="24"/>
                                </w:rPr>
                                <w:t>Es geht hier um den Scheergang</w:t>
                              </w:r>
                            </w:p>
                            <w:p>
                              <w:pPr>
                                <w:spacing/>
                                <w:jc w:val="center"/>
                                <w:rPr>
                                  <w:b/>
                                  <w:bCs/>
                                  <w:sz w:val="24"/>
                                  <w:szCs w:val="24"/>
                                </w:rPr>
                              </w:pPr>
                              <w:r>
                                <w:rPr>
                                  <w:b/>
                                  <w:bCs/>
                                  <w:sz w:val="24"/>
                                  <w:szCs w:val="24"/>
                                </w:rPr>
                                <w:t>Und zwei Spanten vorne und hinten</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Besteck-150-Fuß- Seite-8-1708.JPG</w:t>
                              </w:r>
                            </w:p>
                          </w:txbxContent>
                        </wps:txbx>
                        <wps:bodyPr spcFirstLastPara="1" vertOverflow="clip" horzOverflow="clip" upright="1">
                          <a:prstTxWarp prst="textNoShape">
                            <a:avLst/>
                          </a:prstTxWarp>
                          <a:spAutoFit/>
                        </wps:bodyPr>
                      </wps:wsp>
                      <wps:wsp>
                        <wps:cNvPr id="21" name="Textbox16"/>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mR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lFgAAVAIAAAAAAAAcAgAAJzUAACgAAAAIAAAAAQAAAAIAAAAwAAAAFAAAAAAAAAAAAP//AAABAAAA//8AAAEA"/>
                            </a:ext>
                          </a:extLst>
                        </wps:cNvSpPr>
                        <wps:spPr>
                          <a:xfrm>
                            <a:off x="0" y="4281170"/>
                            <a:ext cx="3599815" cy="37846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6</w:t>
                                <w:fldChar w:fldCharType="end"/>
                              </w:r>
                              <w:r>
                                <w:t>: Der Scheergang eines 150-Fuß-Schiffes von 1708.</w:t>
                                <w:br w:type="textWrapping"/>
                                <w:t>Nationaal Archief Den Haag, Zugang 1.01.46 - Inv. Nr. 3256.</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286.55pt;mso-position-horizontal-relative:margin;mso-position-vertical-relative:margin;width:283.45pt;height:366.90pt;z-index:251658259;mso-wrap-distance-left:11.35pt;mso-wrap-distance-top:11.35pt;mso-wrap-distance-right:7.05pt;mso-wrap-distance-bottom:14.15pt" coordorigin="540,6865" coordsize="5669,7338">
                <v:shape id="Textbox15" o:spid="_x0000_s1038" type="#_x0000_t202" style="position:absolute;left:540;top:6865;width:5669;height:6742"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MY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Beschreibung der Linien im frühen</w:t>
                        </w:r>
                      </w:p>
                      <w:p>
                        <w:pPr>
                          <w:spacing/>
                          <w:jc w:val="center"/>
                          <w:rPr>
                            <w:b/>
                            <w:bCs/>
                            <w:sz w:val="24"/>
                            <w:szCs w:val="24"/>
                          </w:rPr>
                        </w:pPr>
                        <w:r>
                          <w:rPr>
                            <w:b/>
                            <w:bCs/>
                            <w:sz w:val="24"/>
                            <w:szCs w:val="24"/>
                          </w:rPr>
                        </w:r>
                      </w:p>
                      <w:p>
                        <w:pPr>
                          <w:spacing/>
                          <w:jc w:val="center"/>
                          <w:rPr>
                            <w:b/>
                            <w:bCs/>
                            <w:sz w:val="24"/>
                            <w:szCs w:val="24"/>
                          </w:rPr>
                        </w:pPr>
                        <w:r>
                          <w:rPr>
                            <w:b/>
                            <w:bCs/>
                            <w:sz w:val="24"/>
                            <w:szCs w:val="24"/>
                          </w:rPr>
                          <w:t>18. Jahrhundert</w:t>
                        </w:r>
                      </w:p>
                      <w:p>
                        <w:pPr>
                          <w:spacing/>
                          <w:jc w:val="center"/>
                          <w:rPr>
                            <w:b/>
                            <w:bCs/>
                            <w:sz w:val="24"/>
                            <w:szCs w:val="24"/>
                          </w:rPr>
                        </w:pPr>
                        <w:r>
                          <w:rPr>
                            <w:b/>
                            <w:bCs/>
                            <w:sz w:val="24"/>
                            <w:szCs w:val="24"/>
                          </w:rPr>
                        </w:r>
                      </w:p>
                      <w:p>
                        <w:pPr>
                          <w:spacing/>
                          <w:jc w:val="center"/>
                          <w:rPr>
                            <w:b/>
                            <w:bCs/>
                            <w:sz w:val="24"/>
                            <w:szCs w:val="24"/>
                          </w:rPr>
                        </w:pPr>
                        <w:r>
                          <w:rPr>
                            <w:b/>
                            <w:bCs/>
                            <w:sz w:val="24"/>
                            <w:szCs w:val="24"/>
                          </w:rPr>
                          <w:t>Es geht hier um den Scheergang</w:t>
                        </w:r>
                      </w:p>
                      <w:p>
                        <w:pPr>
                          <w:spacing/>
                          <w:jc w:val="center"/>
                          <w:rPr>
                            <w:b/>
                            <w:bCs/>
                            <w:sz w:val="24"/>
                            <w:szCs w:val="24"/>
                          </w:rPr>
                        </w:pPr>
                        <w:r>
                          <w:rPr>
                            <w:b/>
                            <w:bCs/>
                            <w:sz w:val="24"/>
                            <w:szCs w:val="24"/>
                          </w:rPr>
                          <w:t>Und zwei Spanten vorne und hinten</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Besteck-150-Fuß- Seite-8-1708.JPG</w:t>
                        </w:r>
                      </w:p>
                    </w:txbxContent>
                  </v:textbox>
                </v:shape>
                <v:shape id="Textbox16" o:spid="_x0000_s1039" type="#_x0000_t202" style="position:absolute;left:540;top:13607;width:5669;height:596"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mR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6</w:t>
                          <w:fldChar w:fldCharType="end"/>
                        </w:r>
                        <w:r>
                          <w:t>: Der Scheergang eines 150-Fuß-Schiffes von 1708.</w:t>
                          <w:br w:type="textWrapping"/>
                          <w:t>Nationaal Archief Den Haag, Zugang 1.01.46 - Inv. Nr. 3256.</w:t>
                        </w:r>
                      </w:p>
                    </w:txbxContent>
                  </v:textbox>
                </v:shape>
                <w10:wrap type="square" anchorx="margin" anchory="margin"/>
              </v:group>
            </w:pict>
          </mc:Fallback>
        </mc:AlternateContent>
      </w:r>
      <w:r>
        <w:t>Grundsätzlich hing es auch davon ab, wo ein Schiff gebaut werden sollte. In der Umgebung von Amsterdam und Zaandam war die Raumtiefe niedriger als im Süden der Provinz Hollands. In Zeeland hatten die Schiffbauer wieder andere Einsichten.</w:t>
      </w:r>
    </w:p>
    <w:p>
      <w:pPr>
        <w:pStyle w:val="para2"/>
      </w:pPr>
      <w:bookmarkStart w:id="125" w:name="_TOC000176"/>
      <w:r>
        <w:t>Die Spantkontur</w:t>
      </w:r>
      <w:bookmarkEnd w:id="125"/>
      <w:r>
        <w:t>; allgemein</w:t>
      </w:r>
    </w:p>
    <w:p>
      <w:pPr>
        <w:pStyle w:val="para9"/>
      </w:pPr>
      <w:r>
        <w:rPr>
          <w:noProof/>
        </w:rPr>
        <mc:AlternateContent>
          <mc:Choice Requires="wpg">
            <w:drawing>
              <wp:anchor distT="144145" distB="179705" distL="144145" distR="89535" simplePos="0" relativeHeight="251658262" behindDoc="0" locked="0" layoutInCell="0" hidden="0" allowOverlap="1">
                <wp:simplePos x="0" y="0"/>
                <wp:positionH relativeFrom="margin">
                  <wp:align>right</wp:align>
                  <wp:posOffset2>0</wp:posOffset2>
                </wp:positionH>
                <wp:positionV relativeFrom="margin">
                  <wp:posOffset>720090</wp:posOffset>
                </wp:positionV>
                <wp:extent cx="2160270" cy="3146425"/>
                <wp:effectExtent l="0" t="0" r="0" b="0"/>
                <wp:wrapSquare wrapText="bothSides"/>
                <wp:docPr id="22" name="Gruppe9"/>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E0BAAAAkAAAAEgAAACQAAAASAAAAAAAAAAAAAAAAAAAABcAAAAUAAAAAAAAAAAAAAD/fwAA/38AAAACAAAJAAAABAAAAAAAAAAhAAAAQAAAADwAAAARAQAAAKIAACAAAAAAAAAAAwAAAAEAAAAAAAAAAAAAAAEAAABuBAAASg0AAFsTAAARAAAAlBoAANwIAAAoAAAACAAAAAEAAAABAAAA"/>
                          </a:ext>
                        </a:extLst>
                      </wpg:cNvGrpSpPr>
                      <wpg:grpSpPr>
                        <a:xfrm>
                          <a:off x="0" y="0"/>
                          <a:ext cx="2160270" cy="3146425"/>
                          <a:chOff x="0" y="0"/>
                          <a:chExt cx="2160270" cy="3146425"/>
                        </a:xfrm>
                      </wpg:grpSpPr>
                      <wps:wsp>
                        <wps:cNvPr id="23" name="Textbox17"/>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8S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KDQAADxIAAAAAAACUGgAA3AgAACgAAAAIAAAAAQAAAAIAAAAwAAAAFAAAAAAAAAAAAP//AAABAAAA//8AAAEA"/>
                            </a:ext>
                          </a:extLst>
                        </wps:cNvSpPr>
                        <wps:spPr>
                          <a:xfrm>
                            <a:off x="0" y="0"/>
                            <a:ext cx="2160270" cy="293560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w:t>
                              </w:r>
                            </w:p>
                            <w:p>
                              <w:pPr>
                                <w:spacing/>
                                <w:jc w:val="center"/>
                                <w:rPr>
                                  <w:b/>
                                  <w:bCs/>
                                  <w:sz w:val="24"/>
                                  <w:szCs w:val="24"/>
                                </w:rPr>
                              </w:pPr>
                              <w:r>
                                <w:rPr>
                                  <w:b/>
                                  <w:bCs/>
                                  <w:sz w:val="24"/>
                                  <w:szCs w:val="24"/>
                                </w:rPr>
                                <w:t>Arbeiten-an-Bestecken\Abbildungen\</w:t>
                              </w:r>
                            </w:p>
                            <w:p>
                              <w:pPr>
                                <w:spacing/>
                                <w:jc w:val="center"/>
                                <w:rPr>
                                  <w:b/>
                                  <w:bCs/>
                                  <w:sz w:val="24"/>
                                  <w:szCs w:val="24"/>
                                </w:rPr>
                              </w:pPr>
                              <w:r>
                                <w:rPr>
                                  <w:b/>
                                  <w:bCs/>
                                  <w:sz w:val="24"/>
                                  <w:szCs w:val="24"/>
                                </w:rPr>
                                <w:t>HS-Rahmen.JPG</w:t>
                              </w:r>
                            </w:p>
                            <w:p>
                              <w:pPr>
                                <w:spacing/>
                                <w:jc w:val="center"/>
                                <w:rPr>
                                  <w:b/>
                                  <w:bCs/>
                                  <w:sz w:val="24"/>
                                  <w:szCs w:val="24"/>
                                </w:rPr>
                              </w:pPr>
                              <w:r>
                                <w:rPr>
                                  <w:b/>
                                  <w:bCs/>
                                  <w:sz w:val="24"/>
                                  <w:szCs w:val="24"/>
                                </w:rPr>
                              </w:r>
                            </w:p>
                            <w:p>
                              <w:pPr>
                                <w:spacing/>
                                <w:jc w:val="center"/>
                                <w:rPr>
                                  <w:b/>
                                  <w:bCs/>
                                  <w:sz w:val="24"/>
                                  <w:szCs w:val="24"/>
                                </w:rPr>
                              </w:pPr>
                              <w:r>
                                <w:rPr>
                                  <w:b/>
                                  <w:bCs/>
                                  <w:sz w:val="24"/>
                                  <w:szCs w:val="24"/>
                                </w:rPr>
                                <w:t>Erster Entwurf</w:t>
                              </w:r>
                            </w:p>
                            <w:p>
                              <w:pPr>
                                <w:spacing/>
                                <w:jc w:val="center"/>
                                <w:rPr>
                                  <w:b/>
                                  <w:bCs/>
                                  <w:sz w:val="24"/>
                                  <w:szCs w:val="24"/>
                                </w:rPr>
                              </w:pPr>
                              <w:r>
                                <w:rPr>
                                  <w:b/>
                                  <w:bCs/>
                                  <w:sz w:val="24"/>
                                  <w:szCs w:val="24"/>
                                </w:rPr>
                                <w:t>nur ein Rechteck.</w:t>
                              </w:r>
                            </w:p>
                            <w:p>
                              <w:pPr>
                                <w:spacing/>
                                <w:jc w:val="center"/>
                                <w:rPr>
                                  <w:b/>
                                  <w:bCs/>
                                  <w:sz w:val="24"/>
                                  <w:szCs w:val="24"/>
                                </w:rPr>
                              </w:pPr>
                              <w:r>
                                <w:rPr>
                                  <w:b/>
                                  <w:bCs/>
                                  <w:sz w:val="24"/>
                                  <w:szCs w:val="24"/>
                                </w:rPr>
                              </w:r>
                            </w:p>
                            <w:p>
                              <w:pPr>
                                <w:spacing/>
                                <w:jc w:val="center"/>
                                <w:rPr>
                                  <w:b/>
                                  <w:bCs/>
                                  <w:sz w:val="24"/>
                                  <w:szCs w:val="24"/>
                                </w:rPr>
                              </w:pPr>
                              <w:r>
                                <w:rPr>
                                  <w:b/>
                                  <w:bCs/>
                                  <w:sz w:val="24"/>
                                  <w:szCs w:val="24"/>
                                </w:rPr>
                                <w:t>Zeichnung Caddy.</w:t>
                              </w:r>
                            </w:p>
                          </w:txbxContent>
                        </wps:txbx>
                        <wps:bodyPr spcFirstLastPara="1" vertOverflow="clip" horzOverflow="clip" upright="1">
                          <a:prstTxWarp prst="textNoShape">
                            <a:avLst/>
                          </a:prstTxWarp>
                          <a:spAutoFit/>
                        </wps:bodyPr>
                      </wps:wsp>
                      <wps:wsp>
                        <wps:cNvPr id="24" name="Textbox18"/>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Sg0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KDQAATAEAAAAAAACUGgAA6xoAACgAAAAIAAAAAQAAAAIAAAAwAAAAFAAAAAAAAAAAAP//AAABAAAA//8AAAEA"/>
                            </a:ext>
                          </a:extLst>
                        </wps:cNvSpPr>
                        <wps:spPr>
                          <a:xfrm>
                            <a:off x="0" y="2935605"/>
                            <a:ext cx="216027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7</w:t>
                                <w:fldChar w:fldCharType="end"/>
                              </w:r>
                              <w:r>
                                <w:t>: Rechteck für das HS.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56.70pt;mso-position-horizontal-relative:margin;mso-position-vertical-relative:margin;width:170.10pt;height:247.75pt;z-index:251658262;mso-wrap-distance-left:11.35pt;mso-wrap-distance-top:11.35pt;mso-wrap-distance-right:7.05pt;mso-wrap-distance-bottom:14.15pt" coordorigin="6804,2268" coordsize="3402,4955">
                <v:shape id="Textbox17" o:spid="_x0000_s1040" type="#_x0000_t202" style="position:absolute;left:6804;top:2268;width:3402;height:4623"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8S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w:t>
                        </w:r>
                      </w:p>
                      <w:p>
                        <w:pPr>
                          <w:spacing/>
                          <w:jc w:val="center"/>
                          <w:rPr>
                            <w:b/>
                            <w:bCs/>
                            <w:sz w:val="24"/>
                            <w:szCs w:val="24"/>
                          </w:rPr>
                        </w:pPr>
                        <w:r>
                          <w:rPr>
                            <w:b/>
                            <w:bCs/>
                            <w:sz w:val="24"/>
                            <w:szCs w:val="24"/>
                          </w:rPr>
                          <w:t>Arbeiten-an-Bestecken\Abbildungen\</w:t>
                        </w:r>
                      </w:p>
                      <w:p>
                        <w:pPr>
                          <w:spacing/>
                          <w:jc w:val="center"/>
                          <w:rPr>
                            <w:b/>
                            <w:bCs/>
                            <w:sz w:val="24"/>
                            <w:szCs w:val="24"/>
                          </w:rPr>
                        </w:pPr>
                        <w:r>
                          <w:rPr>
                            <w:b/>
                            <w:bCs/>
                            <w:sz w:val="24"/>
                            <w:szCs w:val="24"/>
                          </w:rPr>
                          <w:t>HS-Rahmen.JPG</w:t>
                        </w:r>
                      </w:p>
                      <w:p>
                        <w:pPr>
                          <w:spacing/>
                          <w:jc w:val="center"/>
                          <w:rPr>
                            <w:b/>
                            <w:bCs/>
                            <w:sz w:val="24"/>
                            <w:szCs w:val="24"/>
                          </w:rPr>
                        </w:pPr>
                        <w:r>
                          <w:rPr>
                            <w:b/>
                            <w:bCs/>
                            <w:sz w:val="24"/>
                            <w:szCs w:val="24"/>
                          </w:rPr>
                        </w:r>
                      </w:p>
                      <w:p>
                        <w:pPr>
                          <w:spacing/>
                          <w:jc w:val="center"/>
                          <w:rPr>
                            <w:b/>
                            <w:bCs/>
                            <w:sz w:val="24"/>
                            <w:szCs w:val="24"/>
                          </w:rPr>
                        </w:pPr>
                        <w:r>
                          <w:rPr>
                            <w:b/>
                            <w:bCs/>
                            <w:sz w:val="24"/>
                            <w:szCs w:val="24"/>
                          </w:rPr>
                          <w:t>Erster Entwurf</w:t>
                        </w:r>
                      </w:p>
                      <w:p>
                        <w:pPr>
                          <w:spacing/>
                          <w:jc w:val="center"/>
                          <w:rPr>
                            <w:b/>
                            <w:bCs/>
                            <w:sz w:val="24"/>
                            <w:szCs w:val="24"/>
                          </w:rPr>
                        </w:pPr>
                        <w:r>
                          <w:rPr>
                            <w:b/>
                            <w:bCs/>
                            <w:sz w:val="24"/>
                            <w:szCs w:val="24"/>
                          </w:rPr>
                          <w:t>nur ein Rechteck.</w:t>
                        </w:r>
                      </w:p>
                      <w:p>
                        <w:pPr>
                          <w:spacing/>
                          <w:jc w:val="center"/>
                          <w:rPr>
                            <w:b/>
                            <w:bCs/>
                            <w:sz w:val="24"/>
                            <w:szCs w:val="24"/>
                          </w:rPr>
                        </w:pPr>
                        <w:r>
                          <w:rPr>
                            <w:b/>
                            <w:bCs/>
                            <w:sz w:val="24"/>
                            <w:szCs w:val="24"/>
                          </w:rPr>
                        </w:r>
                      </w:p>
                      <w:p>
                        <w:pPr>
                          <w:spacing/>
                          <w:jc w:val="center"/>
                          <w:rPr>
                            <w:b/>
                            <w:bCs/>
                            <w:sz w:val="24"/>
                            <w:szCs w:val="24"/>
                          </w:rPr>
                        </w:pPr>
                        <w:r>
                          <w:rPr>
                            <w:b/>
                            <w:bCs/>
                            <w:sz w:val="24"/>
                            <w:szCs w:val="24"/>
                          </w:rPr>
                          <w:t>Zeichnung Caddy.</w:t>
                        </w:r>
                      </w:p>
                    </w:txbxContent>
                  </v:textbox>
                </v:shape>
                <v:shape id="Textbox18" o:spid="_x0000_s1041" type="#_x0000_t202" style="position:absolute;left:6804;top:6891;width:3402;height:332"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Sg0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7</w:t>
                          <w:fldChar w:fldCharType="end"/>
                        </w:r>
                        <w:r>
                          <w:t>: Rechteck für das HS.</w:t>
                        </w:r>
                      </w:p>
                    </w:txbxContent>
                  </v:textbox>
                </v:shape>
                <w10:wrap type="square" anchorx="margin" anchory="margin"/>
              </v:group>
            </w:pict>
          </mc:Fallback>
        </mc:AlternateContent>
      </w:r>
      <w:r>
        <w:t>Um die Kontur des wichtigsten Spants erstellen zu können, wurden verschiedene Maße von der Außenkante des Rechtecks nach innen abgetragen. Hier gab es aber keine einheitlichen Regeln oder uns bekannte Berechnungen. In den uns bekannten Bestecken finden wir sehr gestreut vereinzelnd Maßangaben, die es erlauben, in groben Zügen die Vorgehensweise des Schiffbauers zu verfolgen.</w:t>
      </w:r>
    </w:p>
    <w:p>
      <w:pPr>
        <w:pStyle w:val="para11"/>
        <w:numPr>
          <w:ilvl w:val="0"/>
          <w:numId w:val="1"/>
        </w:numPr>
      </w:pPr>
      <w:r>
        <w:t>Es kommt vor, dass die Maße des Flachs angegeben wurden. Hier sind meistens zwei Werte zu finden. Zum einen die Breite des Flachs und dann die Höhe über dem Kiel.</w:t>
      </w:r>
    </w:p>
    <w:p>
      <w:pPr>
        <w:pStyle w:val="para11"/>
        <w:numPr>
          <w:ilvl w:val="0"/>
          <w:numId w:val="1"/>
        </w:numPr>
      </w:pPr>
      <w:r>
        <w:t>In einigen Bestecken, überwiegend im Noorderkwartier, tauchte dann das Boeysel auf. Hier gab es dann den Wert der Breite.</w:t>
        <w:br w:type="textWrapping"/>
        <w:t>Die Raumtiefe des Schiffes wurde hierfür in drei Abschnitte unterteilt. Im unteren Dritte befand sich die Höhe des Boeysels.</w:t>
      </w:r>
    </w:p>
    <w:p>
      <w:pPr>
        <w:pStyle w:val="para11"/>
        <w:numPr>
          <w:ilvl w:val="0"/>
          <w:numId w:val="1"/>
        </w:numPr>
      </w:pPr>
      <w:r>
        <w:t>In Höhe der Raumtiefe hatte das Schiff am Hauptspant die größte Schiffsweite.</w:t>
        <w:br w:type="textWrapping"/>
        <w:t>Um 1600 sehen wir in den Bestecken, dass die größte Schiffsweite unterhalb der Raumtiefe angesiedelt war. Erst im Laufe des 17. Jahrhunderts wanderte die größte Schiffsweite in den Bereich der Raumtiefe.</w:t>
      </w:r>
    </w:p>
    <w:p>
      <w:pPr>
        <w:pStyle w:val="para11"/>
        <w:numPr>
          <w:ilvl w:val="0"/>
          <w:numId w:val="1"/>
        </w:numPr>
      </w:pPr>
      <w:r>
        <w:t>In Höhe des zweiten Decks, auch Verdeck oder Kuhbrücke genannt, wurde die Spantkontur nach innen eingezogen. In einigen Bestecken können wir das eine oder andere Maß finden. Dieses Maß übertrifft sehr selten die drei Fuß Marke. Je nach Schiffsgröße ergaben sich Wert zwischen 2 1/4 und 3 Fuß.</w:t>
      </w:r>
    </w:p>
    <w:p>
      <w:pPr>
        <w:pStyle w:val="para11"/>
        <w:numPr>
          <w:ilvl w:val="0"/>
          <w:numId w:val="1"/>
        </w:numPr>
      </w:pPr>
      <w:r>
        <w:t>Auch im Bereich der Reling. Also der Oberkante der Bordwand in der Kuhl, finden wir in den Bestecken das eine oder andere Maß. Dies ist aber eher selten der Fall. Wir finden auch die Formulierung, dass zum Beispiel der Einzug nicht zu stark ausfallen sollte. Begründet wurde das meistens mit den Platzverhältnissen auf dem Verdeck. Es ging dann darum, dass zwischen den Beibooten und der Bordwand genügend Platz gefordert wurde, um die dort stehenden Geschütze bedienen zu können. In er Regel standen die Beiboote im 17. Jahrhundert in der Kuhl eines Schiffes.</w:t>
        <w:br w:type="textWrapping"/>
        <w:t>Im 16. Jahrhundert und auch noch bis in die 20er-Jahre des 17. Jahrhunderts wurden die Beiboote auch hinter dem dem Großmast auf dem Verdeck gelagert. Das hatte wohl auch mit den Platzverhältnissen ganz allgemein zu tun. In der Kuhl stand auf vielen Kriegsschiffen bis 120-Fuß-Länge ein großes Gangspill.</w:t>
      </w:r>
      <w:bookmarkStart w:id="126" w:name="_TOC000177"/>
      <w:r/>
      <w:bookmarkEnd w:id="126"/>
      <w:r/>
    </w:p>
    <w:p>
      <w:pPr>
        <w:pStyle w:val="para2"/>
      </w:pPr>
      <w:bookmarkStart w:id="127" w:name="_TOC000003"/>
      <w:r>
        <w:t>Die Senten</w:t>
      </w:r>
      <w:bookmarkEnd w:id="127"/>
      <w:r>
        <w:t>; allgemein</w:t>
      </w:r>
    </w:p>
    <w:p>
      <w:pPr>
        <w:pStyle w:val="para9"/>
      </w:pPr>
      <w:r>
        <w:rPr>
          <w:noProof/>
        </w:rPr>
        <mc:AlternateContent>
          <mc:Choice Requires="wpg">
            <w:drawing>
              <wp:anchor distT="144145" distB="179705" distL="144145" distR="89535" simplePos="0" relativeHeight="251658265" behindDoc="0" locked="0" layoutInCell="0" hidden="0" allowOverlap="1">
                <wp:simplePos x="0" y="0"/>
                <wp:positionH relativeFrom="margin">
                  <wp:align>right</wp:align>
                  <wp:posOffset2>0</wp:posOffset2>
                </wp:positionH>
                <wp:positionV relativeFrom="margin">
                  <wp:posOffset>5400040</wp:posOffset>
                </wp:positionV>
                <wp:extent cx="2160270" cy="3146425"/>
                <wp:effectExtent l="0" t="0" r="0" b="0"/>
                <wp:wrapSquare wrapText="bothSides"/>
                <wp:docPr id="25" name="Gruppe10"/>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YAQAAAKIAACAAAAAAAAAAAwAAAAEAAAAAAAAAAAAAAAEAAAA4IQAASg0AAFsTAAASAAAAAh8AAKYlAAAoAAAACAAAAAEAAAABAAAA"/>
                          </a:ext>
                        </a:extLst>
                      </wpg:cNvGrpSpPr>
                      <wpg:grpSpPr>
                        <a:xfrm>
                          <a:off x="0" y="0"/>
                          <a:ext cx="2160270" cy="3146425"/>
                          <a:chOff x="0" y="0"/>
                          <a:chExt cx="2160270" cy="3146425"/>
                        </a:xfrm>
                      </wpg:grpSpPr>
                      <wps:wsp>
                        <wps:cNvPr id="26" name="Textbox27"/>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8S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KDQAADxIAAAAAAAACHwAApiUAACgAAAAIAAAAAQAAAAIAAAAwAAAAFAAAAAAAAAAAAP//AAABAAAA//8AAAEA"/>
                            </a:ext>
                          </a:extLst>
                        </wps:cNvSpPr>
                        <wps:spPr>
                          <a:xfrm>
                            <a:off x="0" y="0"/>
                            <a:ext cx="2160270" cy="293560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w:t>
                              </w:r>
                            </w:p>
                            <w:p>
                              <w:pPr>
                                <w:spacing/>
                                <w:jc w:val="center"/>
                                <w:rPr>
                                  <w:b/>
                                  <w:bCs/>
                                  <w:sz w:val="24"/>
                                  <w:szCs w:val="24"/>
                                </w:rPr>
                              </w:pPr>
                              <w:r>
                                <w:rPr>
                                  <w:b/>
                                  <w:bCs/>
                                  <w:sz w:val="24"/>
                                  <w:szCs w:val="24"/>
                                </w:rPr>
                                <w:t>Arbeiten-an-Bestecken\Abbildungen\</w:t>
                              </w:r>
                            </w:p>
                            <w:p>
                              <w:pPr>
                                <w:spacing/>
                                <w:jc w:val="center"/>
                                <w:rPr>
                                  <w:b/>
                                  <w:bCs/>
                                  <w:sz w:val="24"/>
                                  <w:szCs w:val="24"/>
                                </w:rPr>
                              </w:pPr>
                              <w:r>
                                <w:rPr>
                                  <w:b/>
                                  <w:bCs/>
                                  <w:sz w:val="24"/>
                                  <w:szCs w:val="24"/>
                                </w:rPr>
                                <w:t>HS-Kontur.JPG</w:t>
                              </w:r>
                            </w:p>
                            <w:p>
                              <w:pPr>
                                <w:spacing/>
                                <w:jc w:val="center"/>
                                <w:rPr>
                                  <w:b/>
                                  <w:bCs/>
                                  <w:sz w:val="24"/>
                                  <w:szCs w:val="24"/>
                                </w:rPr>
                              </w:pPr>
                              <w:r>
                                <w:rPr>
                                  <w:b/>
                                  <w:bCs/>
                                  <w:sz w:val="24"/>
                                  <w:szCs w:val="24"/>
                                </w:rPr>
                              </w:r>
                            </w:p>
                            <w:p>
                              <w:pPr>
                                <w:spacing/>
                                <w:jc w:val="center"/>
                                <w:rPr>
                                  <w:b/>
                                  <w:bCs/>
                                  <w:sz w:val="24"/>
                                  <w:szCs w:val="24"/>
                                </w:rPr>
                              </w:pPr>
                              <w:r>
                                <w:rPr>
                                  <w:b/>
                                  <w:bCs/>
                                  <w:sz w:val="24"/>
                                  <w:szCs w:val="24"/>
                                </w:rPr>
                                <w:t>Erster Entwurf</w:t>
                              </w:r>
                            </w:p>
                            <w:p>
                              <w:pPr>
                                <w:spacing/>
                                <w:jc w:val="center"/>
                                <w:rPr>
                                  <w:b/>
                                  <w:bCs/>
                                  <w:sz w:val="24"/>
                                  <w:szCs w:val="24"/>
                                </w:rPr>
                              </w:pPr>
                              <w:r>
                                <w:rPr>
                                  <w:b/>
                                  <w:bCs/>
                                  <w:sz w:val="24"/>
                                  <w:szCs w:val="24"/>
                                </w:rPr>
                                <w:t>Spantkontur.</w:t>
                              </w:r>
                            </w:p>
                            <w:p>
                              <w:pPr>
                                <w:spacing/>
                                <w:jc w:val="center"/>
                                <w:rPr>
                                  <w:b/>
                                  <w:bCs/>
                                  <w:sz w:val="24"/>
                                  <w:szCs w:val="24"/>
                                </w:rPr>
                              </w:pPr>
                              <w:r>
                                <w:rPr>
                                  <w:b/>
                                  <w:bCs/>
                                  <w:sz w:val="24"/>
                                  <w:szCs w:val="24"/>
                                </w:rPr>
                              </w:r>
                            </w:p>
                            <w:p>
                              <w:pPr>
                                <w:spacing/>
                                <w:jc w:val="center"/>
                                <w:rPr>
                                  <w:b/>
                                  <w:bCs/>
                                  <w:sz w:val="24"/>
                                  <w:szCs w:val="24"/>
                                </w:rPr>
                              </w:pPr>
                              <w:r>
                                <w:rPr>
                                  <w:b/>
                                  <w:bCs/>
                                  <w:sz w:val="24"/>
                                  <w:szCs w:val="24"/>
                                </w:rPr>
                                <w:t>Zeichnung Caddy.</w:t>
                              </w:r>
                            </w:p>
                          </w:txbxContent>
                        </wps:txbx>
                        <wps:bodyPr spcFirstLastPara="1" vertOverflow="clip" horzOverflow="clip" upright="1">
                          <a:prstTxWarp prst="textNoShape">
                            <a:avLst/>
                          </a:prstTxWarp>
                          <a:spAutoFit/>
                        </wps:bodyPr>
                      </wps:wsp>
                      <wps:wsp>
                        <wps:cNvPr id="27" name="Textbox28"/>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Sg0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KDQAATAEAAAAAAAACHwAAtTcAACgAAAAIAAAAAQAAAAIAAAAwAAAAFAAAAAAAAAAAAP//AAABAAAA//8AAAEA"/>
                            </a:ext>
                          </a:extLst>
                        </wps:cNvSpPr>
                        <wps:spPr>
                          <a:xfrm>
                            <a:off x="0" y="2935605"/>
                            <a:ext cx="216027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8</w:t>
                                <w:fldChar w:fldCharType="end"/>
                              </w:r>
                              <w:r>
                                <w:t>: Spantkontur-HS.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425.20pt;mso-position-horizontal-relative:margin;mso-position-vertical-relative:margin;width:170.10pt;height:247.75pt;z-index:251658265;mso-wrap-distance-left:11.35pt;mso-wrap-distance-top:11.35pt;mso-wrap-distance-right:7.05pt;mso-wrap-distance-bottom:14.15pt" coordorigin="7938,9638" coordsize="3402,4955">
                <v:shape id="Textbox27" o:spid="_x0000_s1042" type="#_x0000_t202" style="position:absolute;left:7938;top:9638;width:3402;height:4623"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BcAAAAUAAAAAAAAAA8SAACDLgAAx0E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MYCLOUD\M\Manuskripte\</w:t>
                        </w:r>
                      </w:p>
                      <w:p>
                        <w:pPr>
                          <w:spacing/>
                          <w:jc w:val="center"/>
                          <w:rPr>
                            <w:b/>
                            <w:bCs/>
                            <w:sz w:val="24"/>
                            <w:szCs w:val="24"/>
                          </w:rPr>
                        </w:pPr>
                        <w:r>
                          <w:rPr>
                            <w:b/>
                            <w:bCs/>
                            <w:sz w:val="24"/>
                            <w:szCs w:val="24"/>
                          </w:rPr>
                          <w:t>Arbeiten-an-Bestecken\Abbildungen\</w:t>
                        </w:r>
                      </w:p>
                      <w:p>
                        <w:pPr>
                          <w:spacing/>
                          <w:jc w:val="center"/>
                          <w:rPr>
                            <w:b/>
                            <w:bCs/>
                            <w:sz w:val="24"/>
                            <w:szCs w:val="24"/>
                          </w:rPr>
                        </w:pPr>
                        <w:r>
                          <w:rPr>
                            <w:b/>
                            <w:bCs/>
                            <w:sz w:val="24"/>
                            <w:szCs w:val="24"/>
                          </w:rPr>
                          <w:t>HS-Kontur.JPG</w:t>
                        </w:r>
                      </w:p>
                      <w:p>
                        <w:pPr>
                          <w:spacing/>
                          <w:jc w:val="center"/>
                          <w:rPr>
                            <w:b/>
                            <w:bCs/>
                            <w:sz w:val="24"/>
                            <w:szCs w:val="24"/>
                          </w:rPr>
                        </w:pPr>
                        <w:r>
                          <w:rPr>
                            <w:b/>
                            <w:bCs/>
                            <w:sz w:val="24"/>
                            <w:szCs w:val="24"/>
                          </w:rPr>
                        </w:r>
                      </w:p>
                      <w:p>
                        <w:pPr>
                          <w:spacing/>
                          <w:jc w:val="center"/>
                          <w:rPr>
                            <w:b/>
                            <w:bCs/>
                            <w:sz w:val="24"/>
                            <w:szCs w:val="24"/>
                          </w:rPr>
                        </w:pPr>
                        <w:r>
                          <w:rPr>
                            <w:b/>
                            <w:bCs/>
                            <w:sz w:val="24"/>
                            <w:szCs w:val="24"/>
                          </w:rPr>
                          <w:t>Erster Entwurf</w:t>
                        </w:r>
                      </w:p>
                      <w:p>
                        <w:pPr>
                          <w:spacing/>
                          <w:jc w:val="center"/>
                          <w:rPr>
                            <w:b/>
                            <w:bCs/>
                            <w:sz w:val="24"/>
                            <w:szCs w:val="24"/>
                          </w:rPr>
                        </w:pPr>
                        <w:r>
                          <w:rPr>
                            <w:b/>
                            <w:bCs/>
                            <w:sz w:val="24"/>
                            <w:szCs w:val="24"/>
                          </w:rPr>
                          <w:t>Spantkontur.</w:t>
                        </w:r>
                      </w:p>
                      <w:p>
                        <w:pPr>
                          <w:spacing/>
                          <w:jc w:val="center"/>
                          <w:rPr>
                            <w:b/>
                            <w:bCs/>
                            <w:sz w:val="24"/>
                            <w:szCs w:val="24"/>
                          </w:rPr>
                        </w:pPr>
                        <w:r>
                          <w:rPr>
                            <w:b/>
                            <w:bCs/>
                            <w:sz w:val="24"/>
                            <w:szCs w:val="24"/>
                          </w:rPr>
                        </w:r>
                      </w:p>
                      <w:p>
                        <w:pPr>
                          <w:spacing/>
                          <w:jc w:val="center"/>
                          <w:rPr>
                            <w:b/>
                            <w:bCs/>
                            <w:sz w:val="24"/>
                            <w:szCs w:val="24"/>
                          </w:rPr>
                        </w:pPr>
                        <w:r>
                          <w:rPr>
                            <w:b/>
                            <w:bCs/>
                            <w:sz w:val="24"/>
                            <w:szCs w:val="24"/>
                          </w:rPr>
                          <w:t>Zeichnung Caddy.</w:t>
                        </w:r>
                      </w:p>
                    </w:txbxContent>
                  </v:textbox>
                </v:shape>
                <v:shape id="Textbox28" o:spid="_x0000_s1043" type="#_x0000_t202" style="position:absolute;left:7938;top:14261;width:3402;height:332"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Sg0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8</w:t>
                          <w:fldChar w:fldCharType="end"/>
                        </w:r>
                        <w:r>
                          <w:t>: Spantkontur-HS.</w:t>
                        </w:r>
                      </w:p>
                    </w:txbxContent>
                  </v:textbox>
                </v:shape>
                <w10:wrap type="square" anchorx="margin" anchory="margin"/>
              </v:group>
            </w:pict>
          </mc:Fallback>
        </mc:AlternateContent>
      </w:r>
      <w:r>
        <w:t>Ein wichtiges, weiteres Werkzeug waren die Senten. Sie wurden auch praktisch angewendet. Diese Senten wurden benötigt, um die endgültige Schiffsform zu entwickeln. Gegen Ende des 17. Jahrhunderts hatten verantwortliche Schiffbauer der Ostindische-Handels-Compagnie den Versuch unternommen, die praktisch angewendeten Senten in ein eher theoretisches Gerüst zu packen.</w:t>
      </w:r>
      <w:r>
        <w:rPr>
          <w:rStyle w:val="char1"/>
        </w:rPr>
      </w:r>
      <w:r>
        <w:rPr>
          <w:rStyle w:val="char1"/>
        </w:rPr>
        <w:footnoteReference w:id="129"/>
      </w:r>
      <w:r>
        <w:t xml:space="preserve"> Sie hatten dazu gut gebautes Schiffe nach einem festgelegten System vermessen und diese Aufmaße schriftlich dokumentiert. Neben einer Reihe von anderen wichtigen Parametern war es nun theoretisch möglich, die Form eines Schiffes zu reproduzieren. Selbst heute ist es möglich, die Linien dieser Typschiffe reproduzierbar zu entwerfen. Zielstelle nicht gefunden! auf Seite Zielstelle nicht gefunden! zeigt die Rekonstruktion eines von den damaligen Schiffbauern vermessenen Schiffs.</w:t>
      </w:r>
      <w:bookmarkStart w:id="129" w:name="_TOC000004"/>
      <w:r/>
      <w:bookmarkEnd w:id="129"/>
      <w:r/>
    </w:p>
    <w:p>
      <w:pPr>
        <w:pStyle w:val="para2"/>
      </w:pPr>
      <w:bookmarkStart w:id="130" w:name="_TOC000073"/>
      <w:r>
        <w:t>Der Entwurf vor 1700</w:t>
      </w:r>
      <w:bookmarkEnd w:id="130"/>
      <w:r>
        <w:t>; allgemein</w:t>
      </w:r>
    </w:p>
    <w:p>
      <w:pPr>
        <w:pStyle w:val="para9"/>
      </w:pPr>
      <w:r>
        <w:t>Versuchen wir, dem niederländischen Schiffbauer bei seiner Arbeit über die Schulter zu schauen, müssen wir auf zwei Bücher aus der zweiten Hälfte des 17. Jahrhunderts zurückgreifen. Beide Autoren haben in unterschiedlicher Form die damalige Sichtweise anschaulich dargestellt. Es geht zum einen um das Buch von Nicolaes Witsen aus dem Jahre 1671 und zum anderen um Cornelis van Yk aus dem Jahre 1697.</w:t>
      </w:r>
      <w:r>
        <w:rPr>
          <w:rStyle w:val="char1"/>
        </w:rPr>
      </w:r>
      <w:r>
        <w:rPr>
          <w:rStyle w:val="char1"/>
        </w:rPr>
        <w:footnoteReference w:id="132"/>
      </w:r>
      <w:r>
        <w:t xml:space="preserve"> Witsen versuchte beispielsweise, die in den nördlichen Teilen der Provinz Holland angewendete Baupraxis in ein theoretisches Gerüst zu bannen. Dieses ist ihm aus heutiger Sicht sogar gut gelungen, denn man kann mit entsprechendem Wissen ein Schiff danach konstruieren. Leider ist dem Autor dieser Arbeit bis dato kein Entwurf nach seinen Aufzeichnungen bekannt. Die Zeitgenossen Witsens fanden diese theoretischen Überlegungen mit anschließender zeichnerischer Umsetzung vermutlich zu abstrakt. Dem „normalen“ Schiffbauer war mit diesen Ansätzen wohl nicht beizukommen. Nebenbei sei angemerkt, dass auch Witsen seinen Entwurfsansatz nicht zur Gänze ausgefeilt hatte. Es blieb ein Ansatz, um zu zeigen, dass man es ähnlich wie die Nachbarn in England konnte.</w:t>
      </w:r>
    </w:p>
    <w:p>
      <w:pPr>
        <w:pStyle w:val="para9"/>
      </w:pPr>
      <w:r>
        <w:t>Cornelis van Yk bescherte seinen Lesern eine praktische Unterweisung über den Bau eines Schiffes. Er zeigte auf, dass man mit nur vier richtig gesetzten Spanten und dem Heck ein Schiff praktisch entwerfen konnte. Auch hier kamen Scheerstrook und Senten zum Tragen. Dieses Entwurfsverfahren muss aber schon länger praktiziert worden sein, denn er beschrieb es so, als sei dieses ganz selbstverständlich;</w:t>
      </w:r>
      <w:r>
        <w:rPr>
          <w:color w:val="ff0000"/>
        </w:rPr>
        <w:t xml:space="preserve"> siehe Zielstelle nicht gefunden!</w:t>
      </w:r>
      <w:r>
        <w:t xml:space="preserve"> auf Seite </w:t>
      </w:r>
      <w:r>
        <w:rPr>
          <w:color w:val="ff0000"/>
        </w:rPr>
        <w:t>Zielstelle</w:t>
      </w:r>
      <w:r>
        <w:t xml:space="preserve"> nicht gefunden!. Nur, auch Van Yk musste dem Leser zwischendurch immer wieder vorsichtig gestehen, dass es für bestimmte Dinge keine reproduzierbaren Vorgehensweisen gab. Das geschah zum Beispiel bei der Formgestaltung des hinteren Spants. Der Bereich unterhalb der Wasserlinie durfte nicht falsch eingeschätzt werden, sonst lief der Entwerfer Gefahr, sein Schiff zu steuerlastig zu bauen. Denn ein zu schmales, schlankes Achterschiff ließ ein Schiff schnell hinten zu tief liegen. Umgekehrt konnte passieren, dass wiederum das Vorschiff zu tief eintauchte. Hierüber waren sich die Schiffbauer sicher im Klaren, aber ein ausgewogenes Konzept ist nicht sichtbar. Noch um 1700 wurde nach diesem Verfahren gearbeitet. Aber schon ab 1703 findet sich ein erweitertes Verfahren in den Bestecken der Admiralität und er Ost/west-Indischen Handelskompanien. Die Anzahl der Richtspanten wurde von anfänglich vier auf neun bis zwölf erhöht. Man hatte wohl erkannt, dass vier Spanten zu wenig waren. Aber auch im 18. Jahrhundert wurden die Schiffe eher praktisch entworfen. Denn Senten und Scheerstrook kamen weiterhin zum Einsatz. Parallel zu dieser Entwurfspraktik gab es auch in den Niederlanden Bestrebungen, einen theoretischen Entwurf zu entwickeln.</w:t>
      </w:r>
      <w:r>
        <w:rPr>
          <w:rStyle w:val="char1"/>
        </w:rPr>
      </w:r>
      <w:r>
        <w:rPr>
          <w:rStyle w:val="char1"/>
        </w:rPr>
        <w:footnoteReference w:id="133"/>
      </w:r>
      <w:r/>
    </w:p>
    <w:p>
      <w:pPr>
        <w:pStyle w:val="para9"/>
      </w:pPr>
      <w:r>
        <w:rPr>
          <w:noProof/>
        </w:rPr>
        <mc:AlternateContent>
          <mc:Choice Requires="wpg">
            <w:drawing>
              <wp:anchor distT="144145" distB="179705" distL="144145" distR="89535" simplePos="0" relativeHeight="251658268" behindDoc="0" locked="0" layoutInCell="0" hidden="0" allowOverlap="1">
                <wp:simplePos x="0" y="0"/>
                <wp:positionH relativeFrom="margin">
                  <wp:align>right</wp:align>
                  <wp:posOffset2>0</wp:posOffset2>
                </wp:positionH>
                <wp:positionV relativeFrom="margin">
                  <wp:posOffset>899795</wp:posOffset>
                </wp:positionV>
                <wp:extent cx="4051300" cy="6244590"/>
                <wp:effectExtent l="0" t="0" r="0" b="0"/>
                <wp:wrapSquare wrapText="bothSides"/>
                <wp:docPr id="28" name="Gruppe11"/>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cAQAAAKIAACAAAAAAAAAAAwAAAAEAAAAAAAAAAAAAAAEAAACJBQAA7BgAAGomAAATAAAA8g4AAPcJAAAoAAAACAAAAAEAAAABAAAA"/>
                          </a:ext>
                        </a:extLst>
                      </wpg:cNvGrpSpPr>
                      <wpg:grpSpPr>
                        <a:xfrm>
                          <a:off x="0" y="0"/>
                          <a:ext cx="4051300" cy="6244590"/>
                          <a:chOff x="0" y="0"/>
                          <a:chExt cx="4051300" cy="6244590"/>
                        </a:xfrm>
                      </wpg:grpSpPr>
                      <wps:wsp>
                        <wps:cNvPr id="29" name="Textbox19"/>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4l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DsGAAAHiUAAAAAAADyDgAA9wkAACgAAAAIAAAAAQAAAAIAAAAwAAAAFAAAAAAAAAAAAP//AAABAAAA//8AAAEA"/>
                            </a:ext>
                          </a:extLst>
                        </wps:cNvSpPr>
                        <wps:spPr>
                          <a:xfrm>
                            <a:off x="0" y="0"/>
                            <a:ext cx="4051300" cy="603377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Hauptspant eines Schiffes von</w:t>
                              </w:r>
                            </w:p>
                            <w:p>
                              <w:pPr>
                                <w:spacing/>
                                <w:jc w:val="center"/>
                                <w:rPr>
                                  <w:b/>
                                  <w:bCs/>
                                  <w:sz w:val="24"/>
                                  <w:szCs w:val="24"/>
                                </w:rPr>
                              </w:pPr>
                              <w:r>
                                <w:rPr>
                                  <w:b/>
                                  <w:bCs/>
                                  <w:sz w:val="24"/>
                                  <w:szCs w:val="24"/>
                                </w:rPr>
                                <w:t>152 bis 154 Fuß Länge.</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Querschnitt-van-Yk.Jpg</w:t>
                              </w:r>
                            </w:p>
                          </w:txbxContent>
                        </wps:txbx>
                        <wps:bodyPr spcFirstLastPara="1" vertOverflow="clip" horzOverflow="clip" upright="1">
                          <a:prstTxWarp prst="textNoShape">
                            <a:avLst/>
                          </a:prstTxWarp>
                          <a:spAutoFit/>
                        </wps:bodyPr>
                      </wps:wsp>
                      <wps:wsp>
                        <wps:cNvPr id="30" name="Textbox20"/>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7Bg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DsGAAATAEAAAAAAADyDgAAFS8AACgAAAAIAAAAAQAAAAIAAAAwAAAAFAAAAAAAAAAAAP//AAABAAAA//8AAAEA"/>
                            </a:ext>
                          </a:extLst>
                        </wps:cNvSpPr>
                        <wps:spPr>
                          <a:xfrm>
                            <a:off x="0" y="6033770"/>
                            <a:ext cx="405130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9</w:t>
                                <w:fldChar w:fldCharType="end"/>
                              </w:r>
                              <w:r>
                                <w:t>: Hauptspantkontur nach C. van Yk, 1697.</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70.85pt;mso-position-horizontal-relative:margin;mso-position-vertical-relative:margin;width:319.00pt;height:491.70pt;z-index:251658268;mso-wrap-distance-left:11.35pt;mso-wrap-distance-top:11.35pt;mso-wrap-distance-right:7.05pt;mso-wrap-distance-bottom:14.15pt" coordorigin="3826,2551" coordsize="6380,9834">
                <v:shape id="Textbox19" o:spid="_x0000_s1044" type="#_x0000_t202" style="position:absolute;left:3826;top:2551;width:6380;height:9502"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4l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Hauptspant eines Schiffes von</w:t>
                        </w:r>
                      </w:p>
                      <w:p>
                        <w:pPr>
                          <w:spacing/>
                          <w:jc w:val="center"/>
                          <w:rPr>
                            <w:b/>
                            <w:bCs/>
                            <w:sz w:val="24"/>
                            <w:szCs w:val="24"/>
                          </w:rPr>
                        </w:pPr>
                        <w:r>
                          <w:rPr>
                            <w:b/>
                            <w:bCs/>
                            <w:sz w:val="24"/>
                            <w:szCs w:val="24"/>
                          </w:rPr>
                          <w:t>152 bis 154 Fuß Länge.</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Querschnitt-van-Yk.Jpg</w:t>
                        </w:r>
                      </w:p>
                    </w:txbxContent>
                  </v:textbox>
                </v:shape>
                <v:shape id="Textbox20" o:spid="_x0000_s1045" type="#_x0000_t202" style="position:absolute;left:3826;top:12053;width:6380;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7Bg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9</w:t>
                          <w:fldChar w:fldCharType="end"/>
                        </w:r>
                        <w:r>
                          <w:t>: Hauptspantkontur nach C. van Yk, 1697.</w:t>
                        </w:r>
                      </w:p>
                    </w:txbxContent>
                  </v:textbox>
                </v:shape>
                <w10:wrap type="square" anchorx="margin" anchory="margin"/>
              </v:group>
            </w:pict>
          </mc:Fallback>
        </mc:AlternateContent>
      </w:r>
      <w:r>
        <w:t>In Schweden erschien 1691 eine interessante Arbeit zum Thema Schiffbau.</w:t>
      </w:r>
      <w:r>
        <w:rPr>
          <w:rStyle w:val="char1"/>
        </w:rPr>
      </w:r>
      <w:r>
        <w:rPr>
          <w:rStyle w:val="char1"/>
        </w:rPr>
        <w:footnoteReference w:id="134"/>
      </w:r>
      <w:r>
        <w:t xml:space="preserve"> In dieser kleinen Schrift wurde der Versuch unternommen, die Konstruktion in eine Zeichnung zu übertragen. Dabei ging es um verschiedene Schiffstypen, die der Autor</w:t>
      </w:r>
      <w:r>
        <w:rPr>
          <w:rFonts w:eastAsia="Times New Roman"/>
        </w:rPr>
        <w:t xml:space="preserve"> Rålamb </w:t>
      </w:r>
      <w:r>
        <w:t>recht gut in Linien gebracht hatte. Es wird schnell deutlich, dass auch dieser Autor die Senten für seine Zeichnungen nutzen konnte. In der Draufsicht dieser Zeichnungen sehen wir auch den Scheerstrook. Die sogenannte Flursente findet sich überwiegend in den Seitenansichten der Schiffe. Sie ist für die Konstruktion eines Schiffes ein wichtiges Element. Selbst in der berühmten Arbeit von F.H. af Chapman</w:t>
      </w:r>
      <w:r>
        <w:rPr>
          <w:rStyle w:val="char1"/>
        </w:rPr>
      </w:r>
      <w:r>
        <w:rPr>
          <w:rStyle w:val="char1"/>
        </w:rPr>
        <w:footnoteReference w:id="135"/>
      </w:r>
      <w:r>
        <w:t xml:space="preserve"> sehen wir noch die Grundzüge der Konstruktion auf Basis der Senten. Betrachten wir die Portugiesische, Englische, schwedische, und eben auch die in den südlichen Niederlanden praktizierte Konstruktionsmethode, gibt es grobe Übereinstimmungen. Alle Entwurfssysteme arbeiten mit einer Flursente, einer Herzsente und einer Toppsente.</w:t>
      </w:r>
    </w:p>
    <w:p>
      <w:pPr>
        <w:pStyle w:val="para9"/>
      </w:pPr>
      <w:r>
        <w:rPr>
          <w:noProof/>
        </w:rPr>
        <mc:AlternateContent>
          <mc:Choice Requires="wpg">
            <w:drawing>
              <wp:anchor distT="144145" distB="179705" distL="89535" distR="144145" simplePos="0" relativeHeight="251658271" behindDoc="0" locked="0" layoutInCell="0" hidden="0" allowOverlap="1">
                <wp:simplePos x="0" y="0"/>
                <wp:positionH relativeFrom="margin">
                  <wp:align>left</wp:align>
                </wp:positionH>
                <wp:positionV relativeFrom="margin">
                  <wp:posOffset>1471930</wp:posOffset>
                </wp:positionV>
                <wp:extent cx="3323590" cy="4183380"/>
                <wp:effectExtent l="0" t="0" r="0" b="0"/>
                <wp:wrapSquare wrapText="bothSides"/>
                <wp:docPr id="31" name="Gruppe12"/>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E0BAAAAkAAAAEgAAACQAAAASAAAAAAAAAAAAAAAAAAAABcAAAAUAAAAAAAAAAAAAAD/fwAA/38AAAACAAAJAAAABAAAAAAAAAAhAAAAQAAAADwAAAAdAQAAAKIAAAAAAAAAAAAAAQAAAAEAAAAAAAAAAAAAAAEAAAAOCQAAchQAALwZAAAUAAAApQYAAHwNAAAoAAAACAAAAAEAAAABAAAA"/>
                          </a:ext>
                        </a:extLst>
                      </wpg:cNvGrpSpPr>
                      <wpg:grpSpPr>
                        <a:xfrm>
                          <a:off x="0" y="0"/>
                          <a:ext cx="3323590" cy="4183380"/>
                          <a:chOff x="0" y="0"/>
                          <a:chExt cx="3323590" cy="4183380"/>
                        </a:xfrm>
                      </wpg:grpSpPr>
                      <wps:wsp>
                        <wps:cNvPr id="32" name="Textbox21"/>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QX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yFAAAlBcAAAAAAAClBgAAfA0AACgAAAAIAAAAAQAAAAIAAAAwAAAAFAAAAAAAAAAAAP//AAABAAAA//8AAAEA"/>
                            </a:ext>
                          </a:extLst>
                        </wps:cNvSpPr>
                        <wps:spPr>
                          <a:xfrm>
                            <a:off x="0" y="0"/>
                            <a:ext cx="3323590" cy="383286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Ansicht von hinten</w:t>
                              </w:r>
                            </w:p>
                            <w:p>
                              <w:pPr>
                                <w:spacing/>
                                <w:jc w:val="center"/>
                                <w:rPr>
                                  <w:b/>
                                  <w:bCs/>
                                  <w:sz w:val="24"/>
                                  <w:szCs w:val="24"/>
                                </w:rPr>
                              </w:pPr>
                              <w:r>
                                <w:rPr>
                                  <w:b/>
                                  <w:bCs/>
                                  <w:sz w:val="24"/>
                                  <w:szCs w:val="24"/>
                                </w:rPr>
                              </w:r>
                            </w:p>
                            <w:p>
                              <w:pPr>
                                <w:spacing/>
                                <w:jc w:val="center"/>
                                <w:rPr>
                                  <w:b/>
                                  <w:bCs/>
                                  <w:sz w:val="24"/>
                                  <w:szCs w:val="24"/>
                                </w:rPr>
                              </w:pPr>
                              <w:r>
                                <w:rPr>
                                  <w:b/>
                                  <w:bCs/>
                                  <w:sz w:val="24"/>
                                  <w:szCs w:val="24"/>
                                </w:rPr>
                                <w:t>Der Spiegel der Eendracht 1653/54 -1665</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Spiegel.Jpg</w:t>
                              </w:r>
                            </w:p>
                          </w:txbxContent>
                        </wps:txbx>
                        <wps:bodyPr spcFirstLastPara="1" vertOverflow="clip" horzOverflow="clip" upright="1">
                          <a:prstTxWarp prst="textNoShape">
                            <a:avLst/>
                          </a:prstTxWarp>
                          <a:spAutoFit/>
                        </wps:bodyPr>
                      </wps:wsp>
                      <wps:wsp>
                        <wps:cNvPr id="33" name="Textbox22"/>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ch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yFAAAKAIAAAAAAAClBgAAECUAACgAAAAIAAAAAQAAAAIAAAAwAAAAFAAAAAAAAAAAAP//AAABAAAA//8AAAEA"/>
                            </a:ext>
                          </a:extLst>
                        </wps:cNvSpPr>
                        <wps:spPr>
                          <a:xfrm>
                            <a:off x="0" y="3832860"/>
                            <a:ext cx="3323590" cy="3505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10</w:t>
                                <w:fldChar w:fldCharType="end"/>
                              </w:r>
                              <w:r>
                                <w:t>: Das Heck der Eendracht von 1653.</w:t>
                                <w:br w:type="textWrapping"/>
                                <w:t>Rekonstruktion ©Werner Ulrich, 2013.</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15.90pt;mso-position-horizontal-relative:margin;mso-position-vertical-relative:margin;width:261.70pt;height:329.40pt;z-index:251658271;mso-wrap-distance-left:7.05pt;mso-wrap-distance-top:11.35pt;mso-wrap-distance-right:11.35pt;mso-wrap-distance-bottom:14.15pt" coordorigin="1701,3452" coordsize="5234,6588">
                <v:shape id="Textbox21" o:spid="_x0000_s1046" type="#_x0000_t202" style="position:absolute;left:1701;top:3452;width:5234;height:6036"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JQX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Ansicht von hinten</w:t>
                        </w:r>
                      </w:p>
                      <w:p>
                        <w:pPr>
                          <w:spacing/>
                          <w:jc w:val="center"/>
                          <w:rPr>
                            <w:b/>
                            <w:bCs/>
                            <w:sz w:val="24"/>
                            <w:szCs w:val="24"/>
                          </w:rPr>
                        </w:pPr>
                        <w:r>
                          <w:rPr>
                            <w:b/>
                            <w:bCs/>
                            <w:sz w:val="24"/>
                            <w:szCs w:val="24"/>
                          </w:rPr>
                        </w:r>
                      </w:p>
                      <w:p>
                        <w:pPr>
                          <w:spacing/>
                          <w:jc w:val="center"/>
                          <w:rPr>
                            <w:b/>
                            <w:bCs/>
                            <w:sz w:val="24"/>
                            <w:szCs w:val="24"/>
                          </w:rPr>
                        </w:pPr>
                        <w:r>
                          <w:rPr>
                            <w:b/>
                            <w:bCs/>
                            <w:sz w:val="24"/>
                            <w:szCs w:val="24"/>
                          </w:rPr>
                          <w:t>Der Spiegel der Eendracht 1653/54 -1665</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Spiegel.Jpg</w:t>
                        </w:r>
                      </w:p>
                    </w:txbxContent>
                  </v:textbox>
                </v:shape>
                <v:shape id="Textbox22" o:spid="_x0000_s1047" type="#_x0000_t202" style="position:absolute;left:1701;top:9488;width:5234;height:55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ch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10</w:t>
                          <w:fldChar w:fldCharType="end"/>
                        </w:r>
                        <w:r>
                          <w:t>: Das Heck der Eendracht von 1653.</w:t>
                          <w:br w:type="textWrapping"/>
                          <w:t>Rekonstruktion ©Werner Ulrich, 2013.</w:t>
                        </w:r>
                      </w:p>
                    </w:txbxContent>
                  </v:textbox>
                </v:shape>
                <w10:wrap type="square" anchorx="margin" anchory="margin"/>
              </v:group>
            </w:pict>
          </mc:Fallback>
        </mc:AlternateContent>
      </w:r>
      <w:bookmarkStart w:id="135" w:name="_TOC000126"/>
      <w:r/>
      <w:bookmarkStart w:id="136" w:name="_TOC000060"/>
      <w:r/>
      <w:bookmarkStart w:id="137" w:name="_TOC000128"/>
      <w:r/>
      <w:bookmarkStart w:id="138" w:name="_TOC000295"/>
      <w:r/>
      <w:bookmarkStart w:id="139" w:name="_TOC000251"/>
      <w:r/>
      <w:bookmarkStart w:id="140" w:name="_TOC000218"/>
      <w:r/>
      <w:bookmarkStart w:id="141" w:name="_TOC000185"/>
      <w:r/>
      <w:bookmarkStart w:id="142" w:name="_TOC000137"/>
      <w:r/>
      <w:bookmarkStart w:id="143" w:name="_TOC000101"/>
      <w:r/>
      <w:bookmarkEnd w:id="143"/>
      <w:r/>
      <w:bookmarkEnd w:id="142"/>
      <w:r/>
      <w:bookmarkEnd w:id="141"/>
      <w:r/>
      <w:bookmarkEnd w:id="140"/>
      <w:r/>
      <w:bookmarkEnd w:id="139"/>
      <w:r/>
      <w:bookmarkEnd w:id="138"/>
      <w:r/>
      <w:bookmarkEnd w:id="137"/>
      <w:r/>
      <w:bookmarkStart w:id="144" w:name="_TOC000103"/>
      <w:r/>
      <w:bookmarkEnd w:id="144"/>
      <w:r/>
      <w:bookmarkStart w:id="145" w:name="_TOC000104"/>
      <w:r/>
      <w:bookmarkEnd w:id="145"/>
      <w:r/>
      <w:bookmarkStart w:id="146" w:name="_TOC000139"/>
      <w:r/>
      <w:bookmarkEnd w:id="146"/>
      <w:r/>
      <w:bookmarkEnd w:id="136"/>
      <w:r/>
      <w:bookmarkEnd w:id="135"/>
      <w:r/>
    </w:p>
    <w:p>
      <w:pPr>
        <w:pStyle w:val="para1"/>
      </w:pPr>
      <w:r>
        <w:br w:type="page"/>
      </w:r>
      <w:bookmarkStart w:id="147" w:name="_TOC000077"/>
      <w:r>
        <w:t>Die Bauteile eines Schiffes</w:t>
      </w:r>
      <w:bookmarkEnd w:id="147"/>
      <w:r>
        <w:t>; allgemein</w:t>
      </w:r>
    </w:p>
    <w:p>
      <w:pPr>
        <w:pStyle w:val="para2"/>
      </w:pPr>
      <w:bookmarkStart w:id="148" w:name="_TOC000179"/>
      <w:r>
        <w:t>Der Kiel</w:t>
      </w:r>
      <w:bookmarkEnd w:id="148"/>
      <w:r>
        <w:t>; allgemein</w:t>
      </w:r>
    </w:p>
    <w:p>
      <w:pPr>
        <w:pStyle w:val="para9"/>
      </w:pPr>
      <w:r>
        <w:rPr>
          <w:noProof/>
        </w:rPr>
        <mc:AlternateContent>
          <mc:Choice Requires="wpg">
            <w:drawing>
              <wp:anchor distT="144145" distB="179705" distL="144145" distR="0" simplePos="0" relativeHeight="251658274" behindDoc="0" locked="0" layoutInCell="0" hidden="0" allowOverlap="1">
                <wp:simplePos x="0" y="0"/>
                <wp:positionH relativeFrom="margin">
                  <wp:align>right</wp:align>
                  <wp:posOffset2>0</wp:posOffset2>
                </wp:positionH>
                <wp:positionV relativeFrom="margin">
                  <wp:posOffset>1259840</wp:posOffset>
                </wp:positionV>
                <wp:extent cx="3423920" cy="3112135"/>
                <wp:effectExtent l="0" t="0" r="0" b="0"/>
                <wp:wrapSquare wrapText="bothSides"/>
                <wp:docPr id="34" name="Gruppe13"/>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gAQAAAKIAACAAAAAAAAAAAwAAAAEAAAAAAAAAAAAAAAEAAADABwAAEBUAACUTAAAVAAAAzhIAAC4MAAAoAAAACAAAAAEAAAABAAAA"/>
                          </a:ext>
                        </a:extLst>
                      </wpg:cNvGrpSpPr>
                      <wpg:grpSpPr>
                        <a:xfrm>
                          <a:off x="0" y="0"/>
                          <a:ext cx="3423920" cy="3112135"/>
                          <a:chOff x="0" y="0"/>
                          <a:chExt cx="3423920" cy="3112135"/>
                        </a:xfrm>
                      </wpg:grpSpPr>
                      <wps:wsp>
                        <wps:cNvPr id="35" name="Textbox23"/>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kR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QFQAA2REAAAAAAADOEgAALgwAACgAAAAIAAAAAQAAAAIAAAAwAAAAFAAAAAAAAAAAAP//AAABAAAA//8AAAEA"/>
                            </a:ext>
                          </a:extLst>
                        </wps:cNvSpPr>
                        <wps:spPr>
                          <a:xfrm>
                            <a:off x="0" y="0"/>
                            <a:ext cx="3423920" cy="290131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Kiel-Abmessungen.Pmdx</w:t>
                              </w:r>
                            </w:p>
                            <w:p>
                              <w:pPr>
                                <w:spacing/>
                                <w:jc w:val="center"/>
                                <w:rPr>
                                  <w:b/>
                                  <w:bCs/>
                                  <w:sz w:val="24"/>
                                  <w:szCs w:val="24"/>
                                </w:rPr>
                              </w:pPr>
                              <w:r>
                                <w:rPr>
                                  <w:b/>
                                  <w:bCs/>
                                  <w:sz w:val="24"/>
                                  <w:szCs w:val="24"/>
                                </w:rPr>
                              </w:r>
                            </w:p>
                            <w:p>
                              <w:pPr>
                                <w:spacing/>
                                <w:jc w:val="center"/>
                                <w:rPr>
                                  <w:b/>
                                  <w:bCs/>
                                  <w:sz w:val="24"/>
                                  <w:szCs w:val="24"/>
                                </w:rPr>
                              </w:pPr>
                              <w:r>
                                <w:rPr>
                                  <w:b/>
                                  <w:bCs/>
                                  <w:sz w:val="24"/>
                                  <w:szCs w:val="24"/>
                                </w:rPr>
                              </w:r>
                            </w:p>
                          </w:txbxContent>
                        </wps:txbx>
                        <wps:bodyPr spcFirstLastPara="1" vertOverflow="clip" horzOverflow="clip" upright="1">
                          <a:prstTxWarp prst="textNoShape">
                            <a:avLst/>
                          </a:prstTxWarp>
                          <a:spAutoFit/>
                        </wps:bodyPr>
                      </wps:wsp>
                      <wps:wsp>
                        <wps:cNvPr id="36" name="Textbox24"/>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EB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QFQAATAEAAAAAAADOEgAABx4AACgAAAAIAAAAAQAAAAIAAAAwAAAAFAAAAAAAAAAAAP//AAABAAAA//8AAAEA"/>
                            </a:ext>
                          </a:extLst>
                        </wps:cNvSpPr>
                        <wps:spPr>
                          <a:xfrm>
                            <a:off x="0" y="2901315"/>
                            <a:ext cx="3423920"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2</w:t>
                                <w:fldChar w:fldCharType="end"/>
                              </w:r>
                              <w:r>
                                <w:t>: Die Abmessungen des Kiels.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99.20pt;mso-position-horizontal-relative:margin;mso-position-vertical-relative:margin;width:269.60pt;height:245.05pt;z-index:251658274;mso-wrap-distance-left:11.35pt;mso-wrap-distance-top:11.35pt;mso-wrap-distance-right:0.00pt;mso-wrap-distance-bottom:14.15pt" coordorigin="4814,3118" coordsize="5392,4901">
                <v:shape id="Textbox23" o:spid="_x0000_s1048" type="#_x0000_t202" style="position:absolute;left:4814;top:3118;width:5392;height:4569"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NkR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Kiel-Abmessungen.Pmdx</w:t>
                        </w:r>
                      </w:p>
                      <w:p>
                        <w:pPr>
                          <w:spacing/>
                          <w:jc w:val="center"/>
                          <w:rPr>
                            <w:b/>
                            <w:bCs/>
                            <w:sz w:val="24"/>
                            <w:szCs w:val="24"/>
                          </w:rPr>
                        </w:pPr>
                        <w:r>
                          <w:rPr>
                            <w:b/>
                            <w:bCs/>
                            <w:sz w:val="24"/>
                            <w:szCs w:val="24"/>
                          </w:rPr>
                        </w:r>
                      </w:p>
                      <w:p>
                        <w:pPr>
                          <w:spacing/>
                          <w:jc w:val="center"/>
                          <w:rPr>
                            <w:b/>
                            <w:bCs/>
                            <w:sz w:val="24"/>
                            <w:szCs w:val="24"/>
                          </w:rPr>
                        </w:pPr>
                        <w:r>
                          <w:rPr>
                            <w:b/>
                            <w:bCs/>
                            <w:sz w:val="24"/>
                            <w:szCs w:val="24"/>
                          </w:rPr>
                        </w:r>
                      </w:p>
                    </w:txbxContent>
                  </v:textbox>
                </v:shape>
                <v:shape id="Textbox24" o:spid="_x0000_s1049" type="#_x0000_t202" style="position:absolute;left:4814;top:7687;width:5392;height:332"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EB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2</w:t>
                          <w:fldChar w:fldCharType="end"/>
                        </w:r>
                        <w:r>
                          <w:t>: Die Abmessungen des Kiels.</w:t>
                        </w:r>
                      </w:p>
                    </w:txbxContent>
                  </v:textbox>
                </v:shape>
                <w10:wrap type="square" anchorx="margin" anchory="margin"/>
              </v:group>
            </w:pict>
          </mc:Fallback>
        </mc:AlternateContent>
      </w:r>
      <w:r>
        <w:t>Tragendes Element eines Schiffes war der Kiel. Er wurde, was das Material betraf, immer mit viel Bedacht ausgewählt. Schon früh wurde ein geeigneter Baum ausgewählt, der die Anforderungen erfüllen konnte. Bei kleineren Schiffen versuchte man gerne, den Kiel aus einem einzigen Stamm herzustellen. Ab einer bestimmten Schiffsgröße war das aber nicht mehr möglich, denn schon kurz nach 1600 wurden auf den Holzmärkten kaum noch geeignete Bäume angeboten. Da es sich in der Regel um Eichenholz handelte, kamen die gefällten Bäume häufig über den Rhein in die Niederlande.</w:t>
      </w:r>
    </w:p>
    <w:p>
      <w:pPr>
        <w:pStyle w:val="para9"/>
      </w:pPr>
      <w:r>
        <w:rPr>
          <w:noProof/>
        </w:rPr>
        <mc:AlternateContent>
          <mc:Choice Requires="wpg">
            <w:drawing>
              <wp:anchor distT="0" distB="179705" distL="89535" distR="144145" simplePos="0" relativeHeight="251658283" behindDoc="0" locked="0" layoutInCell="0" hidden="0" allowOverlap="1">
                <wp:simplePos x="0" y="0"/>
                <wp:positionH relativeFrom="margin">
                  <wp:posOffset>-25400</wp:posOffset>
                </wp:positionH>
                <wp:positionV relativeFrom="margin">
                  <wp:posOffset>5065395</wp:posOffset>
                </wp:positionV>
                <wp:extent cx="2722245" cy="3072765"/>
                <wp:effectExtent l="0" t="0" r="0" b="0"/>
                <wp:wrapSquare wrapText="bothSides"/>
                <wp:docPr id="43" name="Gruppe16"/>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hAQAAAKIAACAAAAAAAAAAAAAAAAEAAADY////AAAAAAEAAAApHwAAvxAAAOcSAAAVAAAADwIAAJcjAAAoAAAACAAAAAEAAAABAAAA"/>
                          </a:ext>
                        </a:extLst>
                      </wpg:cNvGrpSpPr>
                      <wpg:grpSpPr>
                        <a:xfrm>
                          <a:off x="0" y="0"/>
                          <a:ext cx="2722245" cy="3072765"/>
                          <a:chOff x="0" y="0"/>
                          <a:chExt cx="2722245" cy="3072765"/>
                        </a:xfrm>
                      </wpg:grpSpPr>
                      <wps:wsp>
                        <wps:cNvPr id="44" name="Textbox30"/>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EAAAvxAAAAAAAAAPAgAAlyMAACgAAAAIAAAAAQAAAAIAAAAwAAAAFAAAAAAAAAAAAP//AAABAAAA//8AAAEA"/>
                            </a:ext>
                          </a:extLst>
                        </wps:cNvSpPr>
                        <wps:spPr>
                          <a:xfrm>
                            <a:off x="0" y="0"/>
                            <a:ext cx="2722245" cy="272224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Galion-2014.Jpg</w:t>
                              </w:r>
                            </w:p>
                          </w:txbxContent>
                        </wps:txbx>
                        <wps:bodyPr spcFirstLastPara="1" vertOverflow="clip" horzOverflow="clip" upright="1">
                          <a:prstTxWarp prst="textNoShape">
                            <a:avLst/>
                          </a:prstTxWarp>
                          <a:spAutoFit/>
                        </wps:bodyPr>
                      </wps:wsp>
                      <wps:wsp>
                        <wps:cNvPr id="45" name="Textbox33"/>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vxA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EAAAKAIAAAAAAAAPAgAAVjQAACgAAAAIAAAAAQAAAAIAAAAwAAAAFAAAAAAAAAAAAP//AAABAAAA//8AAAEA"/>
                            </a:ext>
                          </a:extLst>
                        </wps:cNvSpPr>
                        <wps:spPr>
                          <a:xfrm>
                            <a:off x="0" y="2722245"/>
                            <a:ext cx="2722245" cy="3505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11</w:t>
                                <w:fldChar w:fldCharType="end"/>
                              </w:r>
                              <w:r>
                                <w:t>: Das Galion der Eendracht von 1653.</w:t>
                                <w:br w:type="textWrapping"/>
                                <w:t>Zeichnung ©Werner Ulrich, 2011.</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2.00pt;margin-top:398.85pt;mso-position-horizontal-relative:margin;mso-position-vertical-relative:margin;width:214.35pt;height:241.95pt;z-index:251658283;mso-wrap-distance-left:7.05pt;mso-wrap-distance-right:11.35pt;mso-wrap-distance-bottom:14.15pt" coordorigin="527,9111" coordsize="4287,4839">
                <v:shape id="Textbox30" o:spid="_x0000_s1050" type="#_x0000_t202" style="position:absolute;left:527;top:9111;width:4287;height:4287"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Galion-2014.Jpg</w:t>
                        </w:r>
                      </w:p>
                    </w:txbxContent>
                  </v:textbox>
                </v:shape>
                <v:shape id="Textbox33" o:spid="_x0000_s1051" type="#_x0000_t202" style="position:absolute;left:527;top:13398;width:4287;height:55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vxA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11</w:t>
                          <w:fldChar w:fldCharType="end"/>
                        </w:r>
                        <w:r>
                          <w:t>: Das Galion der Eendracht von 1653.</w:t>
                          <w:br w:type="textWrapping"/>
                          <w:t>Zeichnung ©Werner Ulrich, 2011.</w:t>
                        </w:r>
                      </w:p>
                    </w:txbxContent>
                  </v:textbox>
                </v:shape>
                <w10:wrap type="square" anchorx="margin" anchory="margin"/>
              </v:group>
            </w:pict>
          </mc:Fallback>
        </mc:AlternateContent>
      </w:r>
      <w:r>
        <w:t>Zum Kiel gab es verschiedene Informationen. Ganz wichtig war den Verantwortlichen, dass der Querschnitt im Bereich des Halses fixiert wurde. Waren die Angaben wie die Tiefe in Schiffsquerrichtung zu den Steven aussagefähig genug, wurden nur noch die Höhenangaben des Kiels am vorderen und hinteren Ende angegeben. In der Regel hatte die Höhe im vorderen Bereich einen größeren Wert als hinten. Das hing damit zusammen, dass der Bereich des Achterstevens in Verbindung mit dem großen Knie und des darunter befindlichen Kiels keine allzu große Höhe mehr erforderlich machte. Die hinteren Stecher, also die Spanten, die vertikal auf dem Kiel standen, waren steif genug, um einen in der Höhe dünneren Kiel zu zulassen. Das wussten die Schiffbauer auch ohne aufwendige Berechnungen, die wir heute durchführen könnten. Oft verringerte sich die Höhe unterhalb des Achterstevens um zwei bis vier Daumen des mittleren Wertes. Im Bereich des Vorstevens variierte der Wert stark, fiel aber wesentlich geringer aus als hinten. Hier war die Erfahrung der Verantwortlichen ein wichtiges Kriterium. Denn auch der Kunde wusste im Allgemeinen, was er wollte und verantworten konnte. Konnte ein Kiel nicht aus zwei Einzelteilen hergestellt werden, wurde in den Bestecken schon darauf hingewiesen. Bei einem Kriegsschiff der Größe von 165 Fuß wurde schon im Besteck</w:t>
      </w:r>
      <w:r>
        <w:rPr>
          <w:rStyle w:val="char1"/>
        </w:rPr>
      </w:r>
      <w:r>
        <w:rPr>
          <w:rStyle w:val="char1"/>
        </w:rPr>
        <w:footnoteReference w:id="150"/>
      </w:r>
      <w:r>
        <w:t xml:space="preserve"> festgelegt, dass der Querschnitt bei drei Enden 25 Daumen, bei vier Enden aber schon 27 Daumen betragen musste. Dieses geschah allerdings erst 1666. Im 16. Jahrhundert wurde ein Kiel allgemein aus zwei Teilen gebaut. Die Verantwortlichen legten zu allen Zeiten sehr viel Wert darauf, diese zwei oder drei gewaltigen Balken gut miteinander zu verbinden. Die Verbindung erfolgte mit sogenannten Laschen. Sie bekamen eine Länge zwischen 9 und 11 Fuß. Dabei spielte es keine Rolle, ob es sich um ein kleines oder großes Schiff handelte. Die Befestigung der Laschen war in vielen Bestecken geregelt, sodass hier klare Aussagen gemacht werden können. Zwischen 10 und 13 eiserne Bolzen wurden für eine Lasche eingesetzt.</w:t>
      </w:r>
    </w:p>
    <w:p>
      <w:pPr>
        <w:pStyle w:val="para2"/>
      </w:pPr>
      <w:bookmarkStart w:id="150" w:name="_TOC000216"/>
      <w:r>
        <w:t>Die Kattspuren</w:t>
      </w:r>
      <w:bookmarkEnd w:id="150"/>
      <w:r>
        <w:t>; allgemein</w:t>
      </w:r>
    </w:p>
    <w:p>
      <w:pPr>
        <w:pStyle w:val="para9"/>
      </w:pPr>
      <w:r>
        <w:t>Van Dale, Bd. 2 von 1992, Seite 1391:</w:t>
        <w:tab/>
        <w:br w:type="textWrapping"/>
      </w:r>
      <w:r>
        <w:rPr>
          <w:lang w:val="nl-nl" w:eastAsia="nl-nl" w:bidi="nl-nl"/>
        </w:rPr>
        <w:t>„spoor; ... 2 Scheepsbint:- spantvorming samenstel tegen de wegers onder de kimmen om het doorhangen te voorkomen ...“</w:t>
      </w:r>
      <w:r>
        <w:rPr>
          <w:rStyle w:val="char1"/>
        </w:rPr>
      </w:r>
      <w:r>
        <w:rPr>
          <w:rStyle w:val="char1"/>
        </w:rPr>
        <w:footnoteReference w:id="152"/>
      </w:r>
      <w:r/>
    </w:p>
    <w:p>
      <w:pPr>
        <w:pStyle w:val="para2"/>
      </w:pPr>
      <w:bookmarkStart w:id="152" w:name="_TOC000071"/>
      <w:r>
        <w:t>Das Heck der Schiffe</w:t>
      </w:r>
      <w:bookmarkEnd w:id="152"/>
      <w:r>
        <w:t>; allgemein</w:t>
      </w:r>
    </w:p>
    <w:p>
      <w:pPr>
        <w:pStyle w:val="para9"/>
      </w:pPr>
      <w:r>
        <w:t>Im Gegensatz zu den Heckformen des 17. und 18. Jahrhunderts war das untere Heck des 16. Jahrhunderts noch tiefer zum Kiel hin gezogen. Einige Bestecke weisen darauf hin, zum Beispiel ein Oorlogscreveel aus dem Jahre 1606</w:t>
      </w:r>
      <w:r>
        <w:rPr>
          <w:rStyle w:val="char1"/>
        </w:rPr>
      </w:r>
      <w:r>
        <w:rPr>
          <w:rStyle w:val="char1"/>
        </w:rPr>
        <w:footnoteReference w:id="154"/>
      </w:r>
      <w:r>
        <w:t>. Hatte man im 17. Jahrhundert die Vorstellung, dass die halbe Heckbalkenlänge einen ungefähren Viertelkreis für den unteren Spiegel ergab, ging es den Verantwortlichen des 16. Jahrhunderts darum, den unteren Spiegel möglichst weit nach unten zu ziehen. In besagtem Besteck gab es eine Achterstevenlänge (an der Hinterkante gemessen) von 13 Fuß mit einem Fall nach hinten von 4 Fuß. Die nicht genannten Randsomhölzer wurden in einer Höhe von 5 Fuß in den Achtersteven eingelassen. Das sind etwa 2/5 der Achterstevenlänge. Bei einem Oorlogschip aus dem Jahre 1603</w:t>
      </w:r>
      <w:r>
        <w:rPr>
          <w:rStyle w:val="char1"/>
        </w:rPr>
      </w:r>
      <w:r>
        <w:rPr>
          <w:rStyle w:val="char1"/>
        </w:rPr>
        <w:footnoteReference w:id="155"/>
      </w:r>
      <w:r>
        <w:t xml:space="preserve"> wurde ein Achtersteven mit einer Länge von 20 1/2 Fuß gesetzt. Hier wurden die Randsomhölzer in 9 Fuß Höhe in den Achtersteven eingelassen. Das sind etwa 3/7 der Achterstevenlänge.</w:t>
      </w:r>
      <w:bookmarkStart w:id="155" w:name="_TOC000008"/>
      <w:r/>
    </w:p>
    <w:p>
      <w:pPr>
        <w:pStyle w:val="para2"/>
      </w:pPr>
      <w:r>
        <w:rPr>
          <w:noProof/>
        </w:rPr>
        <mc:AlternateContent>
          <mc:Choice Requires="wpg">
            <w:drawing>
              <wp:anchor distT="89535" distB="179705" distL="89535" distR="144145" simplePos="0" relativeHeight="251658277" behindDoc="0" locked="0" layoutInCell="0" hidden="0" allowOverlap="1">
                <wp:simplePos x="0" y="0"/>
                <wp:positionH relativeFrom="margin">
                  <wp:align>left</wp:align>
                </wp:positionH>
                <wp:positionV relativeFrom="margin">
                  <wp:align>top</wp:align>
                </wp:positionV>
                <wp:extent cx="2722245" cy="2933065"/>
                <wp:effectExtent l="0" t="0" r="0" b="0"/>
                <wp:wrapSquare wrapText="bothSides"/>
                <wp:docPr id="37" name="Gruppe14"/>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mAQAAAKIAACAAAAAAAAAAAQAAAAEAAAAAAAAAAQAAAAEAAAAAAAAAvxAAAAsSAAAWAAAApQYAAG4EAAAoAAAACAAAAAEAAAABAAAA"/>
                          </a:ext>
                        </a:extLst>
                      </wpg:cNvGrpSpPr>
                      <wpg:grpSpPr>
                        <a:xfrm>
                          <a:off x="0" y="0"/>
                          <a:ext cx="2722245" cy="2933065"/>
                          <a:chOff x="0" y="0"/>
                          <a:chExt cx="2722245" cy="2933065"/>
                        </a:xfrm>
                      </wpg:grpSpPr>
                      <wps:wsp>
                        <wps:cNvPr id="38" name="Textbox25"/>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EAAAvxAAAAAAAAClBgAAbgQAACgAAAAIAAAAAQAAAAIAAAAwAAAAFAAAAAAAAAAAAP//AAABAAAA//8AAAEA"/>
                            </a:ext>
                          </a:extLst>
                        </wps:cNvSpPr>
                        <wps:spPr>
                          <a:xfrm>
                            <a:off x="0" y="0"/>
                            <a:ext cx="2722245" cy="272224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Heckbalken.dmdx</w:t>
                              </w:r>
                            </w:p>
                          </w:txbxContent>
                        </wps:txbx>
                        <wps:bodyPr spcFirstLastPara="1" vertOverflow="clip" horzOverflow="clip" upright="1">
                          <a:prstTxWarp prst="textNoShape">
                            <a:avLst/>
                          </a:prstTxWarp>
                          <a:spAutoFit/>
                        </wps:bodyPr>
                      </wps:wsp>
                      <wps:wsp>
                        <wps:cNvPr id="39" name="Textbox31"/>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vxA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EAAATAEAAAAAAAClBgAALRUAACgAAAAIAAAAAQAAAAIAAAAwAAAAFAAAAAAAAAAAAP//AAABAAAA//8AAAEA"/>
                            </a:ext>
                          </a:extLst>
                        </wps:cNvSpPr>
                        <wps:spPr>
                          <a:xfrm>
                            <a:off x="0" y="2722245"/>
                            <a:ext cx="2722245"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3</w:t>
                                <w:fldChar w:fldCharType="end"/>
                              </w:r>
                              <w:r>
                                <w:t>: Das Heck</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214.35pt;height:230.95pt;z-index:251658277;mso-wrap-distance-left:7.05pt;mso-wrap-distance-top:7.05pt;mso-wrap-distance-right:11.35pt;mso-wrap-distance-bottom:14.15pt" coordorigin="1701,1134" coordsize="4287,4619">
                <v:shape id="Textbox25" o:spid="_x0000_s1052" type="#_x0000_t202" style="position:absolute;left:1701;top:1134;width:4287;height:4287"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Heckbalken.dmdx</w:t>
                        </w:r>
                      </w:p>
                    </w:txbxContent>
                  </v:textbox>
                </v:shape>
                <v:shape id="Textbox31" o:spid="_x0000_s1053" type="#_x0000_t202" style="position:absolute;left:1701;top:5421;width:4287;height:332"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vxA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3</w:t>
                          <w:fldChar w:fldCharType="end"/>
                        </w:r>
                        <w:r>
                          <w:t>: Das Heck</w:t>
                        </w:r>
                      </w:p>
                    </w:txbxContent>
                  </v:textbox>
                </v:shape>
                <w10:wrap type="square" anchorx="margin" anchory="margin"/>
              </v:group>
            </w:pict>
          </mc:Fallback>
        </mc:AlternateContent>
      </w:r>
      <w:bookmarkStart w:id="156" w:name="_TOC000018"/>
      <w:r>
        <w:t>Die Veränderungen am Heck</w:t>
      </w:r>
      <w:bookmarkEnd w:id="155"/>
      <w:r/>
      <w:bookmarkEnd w:id="156"/>
      <w:r>
        <w:t>; allgemein</w:t>
      </w:r>
    </w:p>
    <w:p>
      <w:pPr>
        <w:pStyle w:val="para9"/>
      </w:pPr>
      <w:r>
        <w:rPr>
          <w:noProof/>
        </w:rPr>
        <mc:AlternateContent>
          <mc:Choice Requires="wpg">
            <w:drawing>
              <wp:anchor distT="144145" distB="179705" distL="144145" distR="0" simplePos="0" relativeHeight="251658280" behindDoc="0" locked="0" layoutInCell="0" hidden="0" allowOverlap="1">
                <wp:simplePos x="0" y="0"/>
                <wp:positionH relativeFrom="margin">
                  <wp:align>right</wp:align>
                  <wp:posOffset2>0</wp:posOffset2>
                </wp:positionH>
                <wp:positionV relativeFrom="margin">
                  <wp:posOffset>3959860</wp:posOffset>
                </wp:positionV>
                <wp:extent cx="2722245" cy="2933065"/>
                <wp:effectExtent l="0" t="0" r="0" b="0"/>
                <wp:wrapSquare wrapText="bothSides"/>
                <wp:docPr id="40" name="Gruppe15"/>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nAQAAAKIAACAAAAAAAAAAAwAAAAEAAAAAAAAAAAAAAAEAAABcGAAAvxAAAAsSAAAWAAAAjRsAAMocAAAoAAAACAAAAAEAAAABAAAA"/>
                          </a:ext>
                        </a:extLst>
                      </wpg:cNvGrpSpPr>
                      <wpg:grpSpPr>
                        <a:xfrm>
                          <a:off x="0" y="0"/>
                          <a:ext cx="2722245" cy="2933065"/>
                          <a:chOff x="0" y="0"/>
                          <a:chExt cx="2722245" cy="2933065"/>
                        </a:xfrm>
                      </wpg:grpSpPr>
                      <wps:wsp>
                        <wps:cNvPr id="41" name="Textbox29"/>
                        <wps:cNvSpPr txBox="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EAAAvxAAAAAAAACNGwAAyhwAACgAAAAIAAAAAQAAAAIAAAAwAAAAFAAAAAAAAAAAAP//AAABAAAA//8AAAEA"/>
                            </a:ext>
                          </a:extLst>
                        </wps:cNvSpPr>
                        <wps:spPr>
                          <a:xfrm>
                            <a:off x="0" y="0"/>
                            <a:ext cx="2722245" cy="272224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Unterer-Spiegel.dmdx</w:t>
                              </w:r>
                            </w:p>
                          </w:txbxContent>
                        </wps:txbx>
                        <wps:bodyPr spcFirstLastPara="1" vertOverflow="clip" horzOverflow="clip" upright="1">
                          <a:prstTxWarp prst="textNoShape">
                            <a:avLst/>
                          </a:prstTxWarp>
                          <a:spAutoFit/>
                        </wps:bodyPr>
                      </wps:wsp>
                      <wps:wsp>
                        <wps:cNvPr id="42" name="Textbox32"/>
                        <wps:cNvSpPr txBox="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vxA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EAAATAEAAAAAAACNGwAAiS0AACgAAAAIAAAAAQAAAAIAAAAwAAAAFAAAAAAAAAAAAP//AAABAAAA//8AAAEA"/>
                            </a:ext>
                          </a:extLst>
                        </wps:cNvSpPr>
                        <wps:spPr>
                          <a:xfrm>
                            <a:off x="0" y="2722245"/>
                            <a:ext cx="2722245"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4</w:t>
                                <w:fldChar w:fldCharType="end"/>
                              </w:r>
                              <w:r>
                                <w:t>: Der untere Spiegel.</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311.80pt;mso-position-horizontal-relative:margin;mso-position-vertical-relative:margin;width:214.35pt;height:230.95pt;z-index:251658280;mso-wrap-distance-left:11.35pt;mso-wrap-distance-top:11.35pt;mso-wrap-distance-right:0.00pt;mso-wrap-distance-bottom:14.15pt" coordorigin="7053,7370" coordsize="4287,4619">
                <v:shape id="Textbox29" o:spid="_x0000_s1054" type="#_x0000_t202" style="position:absolute;left:7053;top:7370;width:4287;height:4287"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8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Unterer-Spiegel.dmdx</w:t>
                        </w:r>
                      </w:p>
                    </w:txbxContent>
                  </v:textbox>
                </v:shape>
                <v:shape id="Textbox32" o:spid="_x0000_s1055" type="#_x0000_t202" style="position:absolute;left:7053;top:11657;width:4287;height:332"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vxA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4</w:t>
                          <w:fldChar w:fldCharType="end"/>
                        </w:r>
                        <w:r>
                          <w:t>: Der untere Spiegel.</w:t>
                        </w:r>
                      </w:p>
                    </w:txbxContent>
                  </v:textbox>
                </v:shape>
                <w10:wrap type="square" anchorx="margin" anchory="margin"/>
              </v:group>
            </w:pict>
          </mc:Fallback>
        </mc:AlternateContent>
      </w:r>
      <w:r>
        <w:t xml:space="preserve">Es ist schwer, einzuordnen, wann die Schiffbauer sich der neuen Heckform zuwandten. War es noch um 1600 mehr als üblich, oberhalb des unteren Spiegels zwei Gillungen und darüber dann einen kleinen oberen Spiegel zu gestalten, änderte sich die Sichtweise in der Zeit nach 1600. Die Aemilia ist eines der ersten bekannten Kriegsschiffe mit dem später als Standard ausgeführten neuen Heck. Nun gab es nur noch eine kleine Gillung oberhalb des Heckbalkens. Gerade so ausgeführt, dass das Ruder ein und ausgehängt werden konnte. Darauf folgten dann einige </w:t>
      </w:r>
      <w:r>
        <w:rPr>
          <w:b/>
          <w:bCs/>
          <w:color w:val="0000ff"/>
        </w:rPr>
        <w:t>Hackeborde</w:t>
      </w:r>
      <w:r>
        <w:rPr>
          <w:b/>
          <w:bCs/>
          <w:color w:val="0000ff"/>
        </w:rPr>
        <w:fldChar w:fldCharType="begin"/>
        <w:instrText xml:space="preserve">XE "Hackeborde"</w:instrText>
        <w:fldChar w:fldCharType="end"/>
      </w:r>
      <w:r>
        <w:t>, die den oberen Spiegel optisch aufteilten. Die sich eventuell dahinter verbergende Logik ist leider nicht überliefert. Möglich, dass man irgendwann erkannt hatte, dass die enorm hohen Aufbauten des 15. und 16. Jahrhunderts durch die Weiterentwicklung des Geschützwesens nicht mehr erforderlich waren. Es könnte auch sein, dass die hohen Aufbauten dieser waffentechnischen Entwicklung im Wege standen. Schauen wir uns zu diesem Zweck ganz kurz die Bemühungen um das erste große Flottenbauprogramm der Jahre 1653-1655 an. Die kleinen Kriegsschiffe in der Größenordnung von 130 Fuß Länge hatten in der Planungsphase weder Halb- noch Backdeck. Selbst frühere Kriegsschiffe der 40er Jahre hatten oft weder Halb- noch Backdeck. Man hatte vermutlich die Schiffsstruktur der neuen Sichtweise angepasst und auf wesentliche Bestandteile eines Schiffes reduziert.</w:t>
      </w:r>
    </w:p>
    <w:p>
      <w:pPr>
        <w:pStyle w:val="para2"/>
      </w:pPr>
      <w:bookmarkStart w:id="157" w:name="_TOC000076"/>
      <w:r>
        <w:t>Das Galion</w:t>
      </w:r>
      <w:bookmarkEnd w:id="157"/>
      <w:r>
        <w:t>; allgemein</w:t>
      </w:r>
    </w:p>
    <w:p>
      <w:pPr>
        <w:pStyle w:val="para9"/>
      </w:pPr>
      <w:r>
        <w:t>Schon vor 1600 hatten viele, vor allem größere Schiffe ein Galion. Es befand sich im Vorschiff und ragte einige Fuß über den Vorsteven hinaus. Die eingesehenen Bestecke vermelden ab und an etwas dazu. In einem Besteck eines 132-Fuß-Schiffs</w:t>
      </w:r>
      <w:r>
        <w:rPr>
          <w:rStyle w:val="char1"/>
        </w:rPr>
      </w:r>
      <w:r>
        <w:rPr>
          <w:rStyle w:val="char1"/>
        </w:rPr>
        <w:footnoteReference w:id="159"/>
      </w:r>
      <w:r>
        <w:t xml:space="preserve"> von 1598 wollte man ein Galion mit einer Länge von 27 Fuß haben. Das entsprach in etwa 1/5 der Schiffslänge über die Steven.</w:t>
      </w:r>
    </w:p>
    <w:p>
      <w:pPr>
        <w:pStyle w:val="para9"/>
      </w:pPr>
      <w:r>
        <w:t>Im Laufe des 17. Jahrhunderts verringerte sich die Länge des Galions zusehends.</w:t>
      </w:r>
    </w:p>
    <w:p>
      <w:pPr>
        <w:pStyle w:val="para2"/>
      </w:pPr>
      <w:bookmarkStart w:id="159" w:name="_TOC000027"/>
      <w:r>
        <w:t>Die Außenhaut</w:t>
      </w:r>
      <w:bookmarkEnd w:id="159"/>
      <w:r>
        <w:t>; allgemein</w:t>
      </w:r>
    </w:p>
    <w:p>
      <w:pPr>
        <w:pStyle w:val="para9"/>
      </w:pPr>
      <w:r>
        <w:t>Zu den Längen</w:t>
      </w:r>
      <w:r>
        <w:rPr>
          <w:rStyle w:val="char1"/>
        </w:rPr>
      </w:r>
      <w:r>
        <w:rPr>
          <w:rStyle w:val="char1"/>
        </w:rPr>
        <w:footnoteReference w:id="161"/>
      </w:r>
      <w:r>
        <w:t xml:space="preserve"> der einzelnen Planken gibt es nicht viel zu berichten. Es gibt in den Bestecken vereinzelte Angaben dazu. 36 bis 40 Fuß war aber ein gutes Längenmaß. Die Breite der Planken richtete sich aber stark nach der Form des Schiffes und dem vorhandenen Material. Es gibt Bestecke, die die maximale Breite vorgeschrieben haben. Die Breiten schwankten dann zwischen 11 und 15 Daumen. Die Stärke der Planken hing aber von der Größe der Schiffe ab. Bei kleineren Schiffen lag dieses Maß bei 2 bis 2 1/2 Daumen, bei den ganz großen Schiffen zwischen 4 und 4 1/2 Daumen.</w:t>
      </w:r>
    </w:p>
    <w:p>
      <w:pPr>
        <w:pStyle w:val="para9"/>
      </w:pPr>
      <w:r>
        <w:t>Die Befestigung der Planken an die Innenhölzer wurde gelegentlich erwähnt. Meist wollte man auf einen Fuß Plankenbreite bis zu drei Holznägel verarbeiten. Hier war natürlich die Breite der Planke ausschlaggebend.</w:t>
      </w:r>
    </w:p>
    <w:p>
      <w:pPr>
        <w:pStyle w:val="para9"/>
        <w:rPr>
          <w:b/>
          <w:bCs/>
          <w:color w:val="ff0000"/>
        </w:rPr>
      </w:pPr>
      <w:r>
        <w:rPr>
          <w:b/>
          <w:bCs/>
          <w:color w:val="ff0000"/>
        </w:rPr>
        <w:t>Den Absatz um Details der Außenhaut ergänzen.</w:t>
      </w:r>
    </w:p>
    <w:p>
      <w:pPr>
        <w:pStyle w:val="para2"/>
      </w:pPr>
      <w:bookmarkStart w:id="161" w:name="_TOC000043"/>
      <w:r>
        <w:t>Die Berghölzer</w:t>
      </w:r>
      <w:bookmarkEnd w:id="161"/>
      <w:r>
        <w:t>; allgemein</w:t>
      </w:r>
    </w:p>
    <w:p>
      <w:pPr>
        <w:pStyle w:val="para9"/>
      </w:pPr>
      <w:r>
        <w:t>Das Oorlogschip vom 13. Mai 1625 mit einer Länge von 115 Fuß bekam schon, oder noch, drei Berghölzer</w:t>
      </w:r>
      <w:r>
        <w:rPr>
          <w:rStyle w:val="char1"/>
        </w:rPr>
      </w:r>
      <w:r>
        <w:rPr>
          <w:rStyle w:val="char1"/>
        </w:rPr>
        <w:footnoteReference w:id="163"/>
      </w:r>
      <w:r>
        <w:t xml:space="preserve"> unterhalb der unteren Geschützpforten angeordnet. Bei der Eendracht</w:t>
      </w:r>
      <w:r>
        <w:fldChar w:fldCharType="begin"/>
        <w:instrText xml:space="preserve">XE "Eendracht"</w:instrText>
        <w:fldChar w:fldCharType="end"/>
      </w:r>
      <w:r>
        <w:t xml:space="preserve"> und der Groot Holland</w:t>
      </w:r>
      <w:r>
        <w:fldChar w:fldCharType="begin"/>
        <w:instrText xml:space="preserve">XE "Groot Holland"</w:instrText>
        <w:fldChar w:fldCharType="end"/>
      </w:r>
      <w:r>
        <w:rPr>
          <w:rStyle w:val="char1"/>
        </w:rPr>
      </w:r>
      <w:r>
        <w:rPr>
          <w:rStyle w:val="char1"/>
        </w:rPr>
        <w:footnoteReference w:id="164"/>
      </w:r>
      <w:r>
        <w:t xml:space="preserve"> sehen wir noch unterhalb der Pforten drei Berghölzer, wobei laut Besteck nur noch zwei vorgesehen waren. Hier hatte sicher die Tradition gesiegt und der Schiffbauer der Eendracht, der ja aus Dordrecht kam, konnte nicht über seinen Schatten springen, um das untere, nicht mehr erforderliche Bergholz wegzulassen. Aber wenn wir uns die Vasa</w:t>
      </w:r>
      <w:r>
        <w:rPr>
          <w:rStyle w:val="char1"/>
        </w:rPr>
      </w:r>
      <w:r>
        <w:rPr>
          <w:rStyle w:val="char1"/>
        </w:rPr>
        <w:footnoteReference w:id="165"/>
      </w:r>
      <w:r/>
      <w:r>
        <w:fldChar w:fldCharType="begin"/>
        <w:instrText xml:space="preserve">XE "Vasa"</w:instrText>
        <w:fldChar w:fldCharType="end"/>
      </w:r>
      <w:r>
        <w:t xml:space="preserve"> anschauen, die ja auch in den 20er</w:t>
        <w:noBreakHyphen/>
        <w:t>Jahren des 17. Jahrhunderts gebaut worden ist, sehen wir sogar 4 Berghölzer unterhalb der Stückpforten. Und die Berghölzer wurden nicht durch die Öffnungen der Pforten geschwächt. Ebenfalls finden wir auch bei diesem Schiff die Bauweise mit den Stützen an der Wegerung.</w:t>
      </w:r>
    </w:p>
    <w:p>
      <w:pPr>
        <w:pStyle w:val="para9"/>
      </w:pPr>
      <w:r>
        <w:t>Vermutlich hat sich im Laufe der Zeit herausgestellt, dass die große Anzahl der Berghölzer unterhalb der Pforten nicht notwendig waren, denn im Laufe der ersten Hälfte des 17. Jahrhunderts reduzierte man sie auf zwei.</w:t>
      </w:r>
    </w:p>
    <w:p>
      <w:pPr>
        <w:pStyle w:val="para9"/>
      </w:pPr>
      <w:r>
        <w:t>Für die Länge der Laschen der Außenhautplanken hatte man vor 1600 und auch bis in die 20er-Jahre des 17. Jahrhunderts noch eine praktikable Lösung in den Bestecken niedergeschrieben. Sie lautete sinngemäß, dass die Lasche über 3, 4 oder auch 5 Innenhölzern reichen sollte. Das hatte ganz praktische Gründe. Man wollte erreichen, dass die Stoßflächen der Laschen immer auf der Mitte eines Spants entstanden. Nach etwa 1620 änderte sich die Sichtweise der verantwortlichen Personen. Man wollte nun, dass die Laschen eine gewisse Länge bekamen, und zwar 4, 5 Fuß oder ein anderes Maß.</w:t>
      </w:r>
    </w:p>
    <w:p>
      <w:pPr>
        <w:pStyle w:val="para9"/>
      </w:pPr>
      <w:r>
        <w:t>Es kann natürlich sein, dass sich die Abmessungen der Innenhölzer über die Jahrzehnte kaum geändert haben. Ähnlich verhielt es sich auch mit dem Abstand der Innenhölzer zueinander. So war es sicher gerechtfertigt, ein festes Maß zu fordern.</w:t>
      </w:r>
    </w:p>
    <w:p>
      <w:pPr>
        <w:pStyle w:val="para1"/>
      </w:pPr>
      <w:bookmarkStart w:id="165" w:name="_TOC000028"/>
      <w:r>
        <w:t>Die Decks</w:t>
      </w:r>
      <w:bookmarkEnd w:id="165"/>
      <w:r>
        <w:t>; allgemein</w:t>
      </w:r>
    </w:p>
    <w:p>
      <w:pPr>
        <w:pStyle w:val="para9"/>
      </w:pPr>
      <w:r>
        <w:t>Jedes Schiff hatte auch mindestens ein Deck, also eine Einrichtung, die es erlaubte, sich darauf zu bewegen. Unterhalb des Decks konnten Räumlichkeiten eingerichtet werden. Auch, und vor allem aber befand sich unterhalb des unteren Decks der Laderaum.</w:t>
      </w:r>
    </w:p>
    <w:p>
      <w:pPr>
        <w:pStyle w:val="para2"/>
      </w:pPr>
      <w:r>
        <w:rPr>
          <w:noProof/>
        </w:rPr>
        <mc:AlternateContent>
          <mc:Choice Requires="wpg">
            <w:drawing>
              <wp:anchor distT="144145" distB="179705" distL="144145" distR="0" simplePos="0" relativeHeight="251658286" behindDoc="0" locked="0" layoutInCell="0" hidden="0" allowOverlap="1">
                <wp:simplePos x="0" y="0"/>
                <wp:positionH relativeFrom="margin">
                  <wp:align>right</wp:align>
                  <wp:posOffset2>0</wp:posOffset2>
                </wp:positionH>
                <wp:positionV relativeFrom="margin">
                  <wp:posOffset>3599815</wp:posOffset>
                </wp:positionV>
                <wp:extent cx="3108960" cy="3724275"/>
                <wp:effectExtent l="0" t="0" r="0" b="0"/>
                <wp:wrapSquare wrapText="bothSides"/>
                <wp:docPr id="46" name="Gruppe17"/>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2AQAAAKIAACAAAAAAAAAAAwAAAAEAAAAAAAAAAAAAAAEAAAAlFgAAIBMAAOkWAAAYAAAALBkAAJMaAAAoAAAACAAAAAEAAAABAAAA"/>
                          </a:ext>
                        </a:extLst>
                      </wpg:cNvGrpSpPr>
                      <wpg:grpSpPr>
                        <a:xfrm>
                          <a:off x="0" y="0"/>
                          <a:ext cx="3108960" cy="3724275"/>
                          <a:chOff x="0" y="0"/>
                          <a:chExt cx="3108960" cy="3724275"/>
                        </a:xfrm>
                      </wpg:grpSpPr>
                      <wps:wsp>
                        <wps:cNvPr id="47" name="Textbox34"/>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EU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gEwAAwRQAAAAAAAAsGQAAkxoAACgAAAAIAAAAAQAAAAIAAAAwAAAAFAAAAAAAAAAAAP//AAABAAAA//8AAAEA"/>
                            </a:ext>
                          </a:extLst>
                        </wps:cNvSpPr>
                        <wps:spPr>
                          <a:xfrm>
                            <a:off x="0" y="0"/>
                            <a:ext cx="3108960" cy="337375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Befestigung-Außenhaut.Jpg</w:t>
                              </w:r>
                            </w:p>
                          </w:txbxContent>
                        </wps:txbx>
                        <wps:bodyPr spcFirstLastPara="1" vertOverflow="clip" horzOverflow="clip" upright="1">
                          <a:prstTxWarp prst="textNoShape">
                            <a:avLst/>
                          </a:prstTxWarp>
                          <a:spAutoFit/>
                        </wps:bodyPr>
                      </wps:wsp>
                      <wps:wsp>
                        <wps:cNvPr id="48" name="Textbox35"/>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BM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AgEwAAKAIAAAAAAAAsGQAAVC8AACgAAAAIAAAAAQAAAAIAAAAwAAAAFAAAAAAAAAAAAP//AAABAAAA//8AAAEA"/>
                            </a:ext>
                          </a:extLst>
                        </wps:cNvSpPr>
                        <wps:spPr>
                          <a:xfrm>
                            <a:off x="0" y="3373755"/>
                            <a:ext cx="3108960" cy="3505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12</w:t>
                                <w:fldChar w:fldCharType="end"/>
                              </w:r>
                              <w:r>
                                <w:t>: Befestigung der Außenhautplanken.</w:t>
                                <w:br w:type="textWrapping"/>
                                <w:t>Zeichnung ©Werner Ulrich, 2001.</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283.45pt;mso-position-horizontal-relative:margin;mso-position-vertical-relative:margin;width:244.80pt;height:293.25pt;z-index:251658286;mso-wrap-distance-left:11.35pt;mso-wrap-distance-top:11.35pt;mso-wrap-distance-right:0.00pt;mso-wrap-distance-bottom:14.15pt" coordorigin="6444,6803" coordsize="4896,5865">
                <v:shape id="Textbox34" o:spid="_x0000_s1056" type="#_x0000_t202" style="position:absolute;left:6444;top:6803;width:4896;height:5313"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MEU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Befestigung-Außenhaut.Jpg</w:t>
                        </w:r>
                      </w:p>
                    </w:txbxContent>
                  </v:textbox>
                </v:shape>
                <v:shape id="Textbox35" o:spid="_x0000_s1057" type="#_x0000_t202" style="position:absolute;left:6444;top:12116;width:4896;height:55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BM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12</w:t>
                          <w:fldChar w:fldCharType="end"/>
                        </w:r>
                        <w:r>
                          <w:t>: Befestigung der Außenhautplanken.</w:t>
                          <w:br w:type="textWrapping"/>
                          <w:t>Zeichnung ©Werner Ulrich, 2001.</w:t>
                        </w:r>
                      </w:p>
                    </w:txbxContent>
                  </v:textbox>
                </v:shape>
                <w10:wrap type="square" anchorx="margin" anchory="margin"/>
              </v:group>
            </w:pict>
          </mc:Fallback>
        </mc:AlternateContent>
      </w:r>
      <w:bookmarkStart w:id="166" w:name="_TOC000075"/>
      <w:r>
        <w:t>Die Decksbalken</w:t>
      </w:r>
      <w:bookmarkEnd w:id="166"/>
      <w:r/>
    </w:p>
    <w:p>
      <w:pPr>
        <w:pStyle w:val="para9"/>
      </w:pPr>
      <w:r>
        <w:t>Während der frühen Zeit vor und um 1600 wurden die Abstände der Decksbalken noch unterschiedlich gehandhabt. Man kann vorsichtig ablesen, dass es noch keine einheitliche Sichtweise gab. In den 30er-Jahren des 17. Jahrhunderts wurden die Decksbalken des Überlaufs dann meist in einem Abstand von 3 1/2 Fuß zueinander gelegt. Die Decksbalken der Kuhbrücke, also dem Deck über dem Überlauf, legte man meist 4 1/2 Fuß auseinander.</w:t>
      </w:r>
    </w:p>
    <w:p>
      <w:pPr>
        <w:pStyle w:val="para9"/>
      </w:pPr>
      <w:r>
        <w:t>Im Laufe des 17. Jahrhunderts wurden dann die Decksbalken beider Decks einheitlich mit 3 1/2 Fuß Abstand festgelegt. Diese Sichtweise reichte bis in das 18. Jahrhundert hinein.</w:t>
      </w:r>
    </w:p>
    <w:p>
      <w:pPr>
        <w:pStyle w:val="para9"/>
      </w:pPr>
      <w:r>
        <w:t>Die Decksbalkenbucht, also die Rundung des Decks, wurde unterschiedlich gesehen. Angaben von 5 bis 9 Daumen waren keine Ausnahme. Die Kuhbrücke, also das obere durchlaufende Deck bekam in der Regel eine größere Bucht als der Überlauf darunter zugewiesen. Auf diesem Deck sammelte sich ja auch das überkommende Wasser. Man fertigte sich vom längsten Decksbalken ein Mall mit der entsprechenden Balkenbucht. Dieses Mall wurde dann bei jedem Decksbalken als Schablone genutzt. So erhielten alle Decksbalken eine einheitliche Bucht.</w:t>
      </w:r>
    </w:p>
    <w:p>
      <w:pPr>
        <w:pStyle w:val="para9"/>
      </w:pPr>
      <w:r>
        <w:rPr>
          <w:noProof/>
        </w:rPr>
        <mc:AlternateContent>
          <mc:Choice Requires="wpg">
            <w:drawing>
              <wp:anchor distT="144145" distB="179705" distL="89535" distR="144145" simplePos="0" relativeHeight="251658289" behindDoc="0" locked="0" layoutInCell="0" hidden="0" allowOverlap="1">
                <wp:simplePos x="0" y="0"/>
                <wp:positionH relativeFrom="margin">
                  <wp:align>left</wp:align>
                </wp:positionH>
                <wp:positionV relativeFrom="margin">
                  <wp:posOffset>899795</wp:posOffset>
                </wp:positionV>
                <wp:extent cx="4126230" cy="2693035"/>
                <wp:effectExtent l="0" t="0" r="0" b="0"/>
                <wp:wrapSquare wrapText="bothSides"/>
                <wp:docPr id="49" name="Gruppe18"/>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6AQAAAKIAACAAAAAAAAAAAQAAAAEAAAAAAAAAAAAAAAEAAACJBQAAYhkAAJEQAAAYAAAApQYAAPcJAAAoAAAACAAAAAEAAAABAAAA"/>
                          </a:ext>
                        </a:extLst>
                      </wpg:cNvGrpSpPr>
                      <wpg:grpSpPr>
                        <a:xfrm>
                          <a:off x="0" y="0"/>
                          <a:ext cx="4126230" cy="2693035"/>
                          <a:chOff x="0" y="0"/>
                          <a:chExt cx="4126230" cy="2693035"/>
                        </a:xfrm>
                      </wpg:grpSpPr>
                      <wps:wsp>
                        <wps:cNvPr id="50" name="Textbox36"/>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k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iGQAAaQ4AAAAAAAClBgAA9wkAACgAAAAIAAAAAQAAAAIAAAAwAAAAFAAAAAAAAAAAAP//AAABAAAA//8AAAEA"/>
                            </a:ext>
                          </a:extLst>
                        </wps:cNvSpPr>
                        <wps:spPr>
                          <a:xfrm>
                            <a:off x="0" y="0"/>
                            <a:ext cx="4126230" cy="234251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Steunder-im-Raum.JPG</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txbxContent>
                        </wps:txbx>
                        <wps:bodyPr spcFirstLastPara="1" vertOverflow="clip" horzOverflow="clip" upright="1">
                          <a:prstTxWarp prst="textNoShape">
                            <a:avLst/>
                          </a:prstTxWarp>
                          <a:spAutoFit/>
                        </wps:bodyPr>
                      </wps:wsp>
                      <wps:wsp>
                        <wps:cNvPr id="51" name="Textbox37"/>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Yhk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iGQAAKAIAAAAAAAClBgAAYBgAACgAAAAIAAAAAQAAAAIAAAAwAAAAFAAAAAAAAAAAAP//AAABAAAA//8AAAEA"/>
                            </a:ext>
                          </a:extLst>
                        </wps:cNvSpPr>
                        <wps:spPr>
                          <a:xfrm>
                            <a:off x="0" y="2342515"/>
                            <a:ext cx="4126230" cy="3505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13</w:t>
                                <w:fldChar w:fldCharType="end"/>
                              </w:r>
                              <w:r>
                                <w:t>: Ausführung der Scheerstöcke.</w:t>
                                <w:br w:type="textWrapping"/>
                                <w:t>Zeichnung ©Werner Ulrich,2014.</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70.85pt;mso-position-horizontal-relative:margin;mso-position-vertical-relative:margin;width:324.90pt;height:212.05pt;z-index:251658289;mso-wrap-distance-left:7.05pt;mso-wrap-distance-top:11.35pt;mso-wrap-distance-right:11.35pt;mso-wrap-distance-bottom:14.15pt" coordorigin="1701,2551" coordsize="6498,4241">
                <v:shape id="Textbox36" o:spid="_x0000_s1058" type="#_x0000_t202" style="position:absolute;left:1701;top:2551;width:6498;height:3689"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k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Steunder-im-Raum.JPG</w:t>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txbxContent>
                  </v:textbox>
                </v:shape>
                <v:shape id="Textbox37" o:spid="_x0000_s1059" type="#_x0000_t202" style="position:absolute;left:1701;top:6240;width:6498;height:55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Yhk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13</w:t>
                          <w:fldChar w:fldCharType="end"/>
                        </w:r>
                        <w:r>
                          <w:t>: Ausführung der Scheerstöcke.</w:t>
                          <w:br w:type="textWrapping"/>
                          <w:t>Zeichnung ©Werner Ulrich,2014.</w:t>
                        </w:r>
                      </w:p>
                    </w:txbxContent>
                  </v:textbox>
                </v:shape>
                <w10:wrap type="square" anchorx="margin" anchory="margin"/>
              </v:group>
            </w:pict>
          </mc:Fallback>
        </mc:AlternateContent>
      </w:r>
      <w:r>
        <w:t>Jeder Decksbalken bekam an seinen zwei Enden je ein gewachsenes Knie. Die des Überlaufs reichten vertikal bis zum Kimmweger. Entlang des Decksbalkens hatte sich ein Maß von circa 5 Fuß eingebürgert. Die Stärke der Knie war abhängig vom Material. Aber 8 bis 10 Daumen waren keine Ausnahme. Die Befestigung erfolgte mit eisernen Bolzen. Die Bestecke geben hin und wieder Auskunft über die Anzahl. Selten überschritten sie 7 Bolzen.</w:t>
      </w:r>
    </w:p>
    <w:p>
      <w:pPr>
        <w:pStyle w:val="para9"/>
      </w:pPr>
      <w:r>
        <w:t>Die Schenkel der Knie der Kuhbrücke reichten vertikal bis zum Deck, dem Überlauf. Zwischen Knie und Deck verblieb meist ein Freiraum von 1/2 Fuß. Die Schenkellänge entlang des Decksbalkens pendelte sich bei 4 bis 4 1/2 Fuß ein. Auch hier wurden für die Befestigung eiserne Bolzen vorgesehen. Selten überstieg die Anzahl 5 Bolzen.</w:t>
      </w:r>
    </w:p>
    <w:p>
      <w:pPr>
        <w:pStyle w:val="para9"/>
      </w:pPr>
      <w:r>
        <w:t>Die oberen Decks waren selten einheitlich ausgeführt. Die Abstände der Decksbalken richteten sich nach dem Verwendungszweck. Hatten dieses Decks Geschütze zu tragen, oder nur sehr leichte Bewaffnungen, wurden auch hier Längs- und Querribben eingebaut. Die Balkenabstände lagen zwischen 2 und 2 1/2 Fuß. Auch hier kamen wieder Knie zum Einsatz, die ähnlich ausgeführt wurden wie bei den Decks darunter.</w:t>
      </w:r>
    </w:p>
    <w:p>
      <w:pPr>
        <w:pStyle w:val="para9"/>
      </w:pPr>
      <w:r>
        <w:t>Die untere Batterie, also der Überlauf, wurde auch in der Mitte der Decksbalken gestützt. Hierzu wurde an ausgesuchten Stellen Kanthölzer vom Kielschwein bis unter den Decksbalken gesetzt. Meist an den Stellen, wo kein Schott vorhanden war. Schotte stellte man gerne so auf, dass ein Decksbalken die Begrenzung innehatte. Dort benötigte man natürlich keine Stütze.</w:t>
      </w:r>
    </w:p>
    <w:p>
      <w:pPr>
        <w:pStyle w:val="para2"/>
      </w:pPr>
      <w:bookmarkStart w:id="167" w:name="_TOC000029"/>
      <w:r>
        <w:t>Die Gangborde</w:t>
      </w:r>
      <w:bookmarkEnd w:id="167"/>
      <w:r>
        <w:t>; allgemein</w:t>
      </w:r>
    </w:p>
    <w:p>
      <w:pPr>
        <w:pStyle w:val="para9"/>
      </w:pPr>
      <w:r>
        <w:t>Auf den Decksbalken legte man an der Bordseite sogenannte Gangborde. An jeder Seite einen. Sie reichten von hinten bis vorne. Die Unterkante des Gangbordes wurde an den Stellen der Decksbalken ausgeklinkt. Somit gab es eine Verzahnung mit den Decksbalken. Das hatte zur Folge, dass weder die Decksbalken noch die Gangborde in Schiffslängsrichtung wandern konnte. Um auch eine kraftschlüssige Verbindung mit den Spanten zu bekommen, wurden die Gangborde an der Außenkante im Bereich der Spanten ein Maß von 1 bis 2 Daumen entfernt. Die zugehörigen Formulierungen in den Bestecken waren leider nicht deutlich genug. Anfangs wurde vermutet, dass immer im Bereich eines Spants das Material ausgeklinkt wurde. Bei näherer Betrachtung der Konstruktion wurde aber festgestellt, dass im Bereich des Überlaufs und der Kuhbrücke sich die Spanten um 4 bis 5 Fuß überlappten. So gesehen, gab es in diesen Bereichen Holz an Holz ohne Zwischenraum.</w:t>
      </w:r>
    </w:p>
    <w:p>
      <w:pPr>
        <w:pStyle w:val="para2"/>
      </w:pPr>
      <w:bookmarkStart w:id="168" w:name="_TOC000030"/>
      <w:r>
        <w:t>Setzweger</w:t>
      </w:r>
      <w:bookmarkEnd w:id="168"/>
      <w:r>
        <w:t>; allgemein</w:t>
      </w:r>
    </w:p>
    <w:p>
      <w:pPr>
        <w:pStyle w:val="para9"/>
      </w:pPr>
      <w:r>
        <w:t>Unmittelbar auf den Gangborden wurde an jeder Bordseite ein Setzweger gestellt. In den Jahren bis 1630/40 wurden diese Weger meist noch mit Höhe und Stärke angeben. Später legte man mehr Wert darauf, dass diese Weger bis an die unteren Drempel der Stückpforten reichten.</w:t>
      </w:r>
    </w:p>
    <w:p>
      <w:pPr>
        <w:pStyle w:val="para2"/>
      </w:pPr>
      <w:r>
        <w:rPr>
          <w:noProof/>
        </w:rPr>
        <mc:AlternateContent>
          <mc:Choice Requires="wpg">
            <w:drawing>
              <wp:anchor distT="144145" distB="179705" distL="144145" distR="89535" simplePos="0" relativeHeight="251658292" behindDoc="0" locked="0" layoutInCell="0" hidden="0" allowOverlap="1">
                <wp:simplePos x="0" y="0"/>
                <wp:positionH relativeFrom="margin">
                  <wp:align>right</wp:align>
                  <wp:posOffset2>1270</wp:posOffset2>
                </wp:positionH>
                <wp:positionV relativeFrom="margin">
                  <wp:posOffset>1908175</wp:posOffset>
                </wp:positionV>
                <wp:extent cx="3324225" cy="2707005"/>
                <wp:effectExtent l="0" t="0" r="0" b="0"/>
                <wp:wrapSquare wrapText="bothSides"/>
                <wp:docPr id="52" name="Gruppe19"/>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BCAQAAAKIAACAAAAAAAAAAAwAAAAEAAAACAAAAAAAAAAEAAAC9CwAAcxQAAKcQAAAZAAAAaRMAACsQAAAoAAAACAAAAAEAAAABAAAA"/>
                          </a:ext>
                        </a:extLst>
                      </wpg:cNvGrpSpPr>
                      <wpg:grpSpPr>
                        <a:xfrm>
                          <a:off x="0" y="0"/>
                          <a:ext cx="3324225" cy="2707005"/>
                          <a:chOff x="0" y="0"/>
                          <a:chExt cx="3324225" cy="2707005"/>
                        </a:xfrm>
                      </wpg:grpSpPr>
                      <wps:wsp>
                        <wps:cNvPr id="53" name="Textbox38"/>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8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zFAAAfw4AAAAAAABpEwAAKxAAACgAAAAIAAAAAQAAAAIAAAAwAAAAFAAAAAAAAAAAAP//AAABAAAA//8AAAEA"/>
                            </a:ext>
                          </a:extLst>
                        </wps:cNvSpPr>
                        <wps:spPr>
                          <a:xfrm>
                            <a:off x="0" y="0"/>
                            <a:ext cx="3324225" cy="235648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w:t>
                              </w:r>
                            </w:p>
                            <w:p>
                              <w:pPr>
                                <w:spacing/>
                                <w:jc w:val="center"/>
                                <w:rPr>
                                  <w:b/>
                                  <w:bCs/>
                                  <w:sz w:val="24"/>
                                  <w:szCs w:val="24"/>
                                </w:rPr>
                              </w:pPr>
                              <w:r>
                                <w:rPr>
                                  <w:b/>
                                  <w:bCs/>
                                  <w:sz w:val="24"/>
                                  <w:szCs w:val="24"/>
                                </w:rPr>
                                <w:t>Scheerstoecke.Jpg</w:t>
                              </w:r>
                            </w:p>
                          </w:txbxContent>
                        </wps:txbx>
                        <wps:bodyPr spcFirstLastPara="1" vertOverflow="clip" horzOverflow="clip" upright="1">
                          <a:prstTxWarp prst="textNoShape">
                            <a:avLst/>
                          </a:prstTxWarp>
                          <a:spAutoFit/>
                        </wps:bodyPr>
                      </wps:wsp>
                      <wps:wsp>
                        <wps:cNvPr id="54" name="Textbox39"/>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cx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zFAAAKAIAAAAAAABpEwAAqh4AACgAAAAIAAAAAQAAAAIAAAAwAAAAFAAAAAAAAAAAAP//AAABAAAA//8AAAEA"/>
                            </a:ext>
                          </a:extLst>
                        </wps:cNvSpPr>
                        <wps:spPr>
                          <a:xfrm>
                            <a:off x="0" y="2356485"/>
                            <a:ext cx="3324225" cy="3505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14</w:t>
                                <w:fldChar w:fldCharType="end"/>
                              </w:r>
                              <w:r>
                                <w:t>: Ausführung der Scheerstöcke:</w:t>
                                <w:br w:type="textWrapping"/>
                                <w:t>Zeichnung ©Werner Ulrich, 2014.</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right;margin-top:150.25pt;mso-position-horizontal-relative:margin;mso-position-vertical-relative:margin;width:261.75pt;height:213.15pt;z-index:251658292;mso-wrap-distance-left:11.35pt;mso-wrap-distance-top:11.35pt;mso-wrap-distance-right:7.05pt;mso-wrap-distance-bottom:14.15pt" coordorigin="4969,4139" coordsize="5235,4263">
                <v:shape id="Textbox38" o:spid="_x0000_s1060" type="#_x0000_t202" style="position:absolute;left:4969;top:4139;width:5235;height:3711"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H8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t>???????</w:t>
                        </w:r>
                      </w:p>
                      <w:p>
                        <w:pPr>
                          <w:spacing/>
                          <w:jc w:val="center"/>
                          <w:rPr>
                            <w:b/>
                            <w:bCs/>
                            <w:sz w:val="24"/>
                            <w:szCs w:val="24"/>
                          </w:rPr>
                        </w:pPr>
                        <w:r>
                          <w:rPr>
                            <w:b/>
                            <w:bCs/>
                            <w:sz w:val="24"/>
                            <w:szCs w:val="24"/>
                          </w:rPr>
                          <w:t>Scheerstoecke.Jpg</w:t>
                        </w:r>
                      </w:p>
                    </w:txbxContent>
                  </v:textbox>
                </v:shape>
                <v:shape id="Textbox39" o:spid="_x0000_s1061" type="#_x0000_t202" style="position:absolute;left:4969;top:7850;width:5235;height:55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cxQ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14</w:t>
                          <w:fldChar w:fldCharType="end"/>
                        </w:r>
                        <w:r>
                          <w:t>: Ausführung der Scheerstöcke:</w:t>
                          <w:br w:type="textWrapping"/>
                          <w:t>Zeichnung ©Werner Ulrich, 2014.</w:t>
                        </w:r>
                      </w:p>
                    </w:txbxContent>
                  </v:textbox>
                </v:shape>
                <w10:wrap type="square" anchorx="margin" anchory="margin"/>
              </v:group>
            </w:pict>
          </mc:Fallback>
        </mc:AlternateContent>
      </w:r>
      <w:bookmarkStart w:id="169" w:name="_TOC000031"/>
      <w:r>
        <w:t>Die Scheerstöcke</w:t>
      </w:r>
      <w:bookmarkEnd w:id="169"/>
      <w:r>
        <w:t>; allgemein</w:t>
      </w:r>
    </w:p>
    <w:p>
      <w:pPr>
        <w:pStyle w:val="para9"/>
      </w:pPr>
      <w:r>
        <w:t xml:space="preserve">Ähnlich wie die Gangborde wurden auch die Scheerstöcke auf den Decks ausgeführt. Ihre Abmessungen orientierten sich an denen der Gangborde. Auch die Unterseite der Scheerstöcke wurden im Bereich der Decksbalken ausgeklinkt. Bis zur Mitte des 17. Jahrhunderts wurden die Scheerstöcke oft so gelegt, dass der obere Bereich oberhalb der Decksbeplankung lag. Man sprach dann in den Bestecken von </w:t>
      </w:r>
      <w:r>
        <w:rPr>
          <w:i/>
          <w:iCs/>
        </w:rPr>
        <w:t>„verheven Schaerstocken“</w:t>
      </w:r>
      <w:r>
        <w:t>.</w:t>
      </w:r>
    </w:p>
    <w:p>
      <w:pPr>
        <w:pStyle w:val="para2"/>
      </w:pPr>
      <w:bookmarkStart w:id="170" w:name="_TOC000032"/>
      <w:r>
        <w:t>Die Beplankung der Decks</w:t>
      </w:r>
      <w:bookmarkEnd w:id="170"/>
      <w:r>
        <w:t>; allgemein</w:t>
      </w:r>
    </w:p>
    <w:p>
      <w:pPr>
        <w:pStyle w:val="para9"/>
      </w:pPr>
      <w:r>
        <w:t xml:space="preserve">Die Bereiche der Decks wurden zwischen Gangborde und Scheerstöcken mit Planken ausgeführt. Unterhalb der Bereiche wurden sogenannte </w:t>
      </w:r>
      <w:r>
        <w:rPr>
          <w:i/>
          <w:iCs/>
        </w:rPr>
        <w:t>„Ribben“</w:t>
      </w:r>
      <w:r>
        <w:t xml:space="preserve"> gelegt. Es gab Längs- und Querribben. Sehr schön zu sehen in </w:t>
      </w:r>
      <w:r>
        <w:rPr>
          <w:b/>
          <w:bCs/>
          <w:color w:val="ff0000"/>
        </w:rPr>
        <w:t>Zielstelle nicht gefunden! auf Seite Zielstelle nicht gefunden!.</w:t>
      </w:r>
      <w:r>
        <w:t xml:space="preserve"> Die Längsribben wurden zwischen zwei Decksbalken eingelassen, um die Querribben tragen zu können. Die Abmessungen dieser Ribben lag bei 2 1/2, 3 und 4 Daumen im Querschnitt. Je nach Belastung der Decks variierte die Anzahl.</w:t>
      </w:r>
    </w:p>
    <w:p>
      <w:pPr>
        <w:pStyle w:val="para2"/>
      </w:pPr>
      <w:bookmarkStart w:id="171" w:name="_TOC000033"/>
      <w:r>
        <w:t>Die Wegerung im Schiff</w:t>
      </w:r>
      <w:bookmarkEnd w:id="171"/>
      <w:r>
        <w:t>; allgemein</w:t>
      </w:r>
    </w:p>
    <w:p>
      <w:pPr>
        <w:pStyle w:val="para9"/>
      </w:pPr>
      <w:r>
        <w:t>In einem Besteck aus dem Jahre 1638 taucht erstmals der Hinweis auf, dass es zu beiden Seiten des Kielschweins noch je zwei weitere Weger gab. Sie waren je 3 Daumen dick und 1 1/2 Fuß breit. 1653/54 wurde eine ähnliche Forderung an die Schiffbauer der Eendracht gestellt. Hier wollte man dann zwei Weger je Seite eingebaut haben.</w:t>
      </w:r>
    </w:p>
    <w:p>
      <w:pPr>
        <w:pStyle w:val="para9"/>
      </w:pPr>
      <w:r>
        <w:rPr>
          <w:noProof/>
        </w:rPr>
        <mc:AlternateContent>
          <mc:Choice Requires="wpg">
            <w:drawing>
              <wp:anchor distT="89535" distB="89535" distL="89535" distR="89535" simplePos="0" relativeHeight="251658340" behindDoc="0" locked="0" layoutInCell="0" hidden="0" allowOverlap="1">
                <wp:simplePos x="0" y="0"/>
                <wp:positionH relativeFrom="page">
                  <wp:posOffset>1140460</wp:posOffset>
                </wp:positionH>
                <wp:positionV relativeFrom="page">
                  <wp:posOffset>2339975</wp:posOffset>
                </wp:positionV>
                <wp:extent cx="3816985" cy="2694940"/>
                <wp:effectExtent l="0" t="0" r="0" b="0"/>
                <wp:wrapSquare wrapText="bothSides"/>
                <wp:docPr id="100" name="Gruppe36"/>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BIAQAAAKIAACAAAAAAAAAAAAAAAAAAAAAEBwAAAAAAAAAAAABlDgAAexcAAJQQAAAaAAAABAcAAGUOAAAoAAAACAAAAAEAAAABAAAA"/>
                          </a:ext>
                        </a:extLst>
                      </wpg:cNvGrpSpPr>
                      <wpg:grpSpPr>
                        <a:xfrm>
                          <a:off x="0" y="0"/>
                          <a:ext cx="3816985" cy="2694940"/>
                          <a:chOff x="0" y="0"/>
                          <a:chExt cx="3816985" cy="2694940"/>
                        </a:xfrm>
                      </wpg:grpSpPr>
                      <wps:wsp>
                        <wps:cNvPr id="101" name="Textbox72"/>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gP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7FwAASA8AAAAAAAAEBwAAZQ4AACgAAAAIAAAAAQAAAAIAAAAwAAAAFAAAAAAAAAAAAP//AAABAAAA//8AAAEA"/>
                            </a:ext>
                          </a:extLst>
                        </wps:cNvSpPr>
                        <wps:spPr>
                          <a:xfrm>
                            <a:off x="0" y="0"/>
                            <a:ext cx="3816985" cy="248412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t>Konstruktion der Weger</w:t>
                              </w:r>
                            </w:p>
                            <w:p>
                              <w:pPr>
                                <w:spacing/>
                                <w:jc w:val="center"/>
                                <w:rPr>
                                  <w:b/>
                                  <w:bCs/>
                                  <w:sz w:val="24"/>
                                  <w:szCs w:val="24"/>
                                </w:rPr>
                              </w:pPr>
                              <w:r>
                                <w:rPr>
                                  <w:b/>
                                  <w:bCs/>
                                  <w:sz w:val="24"/>
                                  <w:szCs w:val="24"/>
                                </w:rPr>
                                <w:t>Im Bereich des Kielschweins.</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Wegerung-Kielschwein.JPG</w:t>
                              </w:r>
                            </w:p>
                          </w:txbxContent>
                        </wps:txbx>
                        <wps:bodyPr spcFirstLastPara="1" vertOverflow="clip" horzOverflow="clip" upright="1">
                          <a:prstTxWarp prst="textNoShape">
                            <a:avLst/>
                          </a:prstTxWarp>
                          <a:spAutoFit/>
                        </wps:bodyPr>
                      </wps:wsp>
                      <wps:wsp>
                        <wps:cNvPr id="102" name="Textbox73"/>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exc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B7FwAATAEAAAAAAAAEBwAArR0AACgAAAAIAAAAAQAAAAIAAAAwAAAAFAAAAAAAAAAAAP//AAABAAAA//8AAAEA"/>
                            </a:ext>
                          </a:extLst>
                        </wps:cNvSpPr>
                        <wps:spPr>
                          <a:xfrm>
                            <a:off x="0" y="2484120"/>
                            <a:ext cx="3816985"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15</w:t>
                                <w:fldChar w:fldCharType="end"/>
                              </w:r>
                              <w:r>
                                <w:t>: Wegerung neben dem Kielschwein.</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89.80pt;margin-top:184.25pt;mso-position-horizontal-relative:page;mso-position-vertical-relative:page;width:300.55pt;height:212.20pt;z-index:251658340;mso-wrap-distance-left:7.05pt;mso-wrap-distance-top:7.05pt;mso-wrap-distance-right:7.05pt;mso-wrap-distance-bottom:7.05pt" coordorigin="1796,3685" coordsize="6011,4244">
                <v:shape id="Textbox72" o:spid="_x0000_s1062" type="#_x0000_t202" style="position:absolute;left:1796;top:3685;width:6011;height:3912"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EgP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t>Konstruktion der Weger</w:t>
                        </w:r>
                      </w:p>
                      <w:p>
                        <w:pPr>
                          <w:spacing/>
                          <w:jc w:val="center"/>
                          <w:rPr>
                            <w:b/>
                            <w:bCs/>
                            <w:sz w:val="24"/>
                            <w:szCs w:val="24"/>
                          </w:rPr>
                        </w:pPr>
                        <w:r>
                          <w:rPr>
                            <w:b/>
                            <w:bCs/>
                            <w:sz w:val="24"/>
                            <w:szCs w:val="24"/>
                          </w:rPr>
                          <w:t>Im Bereich des Kielschweins.</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Wegerung-Kielschwein.JPG</w:t>
                        </w:r>
                      </w:p>
                    </w:txbxContent>
                  </v:textbox>
                </v:shape>
                <v:shape id="Textbox73" o:spid="_x0000_s1063" type="#_x0000_t202" style="position:absolute;left:1796;top:7597;width:6011;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exc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15</w:t>
                          <w:fldChar w:fldCharType="end"/>
                        </w:r>
                        <w:r>
                          <w:t>: Wegerung neben dem Kielschwein.</w:t>
                        </w:r>
                      </w:p>
                    </w:txbxContent>
                  </v:textbox>
                </v:shape>
                <w10:wrap type="square" anchorx="page" anchory="page"/>
              </v:group>
            </w:pict>
          </mc:Fallback>
        </mc:AlternateContent>
      </w:r>
      <w:r/>
    </w:p>
    <w:p>
      <w:pPr>
        <w:pStyle w:val="para9"/>
      </w:pPr>
      <w:r/>
    </w:p>
    <w:p>
      <w:pPr>
        <w:pStyle w:val="para1"/>
      </w:pPr>
      <w:r>
        <w:br w:type="page"/>
      </w:r>
      <w:bookmarkStart w:id="172" w:name="_TOC000140"/>
      <w:r>
        <w:t>Die Flottenbauprogramme des 17. Jahrhunderts</w:t>
      </w:r>
      <w:bookmarkEnd w:id="172"/>
      <w:r>
        <w:t>; Adm</w:t>
      </w:r>
    </w:p>
    <w:p>
      <w:pPr>
        <w:pStyle w:val="para9"/>
      </w:pPr>
      <w:r>
        <w:t>Im Juli 1652 erkannten die Generalstaaten der Niederlande die dringende Notwendigkeit, die wenigen, veralteten Kriegsschiffe der Flotte durch den Bau neuer Schiffe zu ergänzen. Es war noch in den Jahrzehnten vor 1650 üblich, die benötigten Flotten nur während eines Konflikts zusammenzustellen, meist nach überlieferter Tradition. Die Verantwortlichen schauten sich in den Häfen des Landes nach geeigneten Schiffen um, die kurzerhand gemietet oder gekauft, schnellstens militärisch umgerüstet, bemannt und eingesetzt wurden. Die so zusammengestellten Flotten bildeten natürlich keine auf die Situation abgestimmte militärische Einheit. Da es sich um eine Vielzahl verschiedener Schiffstypen handelte, sah man auch keinen Grund, die Schiffe nach Beendigung eines Konflikts zu behalten. Dies war eine Vorgehensweise, die mit Beginn der englischen Feindschaft den Niederländern gegenüber nicht mehr tragbar war. Die Praktiker, unter anderem Luitenant admiraal Maarten Harpertszoon Tromp (1598-1653), im folgenden M.H. Tromp und Witte Cornelisz. de With (1599-1658), im folgenden W.C.de With, Vizeadmiral der Admiralität Holland und Westfriesland, sahen mit Sorge auf die Flottenpolitik der Engländer. Sie, die Engländer, trieben ganz gezielt den Bau von großen Kriegsschiffen energisch voran. Die Engländer verfolgten das Ziel, der Vorherrschaft der niederländischen Handelsflotte ein Ende zu setzen. Eine Umorientierung in der niederländischen Flottenpolitik musste unbedingt erfolgen, wollte man der drohenden Gefahr begegnen. Man erkannte folgerichtig die Notwendigkeit, dass man neue, in diesem Fall spezielle Kriegsschiffe bauen musste, die denen der Engländer gewachsen waren.</w:t>
      </w:r>
    </w:p>
    <w:p>
      <w:pPr>
        <w:pStyle w:val="para9"/>
      </w:pPr>
      <w:r>
        <w:t>Im Sommer des Jahres 1652 setzten sich einige Herren der Admiralitäten zusammen, um die groben Kosten für die sich in Planung befindlichen Schiffen zu ermitteln. Sie bedienten sich dabei einer vermutlich älteren Kostenzusammenstellung eines 120-Fuß-Kriegsschiffes. Es wurden verschiedene größere Posten zusammengetragen und in der Gegenüberstellung aufgeführt. In der linken Spalte wurden die bekannten Kosten für ein 120-Fuß-Kriegsschiff aufgeführt, in der mittleren Spalte eine kurze Beschreibung des Postens und in der rechten Spalte dann die ermittelten Kosten für ein 134-Fuß-Kriegsschiff. Man war sich wohl noch einig, dass diese Schiffsgröße später auch gebaut werden sollte. Die Berechnungen ergaben, dass ein 120-Fuß-Kriegsschiff 66582 Gulden, ein 134-Fuß-Kriegsschiff aber schon 90107 Gulden kosten sollte.</w:t>
      </w:r>
      <w:r>
        <w:rPr>
          <w:rStyle w:val="char1"/>
        </w:rPr>
      </w:r>
      <w:r>
        <w:rPr>
          <w:rStyle w:val="char1"/>
        </w:rPr>
        <w:footnoteReference w:id="174"/>
      </w:r>
      <w:r>
        <w:t xml:space="preserve"> Der Preisunterschied des reinen Schiffsrumpfes belief sich auf ganze 5000 Gulden. Der kleinere Rumpf kostete 14000, der größere Rumpf 19000 Gulden. Ein Posten fällt besonders ins Auge. Das stehende und laufende Gut kostete für das kleine Schiff 6400 Gulden. Die Kosten für das größere Schiff beliefen sich allerdings auf nur 5790 Gulden. Auch damals regelte der Markt die Preise, denn es wurde um derartige Aufträge hart gerungen. Nur der günstigste Anbieter bekam den begehrten Auftrag. Ferner fällt auf, dass für die Blech- und Kupferarbeiten nur zwei große Posten aufgeführt waren. Die Kombüse und die Brotkammer wurden entsprechend ausgeschlagen. Die eigentlich viel wichtigere Pulverkammer wurde hier aber nicht erwähnt. Dieses Schreiben musste wohl besonders wichtig gewesen sein, denn es taucht in den unterschiedlichsten Archiven der Admiralitäten auf.</w:t>
      </w:r>
      <w:r>
        <w:rPr>
          <w:rStyle w:val="char1"/>
        </w:rPr>
      </w:r>
      <w:r>
        <w:rPr>
          <w:rStyle w:val="char1"/>
        </w:rPr>
        <w:footnoteReference w:id="175"/>
      </w:r>
      <w:r/>
    </w:p>
    <w:p>
      <w:pPr>
        <w:pStyle w:val="para9"/>
      </w:pPr>
      <w:r>
        <w:t>In den Resolutionen der Staten van Holland wurde am 16.08.1652 auch der Vorschlag diskutiert, wie viele Kriegsschiffe gebaut werden sollten. So sollten. Insgesamt 58 neue Schiffe gebaut werden. Die Admiralitäten Rotterdam, Zeeland, das Noorderkwartier sollten je 10 Schiffe, die Admiralität Amsterdam 20, und die kleinste Admiralität Friesland nur 8 Schiffe bauen lasen.</w:t>
      </w:r>
    </w:p>
    <w:p>
      <w:pPr>
        <w:pStyle w:val="para9"/>
      </w:pPr>
      <w:r>
        <w:t>Praktisch tat sich in den Sommermonaten des Jahres 1652 kaum etwas in dieser wichtigen Angelegenheit. In einer Resolution der Staten van Holland findet sich ein Hinweis darauf, dass die verantwortlichen Herren während einer Besprechung darauf drangen, sich das Besteck der Aemilia anzusehen. Sie wollten eine Vorstellung bekommen, wie die neuen Kriegsschiffe gebaut werden sollten. Am 22.10.1652 wurde in einer Sitzung der Staten van Holland über die Vorschläge W.C. de With's diskutiert. Er hatte angeregt, wohl erst 20 Kriegsschiffe bauen zu lassen. Ferner sollten die Verantwortlichen sich sachkundig darüber machen, wie denn wohl die Fregatten von 1636 gebaut worden waren. Scheinbar hatte man zu diesem Zeitpunkt noch die Vorstellung, Altbewährtes wieder aufzulegen.</w:t>
      </w:r>
      <w:r>
        <w:rPr>
          <w:rStyle w:val="char1"/>
        </w:rPr>
      </w:r>
      <w:r>
        <w:rPr>
          <w:rStyle w:val="char1"/>
        </w:rPr>
        <w:footnoteReference w:id="176"/>
      </w:r>
      <w:r>
        <w:t xml:space="preserve"> Erst am 05.11.1652 fanden sich die verantwortlichen Schiffbaumeister der einzelnen Admiralitäten in Den Haag ein, um mit Vertretern der Generalstaaten und M.H. Tromp die schwierige Frage der zukünftigen Kriegsschiffe zu erörtern. Ganz am Anfang der Diskussion stand der Wunsch, je zehn neue Kriegsschiffe in den Längen von 150 Fuß, 140 Fuß und 134 Fuß bauen zu lassen.</w:t>
      </w:r>
    </w:p>
    <w:p>
      <w:pPr>
        <w:pStyle w:val="para9"/>
      </w:pPr>
      <w:r>
        <w:t>Fast den gesamten November 1652 führte man zu diesem wichtigen Thema zähe Verhandlungen über die Anzahl und Größe der zu bauenden Kriegsschiffe. Es gab drei unterschiedliche Vorstellungen. Die Erste besagte, dass sechs Schiffe von 150 Fuß, 12 Schiffe von 140 Fuß und 12 Schiffe von 134 Fuß Schiffslänge gebaut werden sollten. Die Aufteilung sollte folgendermaßen vonstattengehen. Die Admiralitäten Rotterdam, Friesland, Zeeland und das Noorderkwartier sollten je ein Schiff von 150 Fuß Länge, zwei von 140 Fuß Länge und zwei von 134 Fuß Länge in Auftrag geben. Die Admiralität Amsterdam sollte zwei 150 Fuß, vier 140 Fuß und vier 134 Fuß Schiffe bauen lassen. Den Unterlagen kann entnommen werden, dass dieses Konzept mit M.H. Tromp und W.C.de With abgestimmt war, vermutlich stammte der Vorschlag sogar von den beiden. Eine zweite Vorstellung war, dass man zwei 150 Fuß, acht 140 Fuß und 10 134 Fuß Schiffe bauen lassen wollte. Eine dritte Vorstellung sah vor, zum zweiten Vorschlag noch zehn Schiffe mit einer Länge von 130 Fuß hinzuzufügen.</w:t>
      </w:r>
      <w:r>
        <w:rPr>
          <w:rStyle w:val="char1"/>
        </w:rPr>
      </w:r>
      <w:r>
        <w:rPr>
          <w:rStyle w:val="char1"/>
        </w:rPr>
        <w:footnoteReference w:id="177"/>
      </w:r>
      <w:r/>
    </w:p>
    <w:p>
      <w:pPr>
        <w:pStyle w:val="para9"/>
      </w:pPr>
      <w:r>
        <w:t>Unabhängig von der Diskussion um Anzahl und Größe der neu zu bauenden Kriegsschiffe arbeitete seit dem 05.11.1652 die zusammengestellte Kommission bestehend aus Mitgliedern der Admiralitäten, deren Schiffbaumeistern und M.H. Tromp an den Bestecken der Kriegsschiffe. Zusammenfassend in einem Rapport vom 27.11.1652 wurde dargelegt, wie man in Sachen Auftragsvergabe vorgehen wollte. Die Einzelheiten dieses Rapports sollen hier nicht näher untersucht werden. Es wurde aber beschlossen, dass die einzelnen Admiralitäten bei der Auftragsvergabe so verfahren sollten, wie sie es wollten. Die Verantwortlichen konnten die neu zu bauenden Schiffe an ihre eigenen Werften delegieren, oder aber auch einzelne Schiffe an private Auftragnehmer vergeben. Ganz so, wie es für das Land am besten erschien. Wie wir später noch sehen werden, hatten sich die Verantwortlichen dieser Runde die Situation der nicht geregelten Zuständigkeit auf diesem Gebiet zunutze gemacht. Es gab nach dem Tod des Prinzen Willem II keinen Nachfolger, der das Amt des Admiral-Generals ausübte. Was in diesem Rapport als so selbstverständlich beschrieben wurde, zog wieder einmal endlose Diskussionen nach sich. Die Admiralitäten von Amsterdam, Rotterdam und Zeeland handelten sehr schnell und schufen Tatsachen. Sie vergaben in Windeseile einen Teil der zu bauenden Kriegsschiffe, überwiegend an ihre eigenen Werften. Man gewinnt den Eindruck, dass bei dieser wichtigen Sache die Interessen der einzelnen Admiralitäten höhere Prioritäten genossen. Der Gesamtstaat war den Verantwortlichen scheinbar nicht so wichtig.</w:t>
      </w:r>
      <w:r>
        <w:rPr>
          <w:rStyle w:val="char1"/>
        </w:rPr>
      </w:r>
      <w:r>
        <w:rPr>
          <w:rStyle w:val="char1"/>
        </w:rPr>
        <w:footnoteReference w:id="178"/>
      </w:r>
      <w:r/>
    </w:p>
    <w:p>
      <w:pPr>
        <w:pStyle w:val="para9"/>
      </w:pPr>
      <w:r>
        <w:t>Diese wichtige Einigung für das Land wurde aber nicht einhellig begrüßt. Schon kurz nach Bekanntwerden regte sich Widerstand dagegen. Dieser Widerstand gegen das von M.H. Tromp vorgeschlagene Bauprogramm kam ganz überwiegend von der Admiralität Amsterdam und Zeeland. Die Amsterdamer mussten ihre Schiffe noch bis zum Ende des 17. Jahrhunderts sehr mühsam, kosten- und zeitintensiv über die Untiefen vor Amsterdam, den Pampus, ins tiefere Fahrwasser schleppen lassen. Die ersten Schiffskamele, schwimmdockartige Bauten, wurden erst zum Ende des 17. Jahrhunderts erfunden.</w:t>
      </w:r>
      <w:r>
        <w:rPr>
          <w:rStyle w:val="char1"/>
        </w:rPr>
      </w:r>
      <w:r>
        <w:rPr>
          <w:rStyle w:val="char1"/>
        </w:rPr>
        <w:footnoteReference w:id="179"/>
      </w:r>
      <w:r>
        <w:t xml:space="preserve"> Seekarten der Zeit lassen den Schluss zu, dass die Fahrwassertiefen an manchen Stellen nur 12 Fuß betrugen. Bei den Tiefgängen der großen Kriegsschiffe von bis zu 19 Fuß kann man die Haltung der Admiralität Amsterdam gut nachvollziehen. In Rotterdam und Zeeland wäre es durchaus denkbar, die großen Schiffe von 150 Fuß Länge Bauen zu lassen, so das Argument der Admiralität Amsterdam. Dort waren die örtlichen Gegebenheiten wegen der größeren Tiefen des Fahrwassers günstiger. Noch im Dezember des Jahres 1652, versuchten die Verantwortlichen der Admiralität Amsterdam die Generalstaaten davon zu überzeugen, die angedachten 134- und 140-Fuß-Kriegsschiffe vier Fuß kleiner auszuführen.</w:t>
      </w:r>
      <w:r>
        <w:rPr>
          <w:rStyle w:val="char1"/>
        </w:rPr>
      </w:r>
      <w:r>
        <w:rPr>
          <w:rStyle w:val="char1"/>
        </w:rPr>
        <w:footnoteReference w:id="180"/>
      </w:r>
      <w:r>
        <w:t xml:space="preserve"> Bis zum 09.12.1652 gingen die Generalstaaten noch mit dem Anliegen M.H. Tromp's konform und versuchten, den am 27.11.1652 gefassten Beschluss auch umzusetzen. Jedoch ab dem 10.12.1652 kippte die Standhaftigkeit, und man beugte sich langsam den Vorstellungen der Amsterdamer. Etwa zur Mitte des Monats Dezember beschloss die Admiralität Amsterdam einen Frontalangriff auf den Beschluss der Generalstaaten vom 27.11.1652. Am 17.12.1652 schilderten sie in einem Schreiben an die Generalstaaten wiederum ihren Standpunkt. M.H. Tromp, der in der Zwischenzeit durch seine Mittelsmänner auf See unterrichtet wurde, schaltete sich nun auch in die Diskussion ein und drang seinerseits darauf, den Beschluss vom 27.11.1652 ohne Wenn und Aber umzusetzen. Nun musste die Admiralität Amsterdam erneut ihren Standpunkt vertreten und begründete in einem Schreiben ihre Argumente aufs Neue. Um dem Ganzen mehr Nachdruck zu verleihen, wurden kurzerhand einige Kriegsschiffe vergeben und kurzfristig auf Stapel gesetzt. Die so geschaffenen Tatsachen zeigten dann bei den Generalstaaten Wirkung.</w:t>
      </w:r>
    </w:p>
    <w:p>
      <w:pPr>
        <w:pStyle w:val="para9"/>
      </w:pPr>
      <w:r>
        <w:t>Zuvor wurde in einem Rapport vom 12.12.1652 der Staten van Holland festgehalten, dass auf Anregung Johan de Witt's, alle Neubauten öffentlich ausgeschrieben werden mussten. Diese Entscheidung ging auf eine Resolution vom 06.12.1652 zurück. Ferner wurde beschlossen, dass die gesamte Bezahlung des anstehenden Flottenbauprogramms nicht mehr über die einzelnen Admiralitäten, sondern direkt über die Generalstaaten abgewickelt werden sollte. Schon in diesem gedruckten Rapport wurde Abstand genommen vom Bau der zuvor angedachten, großen Schiffe.</w:t>
      </w:r>
    </w:p>
    <w:p>
      <w:pPr>
        <w:pStyle w:val="para9"/>
      </w:pPr>
      <w:r>
        <w:t>Nach schier endlosen Verhandlungen hatten sich die Generalstaaten schließlich im Dezember 1652 dazu durchgerungen, 30 neue Kriegsschiffe bauen zu lassen. Die Schwierigkeit, einen zufriedenstellenden Kompromissvorschlag zu erarbeiten, kostete viele Wochen Überzeugungsarbeit. Schließlich einigte man sich auf ein tragbares Bauprogramm und beschloss zudem, alle Neubauten öffentlich auszuschreiben. Der Grund dafür war, dass man die Kosten des Flottenbaus überschaubar und niedrig halten musste. Dieses galt dann auch für die bereits vergebenen Aufträge. Das Gezanke um diese 30 neuen Kriegsschiffe hatte dem ehrgeizigen Ziel, möglichst schnell eine Flotte zusammenzustellen, erheblichen Schaden zugefügt. Die Verantwortlichen in der Marine waren enttäuscht, als ihnen dieser Kompromiss mitgeteilt wurde. Dem ursprünglichen Wunsch, möglichst viele große Schiffe zu bekommen, konnte man nicht gerecht werden.</w:t>
      </w:r>
    </w:p>
    <w:p>
      <w:pPr>
        <w:pStyle w:val="para9"/>
      </w:pPr>
      <w:r>
        <w:t>Nachdem dieser Kompromiss erarbeitet war, fassten die Generalstaaten endlich allen Mut zusammen, um das Bauprogramm auf den Weg zu bringen. Sie waren sich allerdings ihrer fachlichen Qualifikation bezüglich der anstehenden Neubauten durchaus bewusst und versuchten, die Situation dadurch zu retten, dass sie W.C.de With um Rat baten. Auf seine Ausführungen kommen wir an anderer Stelle zurück.</w:t>
      </w:r>
      <w:r>
        <w:rPr>
          <w:rStyle w:val="char1"/>
        </w:rPr>
      </w:r>
      <w:r>
        <w:rPr>
          <w:rStyle w:val="char1"/>
        </w:rPr>
        <w:footnoteReference w:id="181"/>
      </w:r>
      <w:r>
        <w:t xml:space="preserve"> Die mächtige Admiralität Amsterdam spielte alle Trümpfe aus, um sich gegen die Forderungen M.H. Tromp und C.W.de With durchzusetzen. Die Generalstaaten waren natürlich auf die Gelder der Stadt Amsterdam angewiesen und mussten ihren Kompromiss den Argumenten der Admiralität anpassen. Der Reichtum dieser Stadt machte es möglich, die Geschicke einer ganzen Provinz zu bestimmen. Was Amsterdam nicht wollte, wurde in der Regel auch nicht ausgeführt, geschweige denn unterstützt. Am 13.01.1653 fassten die Verantwortlichen der Generalstaaten in einem Rapport die Ereignisse noch einmal zusammen. Der Unterzeichner Winandt van Ommeren machte noch einmal deutlich, dass die 30 neuen Kriegsschiffe öffentlich ausgeschrieben werden müssen. Er verwies auch auf die Kommission, die am 27.11.1652 schon ein Bauprogramm verabschiedet hatte. Es wird aber nicht ganz deutlich, was van Ommeren nun wirklich mit seinem Rapport bewirken wollte. Er verwies darauf, dass die Kommission der Generalstaaten, die für die Seesachen zuständig war, auch für die öffentliche Ausschreibung verantwortlich war.</w:t>
      </w:r>
    </w:p>
    <w:p>
      <w:pPr>
        <w:pStyle w:val="para9"/>
      </w:pPr>
      <w:r>
        <w:t>Im gedruckten Band der Resolutionen der Staten van Hollandt ende Westfrieslandt, taucht wohl am 22.01.1653 der Hinweis auf, dass die großen Kriegsschiffe nicht gebaut werden sollen. Man formulierte vorsichtig, dass schon das eine oder andere Kriegsschiff auf Stapel stand. Dass dieses nicht rechtens war, konnte dem Text nicht entnommen werden. Wohl aber, das schon feststand, dass es um die kleineren Kriegsschiffe gehen würde, die ja auch am 08.02.1653 ausgeschrieben wurden. Details dieser Besprechung finden wir dann in den geheimen Resolutionen wieder. Demnach ging es in einer Sitzung am 21.01.1653 um die Frage, ob denn nun wirklich die großen Kriegsschiffe gebaut werden sollten. Am 22.01.1653 wurde, nach dem Verlesen des tags zuvor verhandelten Beschlusses, Nägel mit Köpfen gemacht. Schon in dieser Resolution stand fest, dass sich die Amsterdamer mit ihren Forderungen durchgesetzt hatten.</w:t>
      </w:r>
      <w:r>
        <w:rPr>
          <w:rStyle w:val="char1"/>
        </w:rPr>
      </w:r>
      <w:r>
        <w:rPr>
          <w:rStyle w:val="char1"/>
        </w:rPr>
        <w:footnoteReference w:id="182"/>
      </w:r>
      <w:r/>
    </w:p>
    <w:p>
      <w:pPr>
        <w:pStyle w:val="para9"/>
      </w:pPr>
      <w:r>
        <w:t>Zum Ende des Januars 1653 bahnte sich bei den Generalstaaten eine massive Verschiebung der Interessen an. Obwohl man am 27.11.1652 einen rechtskräftigen Beschluss zum Bau der neuen Kriegsschiffe beschlossen hatte, überlegte man doch plötzlich an höchster Stelle, dem Ansinnen der Admiralität Amsterdam entgegenzukommen. Johan de Witt bewirkte in einer Sitzung vom 28.01.1653, dass eine Änderung zugunsten Amsterdams notwendig war. Er plädierte dafür, die großen, schon in Amsterdam auf Stapel liegenden 140-Fuß-Kriegsschiffe zum Maß der Dinge zu machen. Man bezog sich auf eine Diskussion vom 21. und 22.01.1653, wo man dieses Problem wohl näher besprochen hatte. Beschlossen werden sollte, dass das große, in Rotterdam gebaute Admiralsschiff von 150 auf 140 Fuß Länge reduziert werden sollte.</w:t>
      </w:r>
      <w:r>
        <w:rPr>
          <w:rStyle w:val="char1"/>
        </w:rPr>
      </w:r>
      <w:r>
        <w:rPr>
          <w:rStyle w:val="char1"/>
        </w:rPr>
        <w:footnoteReference w:id="183"/>
      </w:r>
      <w:r/>
    </w:p>
    <w:p>
      <w:pPr>
        <w:pStyle w:val="para9"/>
      </w:pPr>
      <w:r>
        <w:t>Am 08.02.1653 legten die Generalstaaten dann die endgültigen Abmessungen und die Anzahl der Kriegsschiffe fest, die gebaut werden sollten.</w:t>
      </w:r>
      <w:r>
        <w:rPr>
          <w:rStyle w:val="char1"/>
        </w:rPr>
      </w:r>
      <w:r>
        <w:rPr>
          <w:rStyle w:val="char1"/>
        </w:rPr>
        <w:footnoteReference w:id="184"/>
      </w:r>
      <w:r>
        <w:t xml:space="preserve"> Es wurde beschlossen, dass die Admiralität Rotterdam das große Schiff für den Admiral und vier 130-Fuß-Kriegsschiffe bauen lassen sollte. Die Admiralität Amsterdam hatte die Aufgabe zehn Kriegsschiffe, davon vier 136-Fuß-Kriegsschiffe und sechs 130-Fuß-Kriegsschiffe bauen zu lassen. Die Admiralitäten des Noorderkwartiers, Friesland und Zeeland mussten jeweils zwei 136-Fuß-Kriegsschiffe und drei 130-Fuß-Kriegsschiffe bauen lassen. Damit waren die angedachten 134 und 140-Fuß-Kriegsschiffe vom Tisch und die Admiralität Amsterdam hatte sich mit ihrem Vorhaben, kleinere Schiffe zu bauen, doch noch durchgesetzt. Das nachfolgende Dokument ist für die Entwicklung des Kriegsschiffbaus von elementarer Bedeutung, legt es doch offen, wie sich die Generalstaaten nach langwierigen Verhandlungen letztendlich entschieden hatten.</w:t>
      </w:r>
    </w:p>
    <w:p>
      <w:pPr>
        <w:pStyle w:val="para12"/>
        <w:ind w:left="567" w:right="567"/>
      </w:pPr>
      <w:r>
        <w:t>Nochmals ter Vergaderinge</w:t>
      </w:r>
      <w:r>
        <w:rPr>
          <w:rStyle w:val="char1"/>
          <w:iCs w:val="0"/>
          <w:lang w:val="nl-nl"/>
        </w:rPr>
      </w:r>
      <w:r>
        <w:rPr>
          <w:rStyle w:val="char1"/>
          <w:iCs w:val="0"/>
          <w:lang w:val="nl-nl"/>
        </w:rPr>
        <w:footnoteReference w:id="185"/>
      </w:r>
      <w:r>
        <w:t xml:space="preserve"> voort gebracht synde, het Rapport by de Heeren Huyghens, ende andere hare HO: MO: Gedeputteerden den 30 January lestleden, ter Vergaderinge gedaen, raeckende den aenbouw van nieuwe schepen van oorloge metten gevolge ende aenschreven van dien, js nae deliberatie goetgevonden, ende verstaen, dat het Collegie ter Admiraliteyt tot Rotterdam, sal aenbouwen een schip van 150. voeten langh, 38. wyt, 15 hol, ende 8 daerboven</w:t>
      </w:r>
      <w:r>
        <w:rPr>
          <w:rStyle w:val="char1"/>
          <w:iCs w:val="0"/>
          <w:lang w:val="nl-nl"/>
        </w:rPr>
      </w:r>
      <w:r>
        <w:rPr>
          <w:rStyle w:val="char1"/>
          <w:iCs w:val="0"/>
          <w:lang w:val="nl-nl"/>
        </w:rPr>
        <w:footnoteReference w:id="186"/>
      </w:r>
      <w:r>
        <w:t>, mitsgaders 4. schepen van 130. voeten langh, 32. wyt 13. hol ende 7. daerboven, het Collegie ter Admiraliteyt tot Amsterdam 4. schepen van 136. voeten langh, 34. wyt 14. hol ende 7 ½. Daerboven, mitsgaeders 6. van 130. voeten langh wyt 32. hol 13. ende 7. daerboven; de Collegie ter Admiraliteyt in Zeelandt ende int' Noorderquartier, yder 2. Schepen van 136. voeten lang, 34. wyt 14. hol, ende 7 ½. Daerboven, 3 schepen van 130. voeten langh. Wyt 32. hol 13 ½. Ende 7. daerboven: Het Collegie ter Admiraliteyt tot Harlingen, twee schepen 136. voeten langh, 34 wyt 14. hol ende 7 ½. daerboven: mitsgaders drie schepen van 130. voeten lanck, 32. wyt 13 ½. Hol, ende 7. daerboven: dan wat aengaet de schepen by eenige vande opgemelten Collegien ter Admiraliteyt albereits besteedt, ofte op Stapel souden mogen wesen gestelt, sal t' selve gelaten werden by de voorst gedane bestedinge: des sullen de voortsen aen te bouwen schepen publicqulick aende meest eyschende aennemers werden besteedt, sullende de voorsten bestedinge werden gedaen inde respective Collegien Steden, alwaer de Collegien ter Admiraliteyt haere residentie houden, soo nochtans dat de aenneminge ende Timmeringe vandien, niet allen by de jnwoonderen van deselve, maer oock by de vande naest gelegen Steden ende plaetsen, jndistinctelen sal mogen geschieden. Wyders, is geresolveert, dat de voorste bestedinge sal werden gedaen by de voorst Collegien ter Admiraliteyten ten overstaen van Commissarissen van hare HO: MO: Ende sal voorts d' opsicht over de voorst aente bouwen schepen werden gelaeten aende meergemelten Collegien ter Admiraliteyt met serieuse aenneminge, dat deselve van dach, tot dach, exacte toesicht op t' werck willen doen nemen, ten eynde geen onbequaem hout off yserwerck aende voorst Schepen verwerckt worden dat oock jnt' formeren van particulere bestecken, daer toe alsmede aengaende de bequamheyt vande plaetse, daer de schepen opt' Stapel sullen werden gestelt, alle doenlicks precautie gebruycht mach werden; ende sal (de voorst Schepen opgemaeckt synde) het werck wederomme door Commissarissen van haer HO: MO: geinspecteert, ende met kennisse van saecken opgenomen werden.</w:t>
        <w:tab/>
      </w:r>
    </w:p>
    <w:p>
      <w:pPr>
        <w:pStyle w:val="para12"/>
        <w:ind w:left="567" w:right="567"/>
      </w:pPr>
      <w:r>
        <w:t>Des sal de betalinge aende aennemers geschieden uytten naden aende van wegen hare HO: MO: door respective Collegien ter Admiraliteyt aen dewelcke de penningen in handen sullen comen, sonder dat die eenichsints tot eenigen anderen einde gediverteert sullen mogen werden: Dan is de bovenstaende conclusie genomen by den Heeren Vets,als daer toe versocht synde, d' Heeren aenwesende ende Gedeputteerden vande provintie van Utrecht hebben verclaert op den Cherter vande Schepen van 130. voeten lang, ongelast te syn, ende oversulcx daer in niet te connen consenteren, d' Heeren van Overyssel hebben verclaert als Utrecht D' Heeren Gedeputteerden vande Provincie van Stadt en Landen hebben inde bovenstaende conclusie geconsenteert, opt' behagen vande Heeren hare Principalen.</w:t>
      </w:r>
    </w:p>
    <w:p>
      <w:pPr>
        <w:pStyle w:val="para9"/>
      </w:pPr>
      <w:r>
        <w:t>Bei der danach stattgefundenen Vergabe der kleineren Schiffe war es scheinbar zu Unstimmigkeiten gekommen. Es kam aus heute nicht mehr nachvollziehbaren Gründen während der Vertragsverhandlungen mit den zukünftigen Schiffbauern dazu, dass man noch einmal über die Hauptabmessungen der 130-Fuß-Kriegsschiffe diskutierte. Obwohl in der oben gezeigten und transkribierten Resolution die Schiffsweite mit 32 Fuß festgelegt wurde, verhandelte man nun ein Maß von 33 Fuß.</w:t>
      </w:r>
      <w:r>
        <w:rPr>
          <w:rStyle w:val="char1"/>
        </w:rPr>
      </w:r>
      <w:r>
        <w:rPr>
          <w:rStyle w:val="char1"/>
        </w:rPr>
        <w:footnoteReference w:id="187"/>
      </w:r>
      <w:r/>
    </w:p>
    <w:p>
      <w:pPr>
        <w:pStyle w:val="para9"/>
      </w:pPr>
      <w:r>
        <w:t>Die Auftragsvergabe der Admiralität Rotterdam zeigt auf, dass man aufseiten der Vertragspartner noch während der Verhandlungen an den Bestecken arbeitete. Als sich am Vormittag des 22.02.1653 die zukünftigen Vertragspartner im zweiten Stock des Gebäudes an die Verhandlungen machten, wurde scheinbar auf die eventuell zu geringe Schiffsweite hingewiesen. Die Schiffsweite der 130-Fuß-Kriegsschiffe sollte nun nicht 32, sondern 33 Fuß betragen. Ferner wollte man die Deckshöhe der Kuhbrücke von ursprünglich 7 auf 7 ¼ Fuß anheben.</w:t>
      </w:r>
      <w:r>
        <w:rPr>
          <w:rStyle w:val="char1"/>
        </w:rPr>
      </w:r>
      <w:r>
        <w:rPr>
          <w:rStyle w:val="char1"/>
        </w:rPr>
        <w:footnoteReference w:id="188"/>
      </w:r>
      <w:r>
        <w:t xml:space="preserve"> Der Text der Bestecke wurde bei geöffneten Türen verlesen, sodass alle Anwesenden sich ein Bild machen konnten. Die interessierten Schiffbauer wurden gebeten, sich über den Preis des veränderten Schiffes Gedanken zu machen. Ferner war man bemüht, auch die Bauzeit möglichst kurz zu halten. Nach der Mittagspause wurden die Schiffbauer um 15 Uhr wieder in den zweiten Stock des Gebäudes gebeten. Sie wurden einzeln befragt, wie sich Preise und Bauzeit entwickelten. Letztlich bekamen nur die Schiffbauer den Zuschlag, die in möglichst kurzer Zeit das Schiff zum günstigsten Preis herstellten. Die Auftragnehmer mussten sich verpflichten, die vier verhandelten Schiffsrümpfe ab dem 22.02.1653 innerhalb von fünf Monaten fertigzustellen.</w:t>
      </w:r>
    </w:p>
    <w:p>
      <w:pPr>
        <w:pStyle w:val="para9"/>
      </w:pPr>
      <w:r>
        <w:t>Nachdem die Auftragsvergabe abgeschlossen war, wollte sich einer der Brüder De Witt</w:t>
      </w:r>
      <w:r>
        <w:rPr>
          <w:rStyle w:val="char1"/>
        </w:rPr>
      </w:r>
      <w:r>
        <w:rPr>
          <w:rStyle w:val="char1"/>
        </w:rPr>
        <w:footnoteReference w:id="189"/>
      </w:r>
      <w:r>
        <w:t xml:space="preserve"> dafür einsetzen, dass der Schiffbauer Goossen Schalcks van der Arent aus Dordrecht eines der Schiffe bauen sollte. Die verantwortlichen Abgeordneten wiesen jedoch darauf hin, dass die Schiffe bereits vergeben waren. Im März konnte Van der Arent aber dennoch einen Auftrag bekommen. Ob auch hier De Witt seinen Einfluss geltend gemacht hatte, kann den Dokumenten nicht entnommen werden.</w:t>
      </w:r>
    </w:p>
    <w:p>
      <w:pPr>
        <w:pStyle w:val="para9"/>
      </w:pPr>
      <w:r>
        <w:t>Am 26.02.1653 wurde in einer Resolution der Staten van Holland bekannt gegeben, dass die vier kleineren 130-Fuß-Kriegsschiffe vergeben waren. Einige Abgeordnete der Stadt Dordrecht wiesen in einer Sitzung darauf hin, dass drei der vier Schiffe für einen Preis von 35500 Caroli Gulden, das Vierte für einen Preis von 33500 Caroli Gulden vergeben wurden. Ferner wurde in dieser Sitzung erwähnt, dass es auch einen Schiffbauer gegeben habe, der eines der Schiffe für 30000 Caroli Gulden habe bauen wollen. Warum dieser Schiffbauer keinen Zuschlag bekam, ist leider nicht überliefert. Das Ansinnen des Staates, möglichst kostengünstig an neue Kriegsschiffe zu kommen, kann in diesem Fall nicht nachvollzogen werden.</w:t>
      </w:r>
      <w:r>
        <w:rPr>
          <w:rStyle w:val="char1"/>
        </w:rPr>
      </w:r>
      <w:r>
        <w:rPr>
          <w:rStyle w:val="char1"/>
        </w:rPr>
        <w:footnoteReference w:id="190"/>
      </w:r>
      <w:r/>
    </w:p>
    <w:p>
      <w:pPr>
        <w:pStyle w:val="para2"/>
      </w:pPr>
      <w:bookmarkStart w:id="190" w:name="_TOC000162"/>
      <w:r/>
      <w:bookmarkStart w:id="191" w:name="_TOC000219"/>
      <w:r/>
      <w:bookmarkStart w:id="192" w:name="_TOC000186"/>
      <w:r/>
      <w:bookmarkStart w:id="193" w:name="_TOC000141"/>
      <w:r/>
      <w:bookmarkStart w:id="194" w:name="_TOC000063"/>
      <w:r/>
      <w:bookmarkStart w:id="195" w:name="_TOC000352"/>
      <w:r/>
      <w:bookmarkStart w:id="196" w:name="_TOC000322"/>
      <w:r/>
      <w:bookmarkStart w:id="197" w:name="_TOC000290"/>
      <w:r/>
      <w:bookmarkStart w:id="198" w:name="_TOC000278"/>
      <w:r/>
      <w:bookmarkStart w:id="199" w:name="_TOC000246"/>
      <w:r/>
      <w:bookmarkStart w:id="200" w:name="_TOC000213"/>
      <w:r/>
      <w:bookmarkStart w:id="201" w:name="_TOC000182"/>
      <w:r/>
      <w:bookmarkStart w:id="202" w:name="_TOC000168"/>
      <w:r/>
      <w:bookmarkStart w:id="203" w:name="_TOC000133"/>
      <w:r/>
      <w:bookmarkStart w:id="204" w:name="_TOC000098"/>
      <w:r/>
      <w:bookmarkEnd w:id="204"/>
      <w:r/>
      <w:bookmarkEnd w:id="203"/>
      <w:r/>
      <w:bookmarkEnd w:id="202"/>
      <w:r/>
      <w:bookmarkEnd w:id="201"/>
      <w:r/>
      <w:bookmarkEnd w:id="200"/>
      <w:r/>
      <w:bookmarkEnd w:id="199"/>
      <w:r/>
      <w:bookmarkEnd w:id="198"/>
      <w:r/>
      <w:bookmarkEnd w:id="197"/>
      <w:r/>
      <w:bookmarkEnd w:id="196"/>
      <w:r/>
      <w:bookmarkEnd w:id="195"/>
      <w:r/>
      <w:bookmarkEnd w:id="194"/>
      <w:r/>
      <w:bookmarkEnd w:id="193"/>
      <w:r/>
      <w:bookmarkEnd w:id="192"/>
      <w:r/>
      <w:bookmarkEnd w:id="191"/>
      <w:r/>
      <w:bookmarkEnd w:id="190"/>
      <w:r>
        <w:t>Die Auftragsvergabe; Adm</w:t>
      </w:r>
    </w:p>
    <w:p>
      <w:pPr>
        <w:pStyle w:val="para9"/>
      </w:pPr>
      <w:r>
        <w:t>Ursprünglich sollte die Admiralität Zeeland nur drei neue Kriegsschiffe in Auftrag geben. Ein Kriegsschiff in den Abmessungen 150' x 38' x 15' und zwei Kriegsschiffe in den Abmessungen 134' x 34' x 14'.</w:t>
      </w:r>
      <w:r>
        <w:rPr>
          <w:rStyle w:val="char1"/>
        </w:rPr>
      </w:r>
      <w:r>
        <w:rPr>
          <w:rStyle w:val="char1"/>
        </w:rPr>
        <w:footnoteReference w:id="206"/>
      </w:r>
      <w:r>
        <w:t xml:space="preserve"> Aber auch in Zeeland hatte man schon im Dezember 1652 begonnen, entsprechende Verhandlungen mit den infrage kommenden Werften zu führen. In einem Schreiben an die Generalstaaten schilderten die Verantwortlichen der Admiralität Zeeland, dass sie bereits am 28.12.1652 die fünf Kriegsschiffe an die Werften vergeben hatten. Hierbei handelte es sich um ein 136-Fuß-Kriegsschiff und vier 130-Fuß-Kriegsschiffe.</w:t>
      </w:r>
      <w:r>
        <w:rPr>
          <w:rStyle w:val="char1"/>
        </w:rPr>
      </w:r>
      <w:r>
        <w:rPr>
          <w:rStyle w:val="char1"/>
        </w:rPr>
        <w:footnoteReference w:id="207"/>
      </w:r>
      <w:r>
        <w:t xml:space="preserve"> Ferner verwies man auf die schwierigen Verhältnisse der heimischen Gewässer. Ähnlich wie in Amsterdam war man der Meinung, größere Schiffe nicht bauen zu können. Außerdem hoffte man darauf, dass die Geldmittel ungeachtet der veränderten Situation zügig angewiesen werden würden. Zu guter Letzt kam noch der Hinweis, dass für die neu zu bauenden Schiffe noch keinerlei Bewaffnung vorhanden sei. Auch hierfür fehle das nötige Geld.</w:t>
      </w:r>
    </w:p>
    <w:p>
      <w:pPr>
        <w:pStyle w:val="para9"/>
      </w:pPr>
      <w:r>
        <w:t>In Sachen Vergabe des großen Schiffes in Rotterdam gab es im März des Jahres 1653 noch einmal einen Versuch von M.H. Tromp, die erneute öffentliche Ausschreibung des Schiffes zu verhindern. In einer nicht näher bekannten Stellungnahme Tromps hatte er den Abgeordneten der Generalstaaten vermutlich noch einmal ins Gewissen reden wollen. Es half alles nichts und die Anweisung zur erneuten Ausschreibung erfolgte in einer geheimen Resolution vom 24.03.1653. Damit war der Weg frei, um den Auftrag an den günstigsten Anbieter zu vergeben.</w:t>
      </w:r>
      <w:r>
        <w:rPr>
          <w:rStyle w:val="char1"/>
        </w:rPr>
      </w:r>
      <w:r>
        <w:rPr>
          <w:rStyle w:val="char1"/>
        </w:rPr>
        <w:footnoteReference w:id="208"/>
      </w:r>
      <w:r/>
    </w:p>
    <w:p>
      <w:pPr>
        <w:pStyle w:val="para9"/>
      </w:pPr>
      <w:r>
        <w:t>Am 03.04.1653 berichteten zwei mit der Vergabe betrauten Abgeordneten der Generalstaaten in einem ausführlichen Rechenschaftsbericht, wie die Auftragsvergabe der Kriegsschiffe abgelaufen war. Sie bereisten zuerst die Stadt Amsterdam, dann das Noorderkwartier und zuletzt ging es nach Friesland.</w:t>
      </w:r>
    </w:p>
    <w:p>
      <w:pPr>
        <w:pStyle w:val="para9"/>
      </w:pPr>
      <w:r>
        <w:t>Schon in Amsterdam mussten sie erfahren, dass von den zehn vorgesehenen Kriegsschiffen schon sechs vergeben waren. Ihnen blieben nur noch vier, die öffentlich vergeben werden konnten. Die Argumente der Verantwortlichen der Admiralität Amsterdam waren scheinbar so aussagefähig, dass eine Annullierung der geschlossenen Verträge nicht infrage kam. Es sollten sogar schon einige Schiffsrümpfe auf Stapel liegen. Ein Kaufmann namens Salyn war für die Bauaufsicht verpflichtet worden. Er bekannte aber, dass die zu beaufsichtigten Schiffe schon vor seiner Verpflichtung vergeben worden waren. Somit würde sein Einfluss auf das Geschehen nur sehr gering ausfallen. Es ging hier wohl um das bereits vergebene Kriegsschiff Jaarsvelt, welches in Edam gebaut wurde und ein namentlich nicht bekanntes Schiff, dass in Amsterdam gebaut wurde. Es ist lediglich bekannt, dass der Schiffbauer Herman Wichels dieses Schiff in den Abmessungen 132 Fuß für die Länge, 32 ½ Fuß für die Schiffsweite gebaut hatte. Der Preis, den der Schiffbauer erzielen konnte, belief sich auf 26000 Gulden. Parallel hatte man in Amsterdam noch für 17000 Gulden zwei Schiffe gekauft. Über die Abmessungen schweigen die Dokumente. Es fällt allerdings auf, dass diese Schiffe eine zusätzliche Außenhaut, also einen Bauch bekommen sollten.</w:t>
      </w:r>
      <w:r>
        <w:rPr>
          <w:rStyle w:val="char1"/>
        </w:rPr>
      </w:r>
      <w:r>
        <w:rPr>
          <w:rStyle w:val="char1"/>
        </w:rPr>
        <w:footnoteReference w:id="209"/>
      </w:r>
      <w:r/>
    </w:p>
    <w:p>
      <w:pPr>
        <w:pStyle w:val="para9"/>
      </w:pPr>
      <w:r>
        <w:t>Man zog weiter ins Noorderkwartier, um die dort geplante Auftragsvergabe zu regeln. Auf dem Weg dorthin hatten die Abgeordneten die Bestecke der 130-Fuß-Kriegsschiffe noch einmal verändert. Die ursprünglich von den Schiffbauern vorgesehene Schiffsweite von 32 Fuß wurde auf 32 ½ Fuß erweitert. Der Abstand der Decksbalken der beiden durchlaufenden Decks wurde von ursprünglich 4 ½ Fuß auf 3 ½ Fuß reduziert. Welche Auswirkungen diese Änderungen auf die schon im Bau befindlichen Schiffe hatten, konnte den überlieferten Unterlagen nicht entnommen werden. Die Vergabe der fünf Kriegsschiffe scheint, ohne Probleme vonstattengegangen zu sein. Warum man nicht die schon in Rotterdam verhandelte Schiffsweite von 33 Fuß übernommen hatte, ist nicht überliefert.</w:t>
      </w:r>
    </w:p>
    <w:p>
      <w:pPr>
        <w:pStyle w:val="para9"/>
      </w:pPr>
      <w:r>
        <w:t>Nachdem die Vergabe im Noorderkwartier erledigt war, begaben sie sich nach Harlingen zur Admiralität Friesland. Hier ergab es sich, dass es keinen Ansprechpartner gab. Die Verantwortlichen der Admiralität Friesland hatten wohl einen wichtigen Termin in Groningen wahrzunehmen. Nach einigen untätigen Tagen ging die Reise zurück nach Den Haag.</w:t>
      </w:r>
      <w:r>
        <w:rPr>
          <w:rStyle w:val="char1"/>
        </w:rPr>
      </w:r>
      <w:r>
        <w:rPr>
          <w:rStyle w:val="char1"/>
        </w:rPr>
        <w:footnoteReference w:id="210"/>
      </w:r>
      <w:r/>
    </w:p>
    <w:p>
      <w:pPr>
        <w:pStyle w:val="para9"/>
      </w:pPr>
      <w:r>
        <w:t>Schon am 06.03.1653 reichten die Schiffbauer des Noorderkwartiers die erste der drei Raten bei den Generalstaaten ein.</w:t>
      </w:r>
      <w:r>
        <w:rPr>
          <w:rStyle w:val="char1"/>
        </w:rPr>
      </w:r>
      <w:r>
        <w:rPr>
          <w:rStyle w:val="char1"/>
        </w:rPr>
        <w:footnoteReference w:id="211"/>
      </w:r>
      <w:r/>
    </w:p>
    <w:p>
      <w:pPr>
        <w:pStyle w:val="para9"/>
      </w:pPr>
      <w:r>
        <w:t>Am 02.07.1653 meldeten sich die Verantwortlichen der Admiralität Rotterdam bei den Generalstaaten. Sie beklagten sich bitterlich über den schlechten Geldfluss. So würden die kleineren 130-Fuß-Kriegsschiffe in absehbarer Zeit zu Wasser gelassen. Sie würden aber am Kai liegen bleiben müssen, da eine Bewaffnung der Schiffe aus obiger Sicht nicht möglich sei.</w:t>
      </w:r>
      <w:r>
        <w:rPr>
          <w:rStyle w:val="char1"/>
        </w:rPr>
      </w:r>
      <w:r>
        <w:rPr>
          <w:rStyle w:val="char1"/>
        </w:rPr>
        <w:footnoteReference w:id="212"/>
      </w:r>
      <w:r/>
    </w:p>
    <w:p>
      <w:pPr>
        <w:pStyle w:val="para9"/>
      </w:pPr>
      <w:r>
        <w:t>Schon wenige Tage später, nämlich am 07.07.1653 meldeten sich die Verantwortlichen des Noorderkwartiers aus demselben Grund wie ihre Kollegen in Rotterdam. Es fehlte auch hier schlicht das Geld, um die Schiffbauer bezahlen zu können. Es war allerdings so, dass in Hoorn, Enkhuizen und Medemblik die Schiffe bereits im Wasser lagen. Es waren aber die Gelder weder der Ersten noch der zweiten Rate eingegangen.</w:t>
      </w:r>
      <w:r>
        <w:rPr>
          <w:rStyle w:val="char1"/>
        </w:rPr>
      </w:r>
      <w:r>
        <w:rPr>
          <w:rStyle w:val="char1"/>
        </w:rPr>
        <w:footnoteReference w:id="213"/>
      </w:r>
      <w:r/>
    </w:p>
    <w:p>
      <w:pPr>
        <w:pStyle w:val="para9"/>
      </w:pPr>
      <w:r>
        <w:t>Die Engpässe bei der Finanzierung des Flottenbauprogramms müssen enorm gewesen sein, denn noch im selben Monat klagten auch die Verantwortlichen der Admiralität Amsterdam ihr Leid. Sie konnten die Schiffe nicht mit Waffen ausrüsten, weil auch hier das Geld fehlte.</w:t>
      </w:r>
      <w:r>
        <w:rPr>
          <w:rStyle w:val="char1"/>
        </w:rPr>
      </w:r>
      <w:r>
        <w:rPr>
          <w:rStyle w:val="char1"/>
        </w:rPr>
        <w:footnoteReference w:id="214"/>
      </w:r>
      <w:r/>
    </w:p>
    <w:p>
      <w:pPr>
        <w:pStyle w:val="para9"/>
      </w:pPr>
      <w:r>
        <w:t>Wie wir gesehen haben, agierten die Herren der einzelnen Admiralitäten so wie sie, es seit Generationen gewohnt waren. Trotz der sich verändernden politischen Lage im Lande taten sie so, als würden sie auch weiterhin weitgehend autonom bleiben können. Die führenden Köpfe im Lande wollten aber auch im Bereich der Marine Veränderungen durchführen. Die Vergabepraxis bei den Marineprojekten der Vergangenheit zum Beispiel, vor allem in Rotterdam, war ihnen seit längerer Zeit ein Dorn im Auge.</w:t>
      </w:r>
    </w:p>
    <w:p>
      <w:pPr>
        <w:pStyle w:val="para9"/>
      </w:pPr>
      <w:r>
        <w:t>Schon am 03.04.1653 finden wir in den Resolutionen der Staten van Holland den Hinweis, das erneut ein Flottenbauprogramm von 30 weiteren Kriegsschiffen aufgelegt werden sollte.</w:t>
      </w:r>
      <w:r>
        <w:rPr>
          <w:rStyle w:val="char1"/>
        </w:rPr>
      </w:r>
      <w:r>
        <w:rPr>
          <w:rStyle w:val="char1"/>
        </w:rPr>
        <w:footnoteReference w:id="215"/>
      </w:r>
      <w:r/>
    </w:p>
    <w:p>
      <w:pPr>
        <w:pStyle w:val="para2"/>
      </w:pPr>
      <w:bookmarkStart w:id="215" w:name="_TOC000163"/>
      <w:r/>
      <w:bookmarkStart w:id="216" w:name="_TOC000220"/>
      <w:r/>
      <w:bookmarkStart w:id="217" w:name="_TOC000187"/>
      <w:r/>
      <w:bookmarkStart w:id="218" w:name="_TOC000142"/>
      <w:r/>
      <w:bookmarkStart w:id="219" w:name="_TOC000064"/>
      <w:r/>
      <w:bookmarkStart w:id="220" w:name="_TOC000353"/>
      <w:r/>
      <w:bookmarkStart w:id="221" w:name="_TOC000323"/>
      <w:r/>
      <w:bookmarkStart w:id="222" w:name="_TOC000291"/>
      <w:r/>
      <w:bookmarkStart w:id="223" w:name="_TOC000279"/>
      <w:r/>
      <w:bookmarkStart w:id="224" w:name="_TOC000247"/>
      <w:r/>
      <w:bookmarkStart w:id="225" w:name="_TOC000214"/>
      <w:r/>
      <w:bookmarkStart w:id="226" w:name="_TOC000183"/>
      <w:r/>
      <w:bookmarkStart w:id="227" w:name="_TOC000169"/>
      <w:r/>
      <w:bookmarkStart w:id="228" w:name="_TOC000134"/>
      <w:r/>
      <w:bookmarkStart w:id="229" w:name="_TOC000099"/>
      <w:r>
        <w:t>Die zweite Bauserie 1654-55</w:t>
      </w:r>
      <w:bookmarkEnd w:id="229"/>
      <w:r/>
      <w:bookmarkEnd w:id="228"/>
      <w:r/>
      <w:bookmarkEnd w:id="227"/>
      <w:r/>
      <w:bookmarkEnd w:id="226"/>
      <w:r/>
      <w:bookmarkEnd w:id="225"/>
      <w:r/>
      <w:bookmarkEnd w:id="224"/>
      <w:r/>
      <w:bookmarkEnd w:id="223"/>
      <w:r/>
      <w:bookmarkEnd w:id="222"/>
      <w:r/>
      <w:bookmarkEnd w:id="221"/>
      <w:r/>
      <w:bookmarkEnd w:id="220"/>
      <w:r/>
      <w:bookmarkEnd w:id="219"/>
      <w:r/>
      <w:bookmarkEnd w:id="218"/>
      <w:r/>
      <w:bookmarkEnd w:id="217"/>
      <w:r/>
      <w:bookmarkEnd w:id="216"/>
      <w:r/>
      <w:bookmarkEnd w:id="215"/>
      <w:r>
        <w:t>; Adm</w:t>
      </w:r>
    </w:p>
    <w:p>
      <w:pPr>
        <w:pStyle w:val="para9"/>
      </w:pPr>
      <w:r>
        <w:t>Das zweite Flottenbauprogramm 1654/55 war dann scheinbar besser organisiert. Noch am 10.12.1653 hatte man in Den Haag die Idee, je 10 Kriegsschiffe in den Größen 134-, 140- und 150-Fuß-Länge in Auftrag zu geben.</w:t>
      </w:r>
      <w:r>
        <w:rPr>
          <w:rStyle w:val="char1"/>
        </w:rPr>
      </w:r>
      <w:r>
        <w:rPr>
          <w:rStyle w:val="char1"/>
        </w:rPr>
        <w:footnoteReference w:id="231"/>
      </w:r>
      <w:r>
        <w:t xml:space="preserve"> Doch dann musste man kurzerhand auf Anordnung der Generalstaaten das erste Bauprogramm erneut auflegen. Zum Ende des Monats, am 29.12.1653 wurde durch die Generalstaaten öffentlich dazu aufgerufen, an der Vergabe der neu zu bauenden 30 Kriegsschiffe teilzunehmen. Der infrage kommende Personenkreis wurde in einem gedruckten Aufruf gebeten, sich am 06.01.1654 in Rotterdam, am 09.01.1654 in Amsterdam und am 12.01.1654 in Hoorn einzufinden. Es sollte der Bau der Kriegsschiffe verhandelt werden. Danach an den günstigsten Anbieter vergeben werden. Hier wird deutlich, dass diesmal nicht die Admiralitäten, sondern die Bevollmächtigten der Generalstaaten die Verhandlungen führten. Der Einfluss der Admiralitäten wurde somit noch weiter eingeengt. Konnten sie beim ersten Bauprogramm noch die Schiffe vor der Verabschiedung der Ausschreibung an ihre Werften delegieren, hatten die Generalstaaten nun einen Riegel davor geschoben. Die Kriegsschiffe mussten an die privaten Anbieter vergeben werden, denn nur sie waren in der Lage, einen günstigen Preis abzugeben. Schon am 08.01.1654 konnte man den Verantwortlichen der Generalstaaten in Den Haag melden, dass die Schiffe für die Admiralität Rotterdam vergeben waren. Am 10.01.1654 meldete man aus Amsterdam, dass auch hier die Schiffe vergeben waren. Aber erst zehn Tage später, am 20.01.1654 schickte man ein Bestätigungsschreiben mit dem Hinweis, dass die Schiffe nach dem angehängten Besteck ausgeschrieben und vergeben worden waren.</w:t>
      </w:r>
      <w:r>
        <w:rPr>
          <w:rStyle w:val="char1"/>
        </w:rPr>
      </w:r>
      <w:r>
        <w:rPr>
          <w:rStyle w:val="char1"/>
        </w:rPr>
        <w:footnoteReference w:id="232"/>
      </w:r>
      <w:r>
        <w:t xml:space="preserve"> In Hoorn tat man sich wohl etwas schwerer, da erst am 28.02.1654 die Vergabe der Schiffe gemeldet wurde. Die Auftragnehmer in Rotterdam und Amsterdam mussten beim Überschreiten des Ablieferungstermins alle 14 Tage je 1000 Gulden Strafe zahlen. Bei den Verhandlungen in Hoorn hatte man einen anderen Passus in den Vertragstext eingebaut. Hier sollten pro Tag 100 Gulden gezahlt werden, wenn der Termin überschritten wurde. Ferner durften die Auftragnehmer keine Arbeiten an Unterauftragnehmer vergeben, ja nicht einmal wichtige Hauptaufgaben an die Knechte abgeben. Der Hintergrund dieser strengen Regeln zeigt, dass man bemüht war, Schiffe zu bekommen, die auch besteckgerecht gefertigt wurden. Es war anscheinend üblich, dass dem Bestätigungsschreiben an die Generalstaaten ein Besteck angehängt wurde, jedoch in keinem bekannten Fall das aktuell verhandelte, sondern ein vermutlich älteres Besteck einer 130-Fuß-Fregatte. Der Grund dieser Vorgehensweise erschließt sich leider nicht, möglicherweise war es eine Geheimhaltungsmaßnahme.</w:t>
      </w:r>
    </w:p>
    <w:p>
      <w:pPr>
        <w:pStyle w:val="para9"/>
      </w:pPr>
      <w:r>
        <w:t>Am 24.12.1653 wurde in einem Dokument der Admiralitäten der Hinweis offenkundig, dass man neben dem Vizeadmiral W.C.de With, dem Kapitän Verhaeft auch die Schiffbauer Wittert, Jacob Adriens und Simon Cornelis sowie einen Architekten namens Dirck Davidsz. bezüglich der zu überarbeitenden Bestecke eingeladen hatte. Hier taucht erstmals ein Architekt in den Unterlagen auf. Welche Aufgabe hatte ein Architekt beim Bau von Kriegsschiffen. War er eventuell für die Ausschmückung der neu zu bauenden Schiffe verantwortlich?</w:t>
      </w:r>
      <w:r>
        <w:rPr>
          <w:rStyle w:val="char1"/>
        </w:rPr>
      </w:r>
      <w:r>
        <w:rPr>
          <w:rStyle w:val="char1"/>
        </w:rPr>
        <w:footnoteReference w:id="233"/>
      </w:r>
      <w:r/>
    </w:p>
    <w:p>
      <w:pPr>
        <w:pStyle w:val="para9"/>
      </w:pPr>
      <w:r>
        <w:t>Die Ursache für die Wiederauflage der ersten Bauserie hatte natürlich nachvollziehbare Gründe. Im September des Jahres 1653 begleitete eine Flotte von 44 Kriegsschiffen 300 Handelsschiffe in die Ostsee. Im Sund wartete diese Flotte dann auf die Ankunft der Handelsschiffe aus dem Ostseegebiet, um sie in die Heimat zu begleiten. Als diese große Flotte, bestehend aus 84 Kriegsschiffen und 400 Handelsschiffen im November des Jahres 1653 vor Texel erschien, durften die Kriegsschiffe nicht in den geschützten Bereich der Insel Texel vor Anker gehen. Sie musste trotz eines gewaltigen Sturms ohne Lebensmittel wieder in See stechen.</w:t>
      </w:r>
      <w:r>
        <w:rPr>
          <w:rStyle w:val="char1"/>
        </w:rPr>
      </w:r>
      <w:r>
        <w:rPr>
          <w:rStyle w:val="char1"/>
        </w:rPr>
        <w:footnoteReference w:id="234"/>
      </w:r>
      <w:r>
        <w:t xml:space="preserve"> Diese nicht nachvollziehbare Entscheidung der Verantwortlichen kostete 1400 Menschen das Leben. Ein Großteil der Kriegsschiffe erlitt schwere Schäden. Einige Schiffe gingen verloren, sodass der ursprüngliche Plan, den 30 neu zu bauenden Kriegsschiffen eine andere Einteilung zu geben, fallen Gelassen werden musste.</w:t>
      </w:r>
    </w:p>
    <w:p>
      <w:pPr>
        <w:pStyle w:val="para9"/>
      </w:pPr>
      <w:r>
        <w:t>Die Finanzprobleme der Admiralitäten führten dazu, dass die Vergabe der zweiten Bauserie sich schwieriger gestaltete, als angenommen. Während der Vorbereitungen zur Vergabe der 30 Kriegsschiffe wurde deutlich, dass es auch in Zeeland Finanzprobleme gab. Die ersten 30 Kriegsschiffe waren noch nicht in Gänze bezahlt, da wurde schon die zweite Bauserie von 30 Kriegsschiffen ausgeschrieben. Einem Schreiben vom 27.12.1653 kann entnommen werden, dass die Verantwortlichen der Admiralität Zeeland den Unwillen der Schiffbauer zu spüren bekamen.</w:t>
      </w:r>
      <w:r>
        <w:rPr>
          <w:rStyle w:val="char1"/>
        </w:rPr>
      </w:r>
      <w:r>
        <w:rPr>
          <w:rStyle w:val="char1"/>
        </w:rPr>
        <w:footnoteReference w:id="235"/>
      </w:r>
      <w:r>
        <w:t xml:space="preserve"> Sie wiesen darauf hin, dass es wohl schwierig werden würde, die neu zu bauenden Schiffe zu vergeben. Erst nach Bezahlung der noch im Bau befindlichen Schiffe wäre eine vernünftige Verhandlungsbasis geschaffen.</w:t>
      </w:r>
    </w:p>
    <w:p>
      <w:pPr>
        <w:pStyle w:val="para9"/>
      </w:pPr>
      <w:r>
        <w:t>Im August des Jahres 1654 mussten die Verantwortlichen der Admiralität des Noorderkwartiers bei den Generalstaaten die desolate Finanzsituation darlegen. Die Schiffbauer, die die fünf neuen Kriegsschiffe bauten, mussten bislang ohne Bezahlung auskommen. Sie wiesen noch einmal darauf hin, dass die erste Rate fällig sei, wenn die Steven aufgerichtet wären, die zweite vereinbarte Rate nach dem Stapellauf und die Dritte nach Ablieferung an den Auftraggeber. Obwohl die Schiffe bereits im Wasser lägen, hätten die Schiffbauer noch kein Geld bekommen.</w:t>
      </w:r>
      <w:r>
        <w:rPr>
          <w:rStyle w:val="char1"/>
        </w:rPr>
      </w:r>
      <w:r>
        <w:rPr>
          <w:rStyle w:val="char1"/>
        </w:rPr>
        <w:footnoteReference w:id="236"/>
      </w:r>
      <w:r/>
    </w:p>
    <w:p>
      <w:pPr>
        <w:pStyle w:val="para2"/>
      </w:pPr>
      <w:bookmarkStart w:id="236" w:name="_TOC000092"/>
      <w:r/>
      <w:bookmarkStart w:id="237" w:name="_TOC000367"/>
      <w:r/>
      <w:bookmarkStart w:id="238" w:name="_TOC000324"/>
      <w:r/>
      <w:bookmarkStart w:id="239" w:name="_TOC000292"/>
      <w:r/>
      <w:bookmarkStart w:id="240" w:name="_TOC000280"/>
      <w:r/>
      <w:bookmarkStart w:id="241" w:name="_TOC000248"/>
      <w:r/>
      <w:bookmarkStart w:id="242" w:name="_TOC000215"/>
      <w:r/>
      <w:bookmarkStart w:id="243" w:name="_TOC000184"/>
      <w:r/>
      <w:bookmarkStart w:id="244" w:name="_TOC000170"/>
      <w:r/>
      <w:bookmarkStart w:id="245" w:name="_TOC000135"/>
      <w:r/>
      <w:bookmarkStart w:id="246" w:name="_TOC000100"/>
      <w:r>
        <w:t>Weitere Neub</w:t>
      </w:r>
      <w:bookmarkEnd w:id="246"/>
      <w:r/>
      <w:bookmarkEnd w:id="245"/>
      <w:r/>
      <w:bookmarkEnd w:id="244"/>
      <w:r/>
      <w:bookmarkEnd w:id="243"/>
      <w:r/>
      <w:bookmarkEnd w:id="242"/>
      <w:r/>
      <w:bookmarkEnd w:id="241"/>
      <w:r/>
      <w:bookmarkEnd w:id="240"/>
      <w:r/>
      <w:bookmarkEnd w:id="239"/>
      <w:r/>
      <w:bookmarkEnd w:id="238"/>
      <w:r/>
      <w:bookmarkEnd w:id="237"/>
      <w:r/>
      <w:bookmarkEnd w:id="236"/>
      <w:r>
        <w:t>auten nach 1660; Adm</w:t>
      </w:r>
    </w:p>
    <w:p>
      <w:pPr>
        <w:pStyle w:val="para9"/>
      </w:pPr>
      <w:r>
        <w:t>Weitere Flottenbauprogramme wurden 1664 bis 1666 aufgelegt. Hierzu sollten 1664 24 neue Kriegsschiffe gebaut werden. Die Aufteilung war recht einfach, 12 Kriegsschiffe in der Größe von 160 Fuß Länge über Steven und 12 Kriegsschiffe in der Größe von 150 Fuß Länge. Knapp ein halbes Jahr später entschied man sich, weitere 24 Schiffe bauen zu lassen. Hier ging es dann um 12 Kriegsschiffe in der Größe von 150 Fuß und 12 Kriegsschiffe in der Größe von 140 Fuß Länge. 1666/67 wurden noch 12 weitere Kriegsschiffe auf Kiel gelegt.</w:t>
      </w:r>
      <w:r>
        <w:rPr>
          <w:rStyle w:val="char1"/>
        </w:rPr>
      </w:r>
      <w:r>
        <w:rPr>
          <w:rStyle w:val="char1"/>
        </w:rPr>
        <w:footnoteReference w:id="248"/>
      </w:r>
      <w:r>
        <w:t xml:space="preserve"> Es sollten auch Schiffe in den Größen von 170 und 171 Fuß Länge gebaut werden.</w:t>
      </w:r>
      <w:r>
        <w:rPr>
          <w:rStyle w:val="char1"/>
        </w:rPr>
      </w:r>
      <w:r>
        <w:rPr>
          <w:rStyle w:val="char1"/>
        </w:rPr>
        <w:footnoteReference w:id="249"/>
      </w:r>
      <w:r/>
    </w:p>
    <w:p>
      <w:pPr>
        <w:pStyle w:val="para9"/>
      </w:pPr>
      <w:r>
        <w:t>In den 1680er-Jahren muss es erneut Bestrebungen gegeben haben, weitere Kriegsschiffe bauen zu lassen. Hier tauchen die ersten Dreidecker der Niederlande auf. Sie sind hier aber nicht von großem Interesse, da es in dieser Arbeit vorrangig um die Zweidecker von 1630 bis ca. 1670 geht. 1683 ließ die Admiralität Amsterdam 12 neue Kriegsschiffe bauen.</w:t>
      </w:r>
      <w:r>
        <w:rPr>
          <w:rStyle w:val="char1"/>
        </w:rPr>
      </w:r>
      <w:r>
        <w:rPr>
          <w:rStyle w:val="char1"/>
        </w:rPr>
        <w:footnoteReference w:id="250"/>
      </w:r>
      <w:r>
        <w:t xml:space="preserve"> Scheinbar wurden diese 12 Schiffe nicht zu Ende gebaut, denn 1689 tauchen in den Unterlagen des Archivs Dokumente auf, wonach man 1689 bestrebt war diese Schiffsrümpfe, man nannte sie schlicht nur Hollen, fertig zustellen. Auf Seite 2 des interessanten Vorgangs waren dann die Schiffsgrößen und teilweise die Schiffsnamen aufgeführt. So wurden durch die Admiralität Rotterdam sechs Kriegsschiffe gebaut. Es handelte sich um folgende Kriegsschiffe: Den Admiraal Generaal, 170-Fuß, De Maas, 156-Fuß, De Veluwe, 156-Fuß, die Honslaardijk, 135-Fuß, die Schiedam, 135-Fuß und die Utrecht, 135-Fuß-Kriegsschiffe.</w:t>
      </w:r>
    </w:p>
    <w:p>
      <w:pPr>
        <w:pStyle w:val="para9"/>
      </w:pPr>
      <w:r>
        <w:t>Die Admiralität Amsterdam hatten vier 170-Fuß, zwei 156-Fuß, vier 145-Fuß und zwei 135-Fuß-Kriegsschiffe gebaut.</w:t>
      </w:r>
    </w:p>
    <w:p>
      <w:pPr>
        <w:pStyle w:val="para9"/>
      </w:pPr>
      <w:r>
        <w:t>Die Admiralität Zeeland baute die Zeelandia, ein 170-Fuß-Kriegsschiff, das Schiff Vere, 135 Fuß lang, De Gekroonde Burg, 156 Fuß lang. Weiterhin ein Schiff in der Größe von 170 Fuß und zwei Kriegsschiffe in der Länge von 145 Fuß.</w:t>
      </w:r>
    </w:p>
    <w:p>
      <w:pPr>
        <w:pStyle w:val="para9"/>
      </w:pPr>
      <w:r>
        <w:t>Und schließlich die Admiralität in West-Vriesland. Sie bauten das Kriegsschiff West-Vriesland, 170 Fuß und ein weiteres in derselben Größe. Das Schiff Het Noorder Quartier mit 145 Fuß Länge, ein weiteres von 156 Fuß Länge. Das Schiff Het Wapen van Hoorn mit einer Länge von 135 Fuß und ein weiteres in derselben Länge. Alle Schiffe waren nicht fertig geworden und hatten zum Zeitpunkt der Fertigstellung 1689 noch keine Geschütze. Die Bestrebungen dieses Bauprogramms gehen wohl auf das Jahr 1680 zurück. Es gibt weitere Dokumente, die von 36 neuen Kriegsschiffen sprechen. Die hier aufgeführten Schiffe belaufen sich allerdings nur auf 30 neue Kriegsschiffe. Auch hier wollte man an der bewährten Auftragsvergabe an private Anbieter festhalten. Wollten die Werften der Admiralitäten einen Auftrag erhalten, mussten sie den Preis entsprechend nach unten korrigieren.</w:t>
      </w:r>
    </w:p>
    <w:p>
      <w:pPr>
        <w:pStyle w:val="para9"/>
      </w:pPr>
      <w:r>
        <w:t>Ein weiteres sticht dem Betrachter in den Dokumenten der 80er-Jahre ins Auge. Man sprach schon davon, dass man Kriegsschiffe bauen möchte, die eine Einteilung nach Geschützgrößen hatten. Kriegsschiffe mit 80, 70, 60 und 50 Geschützen wurde verhandelt. Nicht mehr Schiffe in der Größe 170, 156, 145 und 135 Fuß Länge. Wann diese Denkweise eingeführt wurde, ist noch sehr undurchsichtig. Nur 76 Jahre später, als 1756 erneut Kriegsschiffe gebaut werden sollten, gab es auch eine Einteilung nach Geschützgrößen. Nur hatte da ein Schiff mit 70 Kanonen eine Schiffslänge von 185 Fuß. Die Schiffsweite war auf 50 Fuß angestiegen.</w:t>
      </w:r>
    </w:p>
    <w:p>
      <w:pPr>
        <w:pStyle w:val="para9"/>
      </w:pPr>
      <w:r>
        <w:t>In der Zeit von 1690 bis 1725 wurden unter anderem im Noorderkwartier weitere Kriegsschiffe gebaut. 1690 waren es drei Schiffe in den Größen 135, 156 und 170 Fuß, 1691 weitere drei Schiffe in den Größen 145 und 156 Fuß. Später wurde noch ein 125-Fuß-Kriegsschiff gebaut. 1693 wurden erneut drei Schiffe in den Größen 145 und 156 Fuß gebaut. Schon 1708 ließ man erneut fünf Schiffe bauen. Sie bekamen die Längen 125, 140 und 150 Fuß. 1721 kamen ein 126-Fuß-Kriegsschiff und ein 150-Fuß-Kriegsschiff hinzu. Schließlich wurden 1725 weitere drei Kriegsschiffe gebaut. Auch hier die Größen 132, 140 und 145 Fuß Länge.</w:t>
      </w:r>
      <w:r>
        <w:rPr>
          <w:rStyle w:val="char1"/>
        </w:rPr>
      </w:r>
      <w:r>
        <w:rPr>
          <w:rStyle w:val="char1"/>
        </w:rPr>
        <w:footnoteReference w:id="251"/>
      </w:r>
      <w:r/>
    </w:p>
    <w:p>
      <w:pPr>
        <w:pStyle w:val="para9"/>
      </w:pPr>
      <w:r>
        <w:t>Am 25.04.1697 wurden erneut Ausschreibungen zum Bau von neuen Kriegsschiffen getätigt. So sollten insgesamt 18 neue Kriegsschiffe gebaut werden. Sieben mit einer Länge über Steven von 145 Fuß und elf mit einer Länge von 135 Fuß. Die Verteilung auf die jeweiligen Admiralitäten war wie folgt:</w:t>
      </w:r>
    </w:p>
    <w:p>
      <w:pPr>
        <w:pStyle w:val="para9"/>
      </w:pPr>
      <w:r>
        <w:t>Die Admiralität Rotterdam sollte 1 x 145 Fuß und 2 x 135 Fuß-Kriegsschiffe bauen lassen. Die Admiralität Amsterdam hatte wie schon in den zurückliegenden Jahrzehnten den Löwenanteil zu stemmen. Sie mussten 2 x 145 Fuß und 5 x 135 Fuß-Kriegsschiffe bauen lassen. Die Admiralitäten Zeeland und das Noorderkwartier mussten je 2 x 145 Fuß und 1 x 135 Fuß-Kriegsschiffe bauen lassen. Und schließlich die kleinste der Admiralitäten, nämlich Friesland, musste 1 x 145 Fuß und 2 x 135 Fuß-Kriegsschiffe bauen lassen.</w:t>
      </w:r>
      <w:r>
        <w:rPr>
          <w:rStyle w:val="char1"/>
        </w:rPr>
      </w:r>
      <w:r>
        <w:rPr>
          <w:rStyle w:val="char1"/>
        </w:rPr>
        <w:footnoteReference w:id="252"/>
      </w:r>
      <w:r>
        <w:t xml:space="preserve"> Das größere Schiff wurde dem dritten Rang und das kleinere Schiff dem vierten Rang zugeordnet. Vermutlich wurde dieses Bauprogramm parallel zum Fertigstellungsprogramm der 80er-Jahre in Auftrag gegeben.</w:t>
      </w:r>
      <w:r>
        <w:rPr>
          <w:rStyle w:val="char1"/>
        </w:rPr>
      </w:r>
      <w:r>
        <w:rPr>
          <w:rStyle w:val="char1"/>
        </w:rPr>
        <w:footnoteReference w:id="253"/>
      </w:r>
      <w:r/>
    </w:p>
    <w:p>
      <w:pPr>
        <w:pStyle w:val="para2"/>
      </w:pPr>
      <w:bookmarkStart w:id="253" w:name="_TOC000261"/>
      <w:r>
        <w:t>Die Bauaufsichten</w:t>
      </w:r>
      <w:bookmarkEnd w:id="253"/>
      <w:r>
        <w:t>; Adm</w:t>
      </w:r>
    </w:p>
    <w:p>
      <w:pPr>
        <w:pStyle w:val="para9"/>
      </w:pPr>
      <w:r>
        <w:t>Schon im Januar des Jahres 1666 berichtete der Beauftragte Tjark Hidders de Vries den Generalstaaten, dass es in Harlingen zu Verzögerungen mit der Ausrüstung der drei 150-Fuß-Kriegsschiffe kommen würde. Man hatte keine Rundhölzer, keine Anker, keine Bewaffnung usw. Selbst der Hafen schien sich in sehr schlechtem Zustand zu befinden. Er drängte auf eine Veränderung der Wassertiefe, um die Schiffe nach Fertigstellung ins tiefere Fahrwasser zu bekommen.</w:t>
      </w:r>
      <w:r>
        <w:rPr>
          <w:rStyle w:val="char1"/>
        </w:rPr>
      </w:r>
      <w:r>
        <w:rPr>
          <w:rStyle w:val="char1"/>
        </w:rPr>
        <w:footnoteReference w:id="255"/>
      </w:r>
      <w:r>
        <w:t xml:space="preserve"> Der Beauftragte hatte wohl ein schlechtes Gefühl, ob denn die acht in Harlingen liegenden Kriegsschiffe jemals fertiggestellt werden könnten.</w:t>
      </w:r>
    </w:p>
    <w:p>
      <w:pPr>
        <w:pStyle w:val="para9"/>
      </w:pPr>
      <w:r>
        <w:t>Am 10. Februar 1666 beklagte sich Willem van Meck bei den Generalstaaten darüber, dass die in Amsterdam gebauten Kriegsschiffe, ohne geprüft worden zu sein, von den Schiffbauern an die Admiralität übergeben worden waren.</w:t>
      </w:r>
      <w:r>
        <w:rPr>
          <w:rStyle w:val="char1"/>
        </w:rPr>
      </w:r>
      <w:r>
        <w:rPr>
          <w:rStyle w:val="char1"/>
        </w:rPr>
        <w:footnoteReference w:id="256"/>
      </w:r>
      <w:r>
        <w:t xml:space="preserve"> Er war wohl mit der Prüfung der Angelegenheit betraut worden.</w:t>
      </w:r>
    </w:p>
    <w:p>
      <w:pPr>
        <w:pStyle w:val="para9"/>
      </w:pPr>
      <w:r>
        <w:t>Die im Jahre 1665 in Auftrag gegebenen Kriegsschiffe wurden im März des Jahres 1666 durch die Generalstaaten abgenommen, um sie der Flotte zu übergeben. Die damit beauftragten Herren begaben sich zuerst am 5. März auf den Weg nach Enkhuizen, um die dort gebauten Schiffe zu vermessen. Der vorliegende Bericht lässt einmal einen flüchtigen Blick auf eine solche Maßnahme zu.</w:t>
      </w:r>
      <w:r>
        <w:rPr>
          <w:rStyle w:val="char1"/>
        </w:rPr>
      </w:r>
      <w:r>
        <w:rPr>
          <w:rStyle w:val="char1"/>
        </w:rPr>
        <w:footnoteReference w:id="257"/>
      </w:r>
      <w:r/>
    </w:p>
    <w:p>
      <w:pPr>
        <w:pStyle w:val="para9"/>
      </w:pPr>
      <w:r>
        <w:t>Die Herren kamen am 5. März 1666 in Enkhuizen an. Aber erst einen Tag später konnte das erste Schiff in Augenschein genommen werden. Zuvor mussten zwei Schiffbaumeister bestimmt werden, die die Schiffsvermessung begleiten sollten. Die Schiffbaumeister Dirck Cornelis Timmerman, Jan Dircks Groot und der Sekretär der Admiralität des Noorderkwartiers sollten an der Vermessung teilnehmen. Also erschien die kleine Gesellschaft gegen 14 Uhr auf dem am Kai liegenden Schiff. Es wurden verschiedene, leider nicht näher bekannte Untersuchungen getätigt. Das Schiff wurde von Jacob Willemse, einem Schiffbauer aus Enkhuizen, gebaut. Es hatte in Übereinstimmung mit dem Besteck eine Länge über Steven von 140 Fuß. Die Schiffsweite wurde mit 37 Fuß 2 Daumen festgestellt. Laut Besteck waren 37 Fuß gefordert. Die im Besteck vorgeschriebene Raumtiefe von 14 Fuß wurde um 2 Daumen überschritten. Die übrigen Decks waren besteckgerecht ausgeführt. Es kam dann wohl zu Meinungsverschiedenheiten, da man verschiedener Auffassung war, wie groß die Anzahl der Kattspuren, die dazugehörenden Sitzer und Stützen an der Wegerung, der Steunder auszulegen war. Man zählte wohl 14 Kattspuren und 12 Stützen auf der Wegerung. Die Anzahl der Sitzer an den Enden der Kattspuren vor und achter dem Großmast erschien den Prüfern zu gering. Die vorgefundene Anzahl von zwei Sitzern sollten auf vier erhöht werden.</w:t>
      </w:r>
    </w:p>
    <w:p>
      <w:pPr>
        <w:pStyle w:val="para9"/>
      </w:pPr>
      <w:r>
        <w:t>Am Montag, den 9. März wurde das zweite Schiff besichtigt und vermessen. Der Schiffbaumeister Wouter Sybrantsen hatte dieses Schiff gebaut und alles für die Vermessung Erforderliches vorbereitet. Auch dieses Schiff hatte eine vorgeschriebene Länge über Steven von 140 Fuß. Das gemessene Längenmaß betrug aber nur 139 Fuß 7 ½ Daumen. Die Schiffsweite war mit 2 Daumen höher als die im Besteck geforderten 37 Fuß ausgefallen. Jedoch war die Raumtiefe mit 13 Fuß 9 ¾ Daumen geringer ausgefallen, als dieses im Besteck mit 14 Fuß festgelegte Maß. Das Verdeck (Kuhbrücke) wurde mit 8 Fuß Höhe ermittelt. Schanz (Halbdeck) und Backdeck wurde besteckgerecht ausgeführt. Dass man wohl auch genauer hinsah, macht die folgende Bemerkung deutlich. Der Vorsteven des Schiffes war nach Meinung der Prüfer in Längsrichtung des Schiffes zu breit. Man hatte am oberen Ende eine größere Breite um 6 ¼ Daumen gemessen. Außerdem hatte der Schiffbauer den Vorsteven zu hoch ausgeführt, nämlich um 1 ¼ Fuß. Auch auf dieser Werft entzündete sich eine Diskussion um die zusätzlichen Verstärkungen im Raum des Schiffes. Es wurden 19 Kattspuren und 12 Stützen Steunder auf der Wegerung vorgefunden. Vor und achter dem Großmast war auch hier die Anzahl der Sitzer zu gering. Man wollte, genau wie beim ersten vermessenen Schiff, je vier Sitzer an den Enden der Kattspuren ausgeführt haben.</w:t>
      </w:r>
    </w:p>
    <w:p>
      <w:pPr>
        <w:pStyle w:val="para9"/>
      </w:pPr>
      <w:r>
        <w:t>Am selben Abend des 9. März begaben sich die Prüfer weiter nach Medemblick. Hier wollte man am folgenden Tag das von Cornelis Bly gebaute Kriegsschiff prüfen. Das auf seiner Werft gebaute Schiff sollte eine Schiffslänge über Steven von 150 Fuß haben. Auch hier wurde eine öffentliche Person, nämlich der Bürgermeister, und nicht näher benannte Schiffbauer hinzugezogen. Man ermittelte eine Länge über Steven von 150 ½ Fuß, 39 ½ Fuß Schiffsweite und eine Raumtiefe von 14 Fuß 3 Daumen. Die Kuhbrücke des Schiffes hatte eine Höhe von 7 Fuß 9 ½ Daumen oberhalb des Überlaufs, an der Bordseite gemessen. Das Halbdeck wurde ebenfalls an der Bordseite mit 7 Fuß 10 Daumen vermessen. Das Backdeck war besteckgerecht ausgeführt. Die Hütte des Schiffes hatte eine gemessene Länge von 30 ½ Fuß.</w:t>
      </w:r>
    </w:p>
    <w:p>
      <w:pPr>
        <w:pStyle w:val="para9"/>
      </w:pPr>
      <w:r>
        <w:t>Am folgenden Tag, den 10. März ging die Reise weiter nach Hoorn. Auch in Hoorn sollte der Bürgermeister Van Schoone, die Schiffbaumeister Claes Schouten und Pieter Pietersen Brebaert der Vermessungsaktion beiwohnen und assistieren. Das durch den Schiffbauer Wouter Pieterse gebaute Kriegsschiff sollte eine Länge über Steven von 150 Fuß haben. Auch hier erwarteten die Prüfer eine gut vorbereitete Mannschaft vonseiten der Werft. Leider wurden sie schwer enttäuscht, sodass eine längere Wartezeit in Kauf genommen werden musste. Die Messungen ergaben, dass die Länge über Steven mit 149 Fuß 6 ½ Daumen zu kurz geraten war. Die Schiffsweite war mit 39 Fuß 2 Daumen zu weit. Die Raumtiefe lag bei 14 Fuß ½ Daumen. Das Bovenet (Kuhbrücke) wurde im Bereich des Großmastes gemessen. Hier ergab sich eine Höhe über dem Überlauf von 7 Fuß 3 ¾ Daumen. Das Halbdeck hatte eine Höhe von 7 Fuß 4 ½ Daumen. Die Länge der Hütte wird sicher einige Diskussionen nach sich gezogen haben. Die vorgeschriebene Länge von 30 Fuß wurde um 4 Fuß unterschritten. Eine magere Länge von 26 Fuß wurde ermittelt. Der Vorsteven dieses Schiffes war am oberen Ende zu breit ausgefallen. 5 Fuß 3 Daumen erschien den Prüfern zu viel. Der Vorsteven sei in Schiffslängsrichtung um 1 Fuß 1 ½ Daumen zu breit ausgefallen. Auch bei diesem Schiff entzündete sich eine Diskussion um die Anzahl der Kattspuren und Stützen auf der Wegerung. Leider ist die Stelle im Originaldokument sehr unleserlich. Der weitere Verlauf des Textes kann nicht entziffert werden.</w:t>
      </w:r>
    </w:p>
    <w:p>
      <w:pPr>
        <w:pStyle w:val="para9"/>
      </w:pPr>
      <w:r>
        <w:t>Noch am selben Tag sind die Prüfer zu Schiff nach Den Haag zurückgekehrt, um Bericht zu erstatten.</w:t>
      </w:r>
    </w:p>
    <w:p>
      <w:pPr>
        <w:pStyle w:val="para2"/>
      </w:pPr>
      <w:bookmarkStart w:id="257" w:name="_TOC000262"/>
      <w:r>
        <w:t>Kurzer Rückblick</w:t>
      </w:r>
      <w:bookmarkEnd w:id="257"/>
      <w:r>
        <w:t>; Adm</w:t>
      </w:r>
    </w:p>
    <w:p>
      <w:pPr>
        <w:pStyle w:val="para9"/>
      </w:pPr>
      <w:r>
        <w:t>Werfen wir noch einen kurzen Blick auf die Entwicklung der Schiffsgrößen. Es fällt auf, dass man zu Beginn der 1650er-Jahre noch nicht bereit war, wirklich große Kriegsschiffe zu bauen. Obwohl die meisten Werften im Land durchaus Erfahrungen im Bau von großen Schiffen hatten, traute man sich anfangs nicht, diese auch für die neu aufgestellte Marine zu bauen. Aus dem anfänglichen Wunsch, 150-, 140- und 134-Fuß-Kriegsschiffe bauen zu lassen, blieb nicht viel übrig. Die 140er und 134er wurden nicht gebaut. Dafür gab es dann die 136er und vor allem die 130er-Kriegsschiffe. Sie waren den Verantwortlichen bereits vertraut. Von den 150-Fuß-Kriegsschiffen wurden nur zwei gebaut. Einmal die hier vorgestellte Eendracht und das Schwesterschiff Groot Hollandt. In den 60er-Jahren tastete man sich dann in die Richtung 140-, 150-, 160- und 165-Fuß-Kriegsschiffe vor. Man hatte erkannt, dass die Kriegsschiffe des ersten Bauprogramms den englischen Kriegsschiffen nicht gewachsen waren. So wurden die Verantwortlichen gezwungen, die Bewaffnung der Schiffe zu erhöhen. Das gelang natürlich nicht mit den kleineren Schiffen. War noch um 1655 das 130-Fuß-Kriegsschiff mehrheitlich anzutreffen, war es nach 1665 das 150-Fuß-Kriegsschiff. Ab 1667 wurden dann verstärkt die größeren Kriegsschiffe von 165 Fuß Länge gebaut und eingesetzt. Hier tauchen dann schon die ersten 170-Fuß-Kriegsschiffe auf. Sie hatten schon drei durchgehende Decks. Ob es sich allerdings schon um richtige Dreidecker handelte, mag bezweifelt werden. Bis 1700 tat sich nicht viel in der Entwicklung des niederländischen Kriegsschiffbaus. Aber ab 1708 wurden die Schiffe weiter gebaut, vermutlich um der schwereren Bewaffnung Rechnung zu tragen. In den 80er-Jahren des 18. Jahrhunderts tauchen dann Kriegsschiffe mit einer Länge von 185 Fuß auf. Hierzu gibt es im Nationaal Archief Den Haag eine große Anzahl an Bestecken und weiterführende Informationen.</w:t>
      </w:r>
    </w:p>
    <w:p>
      <w:pPr>
        <w:pStyle w:val="para2"/>
      </w:pPr>
      <w:bookmarkStart w:id="258" w:name="_TOC000010"/>
      <w:r>
        <w:t>Menschliche Aspekte</w:t>
      </w:r>
      <w:bookmarkEnd w:id="258"/>
      <w:r>
        <w:t>, allgemein</w:t>
      </w:r>
    </w:p>
    <w:p>
      <w:pPr>
        <w:pStyle w:val="para9"/>
      </w:pPr>
      <w:r>
        <w:t>Der Mensch als solches, und der Schiffbauer im Besonderen stand Neuerungen nicht immer sonderlich aufgeschlossen gegenüber. Forderte zum Beispiel ein Kunde, dass ein neu zu bauendes Schiff 2 bis 4 Fuß weiter werden sollte, stellte diese Forderung den Schiffbauer vor eine große Herausforderung. Meistens konnte er diesen Wunsch nicht erfüllen, da sein Instrumentarium, also seine Erfahrung und die Familientradition dieses nicht zuließen. Er hatte von seinem Vater, Großvater und anderen Familienmitgliedern sein Handwerk erlernt, war also nicht aufgeschlossen genug, um eine derartige Hürde nehmen zu können. Da spielt es auch keine große Rolle, ob es sich, wie im Fall der Eendracht um den besten Schiffbauer der Admiralität Rotterdam handelte. Jan Salomon van der Tempel</w:t>
      </w:r>
      <w:r>
        <w:fldChar w:fldCharType="begin"/>
        <w:instrText xml:space="preserve">XE "Jan Salomon van der Tempel"</w:instrText>
        <w:fldChar w:fldCharType="end"/>
      </w:r>
      <w:r>
        <w:t xml:space="preserve"> war ein guter Schiffbauer und leitete immerhin die Werft der Adm. Rotterdam. Die bekannten Kriegsschiffe der ersten Generation, die Aemilia (1632-1647) und die Brederode</w:t>
      </w:r>
      <w:r>
        <w:fldChar w:fldCharType="begin"/>
        <w:instrText xml:space="preserve">XE "Brederode"</w:instrText>
        <w:fldChar w:fldCharType="end"/>
      </w:r>
      <w:r>
        <w:t xml:space="preserve"> (1643/46-1658) stammen von ihm. Er war maßgeblich an der Erstellung der Bestecke des großen Flottenbauprogramms beteiligt. Die Verantwortlichen der Admiralität hielten große Stücke auf diesen fähigen Mann.</w:t>
      </w:r>
    </w:p>
    <w:p>
      <w:pPr>
        <w:pStyle w:val="para2"/>
      </w:pPr>
      <w:bookmarkStart w:id="259" w:name="_TOC000011"/>
      <w:r>
        <w:t>Regeln im 17. Jahrhundert</w:t>
      </w:r>
      <w:bookmarkEnd w:id="259"/>
      <w:r>
        <w:t>; allgemein, Adm</w:t>
      </w:r>
    </w:p>
    <w:p>
      <w:pPr>
        <w:pStyle w:val="para9"/>
      </w:pPr>
      <w:r>
        <w:t xml:space="preserve">Die damals geltenden Regeln im Schiffbau besagten, dass die Schiffsweite eines Kriegsschiffes ein Viertel der Schiffslänge betragen sollte. Männer wie J.S.v. Tempel hielten sich nicht immer im Detail an diese Regeln. Ein zu großes Abweichen vom Vertragswerk eines Besteckes hatte allerdings im Zweifel empfindliche Geldstrafen zur Folge. Der ausführende Schiffbauer musste im Falle von Änderungen am Schiff gute Argumente ins Feld führen. Konnte der Kunde von der Änderung nicht überzeugt werden, wurde vom veranschlagten Kostenrahmen ein angemessener Betrag abgezogen. Dieses ist einigen Schiffbauern so ergangen, als sie aus uns heute nicht bekannten Gründen, dass vorgeschriebene Bauholz nicht verwendeten. Die Außenhautbeplankung gerade unterhalb der Berghölzer wurde von ihnen verändert. Statt der vorgeschriebenen </w:t>
      </w:r>
      <w:r>
        <w:rPr>
          <w:i/>
          <w:iCs/>
        </w:rPr>
        <w:t>„Smitsemer</w:t>
      </w:r>
      <w:r>
        <w:rPr>
          <w:i/>
          <w:iCs/>
        </w:rPr>
        <w:fldChar w:fldCharType="begin"/>
        <w:instrText xml:space="preserve">XE "Smitsemer"</w:instrText>
        <w:fldChar w:fldCharType="end"/>
      </w:r>
      <w:r>
        <w:rPr>
          <w:i/>
          <w:iCs/>
        </w:rPr>
        <w:t>“</w:t>
      </w:r>
      <w:r>
        <w:t xml:space="preserve"> hatten sie Hamburger Planken</w:t>
      </w:r>
      <w:r>
        <w:fldChar w:fldCharType="begin"/>
        <w:instrText xml:space="preserve">XE "Hamburger Planken"</w:instrText>
        <w:fldChar w:fldCharType="end"/>
      </w:r>
      <w:r>
        <w:t xml:space="preserve"> verbaut. Nachdem das bekannt wurde, prüften die Auftraggeber alle auf Stapel stehenden Neubauten und verhängten empfindliche Geldstrafen. Pro Neubau wurden 400 Gulden einbehalten. Interessant ist in diesem Zusammenhang, dass genau diese 400 Gulden den Schiffbauern an anderer Stelle wieder zugutekamen.</w:t>
      </w:r>
      <w:r>
        <w:rPr>
          <w:rStyle w:val="char1"/>
        </w:rPr>
      </w:r>
      <w:r>
        <w:rPr>
          <w:rStyle w:val="char1"/>
        </w:rPr>
        <w:footnoteReference w:id="261"/>
      </w:r>
      <w:r>
        <w:t xml:space="preserve"> Man hatte während des Entwurfs des ersten großen Flottenbauprogramms die Vorstellung gehabt, dass bei den kleineren Schiffen von 130 Fuß Länge nicht unbedingt ein Halbdeck oder Backdeck erforderlich sei. Später, auf Drängen der Flottenführung wurden diese beiden Decks dann einheitlich in alle 130er-Schiffe eingebaut. Dieses geschah allerdings während der Bauphase. So bekamen die Schiffbauer je Neubau 400 Gulden für diese sicher umfangreichen Arbeiten an den Decks.</w:t>
      </w:r>
    </w:p>
    <w:p>
      <w:pPr>
        <w:pStyle w:val="para2"/>
      </w:pPr>
      <w:bookmarkStart w:id="261" w:name="_TOC000013"/>
      <w:r>
        <w:t>Leichte Verbesserungen an den Schiffen</w:t>
      </w:r>
      <w:bookmarkEnd w:id="261"/>
      <w:r>
        <w:t>; Adm</w:t>
      </w:r>
    </w:p>
    <w:p>
      <w:pPr>
        <w:pStyle w:val="para9"/>
      </w:pPr>
      <w:r>
        <w:t>J.S.v. Tempel hatte als einer der wenigen sehr fähigen Schiffbauer die Probleme der Praktiker erkannt und er versuchte, durch kleinere Korrekturen am Bau der Schiffe einiges zu retten. Leider war er aber gezwungen, die zugrunde gelegten Bestecke als Maß der Dinge zu sehen und darauf zu achten, das nach ihnen gebaut wurde. Bei den kleineren 130-Fuß-Kriegsschiffen hatte er als Bauaufsicht</w:t>
      </w:r>
      <w:r>
        <w:fldChar w:fldCharType="begin"/>
        <w:instrText xml:space="preserve">XE "Bauaufsicht"</w:instrText>
        <w:fldChar w:fldCharType="end"/>
      </w:r>
      <w:r>
        <w:t xml:space="preserve"> führender Schiffbauer angeordnet, die Überläufe fünf Daumen höher zu legen. Zwei der vier Schiffe wurden sogar mit Erlaubnis der Admiralität Rotterdam um vier Fuß verlängert, sodass wenigstens ein Teil der ursprünglich angedachten 134-Fuß-Kriegsschiffe der Flotte zur Verfügung gestellt werden konnte. Im Falle der Eendracht konnte er nur die Schiffslänge um ganze zwei Fuß verlängern. Die Höhe des Überlaufs konnte er dadurch mehr oder weniger besteckgerecht um drei Daumen erhöhen. Die geltende Regel 1/10*Schiffslänge ergab die Raumtiefe. Sicher hätte er auch gerne die Schiffsweite auf 39 oder gar 40 Fuß gebracht. Nur das Schiff hätte dann die Werft nicht mehr verlassen können. Eine Brückendurchfahrt ins tiefere Fahrwasser hatte scheinbar genau das Maß von 38 Fuß.</w:t>
      </w:r>
    </w:p>
    <w:p>
      <w:pPr>
        <w:pStyle w:val="para2"/>
      </w:pPr>
      <w:bookmarkStart w:id="262" w:name="_TOC000014"/>
      <w:r>
        <w:t>Reparatur der Brederode</w:t>
      </w:r>
      <w:bookmarkEnd w:id="262"/>
      <w:r>
        <w:t>; Adm</w:t>
      </w:r>
    </w:p>
    <w:p>
      <w:pPr>
        <w:pStyle w:val="para9"/>
      </w:pPr>
      <w:r>
        <w:t>Am Beispiel der Brederode</w:t>
      </w:r>
      <w:r>
        <w:fldChar w:fldCharType="begin"/>
        <w:instrText xml:space="preserve">XE "Brederode"</w:instrText>
        <w:fldChar w:fldCharType="end"/>
      </w:r>
      <w:r>
        <w:t xml:space="preserve"> kann übrigens nachgezeichnet werden, wie aus einem weniger Guten doch noch ein gutes Schiff werden konnte. Auch die Brederode war ein rankes Schiff, hatte die Probleme mit den Geschützpforten und die von C.W.de With aufgeführten Mängel.</w:t>
      </w:r>
    </w:p>
    <w:p>
      <w:pPr>
        <w:pStyle w:val="para9"/>
      </w:pPr>
      <w:r>
        <w:t>Nach einem Seegefecht mit den Engländern wurde die Brederode 1652 derart beschädigt, dass umfangreiche Reparaturmaßnahmen erforderlich waren. M.H. Tromp versuchte daraufhin, nicht nur die Schäden beheben zu lassen, sondern er wollte auch die Problematik mit dem ranken Schiff beheben lassen. Zu diesem Zweck hatte er sich mit J.S.v. Tempel abgestimmt. Sie kamen überein, dem Schiff einen zusätzlichen Bauch zu geben. Von der Kimm bis unter die Berghölzer sollte eine zweite Außenhaut aufgebracht werden. Die Anzahl der neuen Planken ist überliefert. So sollten 150 Planken in einer Stärke von 3 1/2 Daumen verwendet werden. Die Umbaumaßnahme kostete immerhin 8000 Gulden. Das Schiff wurde nach der Umbaumaßnahme im März 1653 von allen Beteiligten für sehr gut befunden. Die Probleme mit den Geschützpforten gab es anschließend nicht mehr und die Fahreigenschaften hatten sich sehr positiv verändert.</w:t>
      </w:r>
    </w:p>
    <w:p>
      <w:pPr>
        <w:pStyle w:val="para9"/>
      </w:pPr>
      <w:r>
        <w:t>Fassen wir also noch einmal kurz zusammen. Die Problematik der ranken Schiffe war den Verantwortlichen seit langer Zeit bekannt. Es wurde sogar erfolgreich eine Maßnahme praktiziert, um die Probleme zu beheben. Die Schlussfolgerung wäre eigentlich gewesen, die neuen Kriegsschiffe gleich anders zu bauen. Weit gefehlt, die Verantwortlichen in den Gremien konnten nicht über ihren Schatten springen. Sie handelten nach alter Gewohnheit.</w:t>
      </w:r>
    </w:p>
    <w:p>
      <w:pPr>
        <w:pStyle w:val="para9"/>
      </w:pPr>
      <w:r>
        <w:t>Aber nach dem die ersten 30 Kriegsschiffe fertiggestellt waren, hatten die Verantwortlichen der Admiralitäten nichts Besseres zu tun, als die Schiffe nach altem Recht auf Herz und Nieren zu prüfen. Grundlage dieser Überprüfung waren wiederum die Bestecke. Bei kleinsten Abweichungen ging es gleich ans Geld der Schiffbauer. Kein Prüfer der Admiralität Rotterdam kam auf die Idee, sich die Hauptabmessungen der Eendracht genauer vor Augen zu führen. Nach dem Stapellauf musste das Schiff aus dem Hafenbereich in tieferes Wasser überführt werden. Zu diesem Zweck musste es durch ein Nadelöhr in Form einer Brückendurchfahrt. Die Durchfahrtsbreite betrug aber wohl nur 38 Fuß, und die Wassertiefe muss auch nur um die 10 bis 15 Fuß betragen haben. So blieb dieses große Schiff genau dort stecken. Es dauerte einige Wochen, bis die Eendracht wieder freikam. Von Weitsicht der Verantwortlichen kann sicher nicht gesprochen werden, denn diese Brücke stand in unmittelbarer Nähe der Werft.</w:t>
      </w:r>
    </w:p>
    <w:p>
      <w:pPr>
        <w:pStyle w:val="para9"/>
      </w:pPr>
      <w:r>
        <w:rPr>
          <w:noProof/>
        </w:rPr>
        <mc:AlternateContent>
          <mc:Choice Requires="wpg">
            <w:drawing>
              <wp:anchor distT="89535" distB="179705" distL="89535" distR="89535" simplePos="0" relativeHeight="251658295" behindDoc="0" locked="0" layoutInCell="0" hidden="0" allowOverlap="1">
                <wp:simplePos x="0" y="0"/>
                <wp:positionH relativeFrom="margin">
                  <wp:align>center</wp:align>
                  <wp:posOffset2>0</wp:posOffset2>
                </wp:positionH>
                <wp:positionV relativeFrom="margin">
                  <wp:align>top</wp:align>
                </wp:positionV>
                <wp:extent cx="6120130" cy="2977515"/>
                <wp:effectExtent l="0" t="0" r="0" b="0"/>
                <wp:wrapSquare wrapText="bothSides"/>
                <wp:docPr id="55" name="Gruppe20"/>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CRAQAAAKIAACAAAAAAAAAAAgAAAAEAAAAAAAAAAQAAAAEAAAAAAAAApiUAAFESAAAnAAAANwIAAG4EAAAoAAAACAAAAAEAAAABAAAA"/>
                          </a:ext>
                        </a:extLst>
                      </wpg:cNvGrpSpPr>
                      <wpg:grpSpPr>
                        <a:xfrm>
                          <a:off x="0" y="0"/>
                          <a:ext cx="6120130" cy="2977515"/>
                          <a:chOff x="0" y="0"/>
                          <a:chExt cx="6120130" cy="2977515"/>
                        </a:xfrm>
                      </wpg:grpSpPr>
                      <wps:wsp>
                        <wps:cNvPr id="56" name="Textbox40"/>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k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LxAAAAAAAAA3AgAAbgQAACgAAAAIAAAAAQAAAAIAAAAwAAAAFAAAAAAAAAAAAP//AAABAAAA//8AAAEA"/>
                            </a:ext>
                          </a:extLst>
                        </wps:cNvSpPr>
                        <wps:spPr>
                          <a:xfrm>
                            <a:off x="0" y="0"/>
                            <a:ext cx="6120130" cy="263080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Bauch-Brederode-Manuskript.JPG</w:t>
                              </w:r>
                            </w:p>
                            <w:p>
                              <w:pPr>
                                <w:spacing/>
                                <w:jc w:val="center"/>
                                <w:rPr>
                                  <w:b/>
                                  <w:bCs/>
                                  <w:sz w:val="24"/>
                                  <w:szCs w:val="24"/>
                                </w:rPr>
                              </w:pPr>
                              <w:r>
                                <w:rPr>
                                  <w:b/>
                                  <w:bCs/>
                                  <w:sz w:val="24"/>
                                  <w:szCs w:val="24"/>
                                </w:rPr>
                              </w:r>
                            </w:p>
                            <w:p>
                              <w:pPr>
                                <w:spacing/>
                                <w:jc w:val="center"/>
                                <w:rPr>
                                  <w:b/>
                                  <w:bCs/>
                                  <w:color w:val="ff0000"/>
                                  <w:sz w:val="24"/>
                                  <w:szCs w:val="24"/>
                                </w:rPr>
                              </w:pPr>
                              <w:r>
                                <w:rPr>
                                  <w:b/>
                                  <w:bCs/>
                                  <w:color w:val="ff0000"/>
                                  <w:sz w:val="24"/>
                                  <w:szCs w:val="24"/>
                                </w:rPr>
                                <w:t>Die Unterkonstruktion besser darstellen, wenn möglich,</w:t>
                              </w:r>
                            </w:p>
                            <w:p>
                              <w:pPr>
                                <w:spacing/>
                                <w:jc w:val="center"/>
                                <w:rPr>
                                  <w:b/>
                                  <w:bCs/>
                                  <w:color w:val="ff0000"/>
                                  <w:sz w:val="24"/>
                                  <w:szCs w:val="24"/>
                                </w:rPr>
                              </w:pPr>
                              <w:r>
                                <w:rPr>
                                  <w:b/>
                                  <w:bCs/>
                                  <w:color w:val="ff0000"/>
                                  <w:sz w:val="24"/>
                                  <w:szCs w:val="24"/>
                                </w:rPr>
                                <w:t>ein 3D-Modell.</w:t>
                              </w:r>
                            </w:p>
                            <w:p>
                              <w:pPr>
                                <w:spacing/>
                                <w:jc w:val="center"/>
                                <w:rPr>
                                  <w:b/>
                                  <w:bCs/>
                                  <w:sz w:val="24"/>
                                  <w:szCs w:val="24"/>
                                </w:rPr>
                              </w:pPr>
                              <w:r>
                                <w:rPr>
                                  <w:b/>
                                  <w:bCs/>
                                  <w:sz w:val="24"/>
                                  <w:szCs w:val="24"/>
                                </w:rPr>
                              </w:r>
                            </w:p>
                            <w:p>
                              <w:pPr>
                                <w:spacing/>
                                <w:jc w:val="center"/>
                                <w:rPr>
                                  <w:b/>
                                  <w:bCs/>
                                  <w:sz w:val="24"/>
                                  <w:szCs w:val="24"/>
                                </w:rPr>
                              </w:pPr>
                              <w:r>
                                <w:rPr>
                                  <w:b/>
                                  <w:bCs/>
                                  <w:sz w:val="24"/>
                                  <w:szCs w:val="24"/>
                                </w:rPr>
                                <w:t>Die Umbaumaßnahme etwas besser darstellen.</w:t>
                              </w:r>
                            </w:p>
                          </w:txbxContent>
                        </wps:txbx>
                        <wps:bodyPr spcFirstLastPara="1" vertOverflow="clip" horzOverflow="clip" upright="1">
                          <a:prstTxWarp prst="textNoShape">
                            <a:avLst/>
                          </a:prstTxWarp>
                          <a:spAutoFit/>
                        </wps:bodyPr>
                      </wps:wsp>
                      <wps:wsp>
                        <wps:cNvPr id="57" name="Textbox41"/>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2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IgIAAAAAAAA3AgAAnRQAACgAAAAIAAAAAQAAAAIAAAAwAAAAFAAAAAAAAAAAAP//AAABAAAA//8AAAEA"/>
                            </a:ext>
                          </a:extLst>
                        </wps:cNvSpPr>
                        <wps:spPr>
                          <a:xfrm>
                            <a:off x="0" y="2630805"/>
                            <a:ext cx="6120130" cy="34671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16</w:t>
                                <w:fldChar w:fldCharType="end"/>
                              </w:r>
                              <w:r>
                                <w:t>: Eine technische Rekonstruktion der Umbaumaßnahme an der Brederode.</w:t>
                                <w:br w:type="textWrapping"/>
                                <w:t>Zeichnung ©Werner Ulrich, 2021.</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center;mso-position-vertical:top;mso-position-horizontal-relative:margin;mso-position-vertical-relative:margin;width:481.90pt;height:234.45pt;z-index:251658295;mso-wrap-distance-left:7.05pt;mso-wrap-distance-top:7.05pt;mso-wrap-distance-right:7.05pt;mso-wrap-distance-bottom:14.15pt" coordorigin="567,1134" coordsize="9638,4689">
                <v:shape id="Textbox40" o:spid="_x0000_s1064" type="#_x0000_t202" style="position:absolute;left:567;top:1134;width:9638;height:4143"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Fk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Bauch-Brederode-Manuskript.JPG</w:t>
                        </w:r>
                      </w:p>
                      <w:p>
                        <w:pPr>
                          <w:spacing/>
                          <w:jc w:val="center"/>
                          <w:rPr>
                            <w:b/>
                            <w:bCs/>
                            <w:sz w:val="24"/>
                            <w:szCs w:val="24"/>
                          </w:rPr>
                        </w:pPr>
                        <w:r>
                          <w:rPr>
                            <w:b/>
                            <w:bCs/>
                            <w:sz w:val="24"/>
                            <w:szCs w:val="24"/>
                          </w:rPr>
                        </w:r>
                      </w:p>
                      <w:p>
                        <w:pPr>
                          <w:spacing/>
                          <w:jc w:val="center"/>
                          <w:rPr>
                            <w:b/>
                            <w:bCs/>
                            <w:color w:val="ff0000"/>
                            <w:sz w:val="24"/>
                            <w:szCs w:val="24"/>
                          </w:rPr>
                        </w:pPr>
                        <w:r>
                          <w:rPr>
                            <w:b/>
                            <w:bCs/>
                            <w:color w:val="ff0000"/>
                            <w:sz w:val="24"/>
                            <w:szCs w:val="24"/>
                          </w:rPr>
                          <w:t>Die Unterkonstruktion besser darstellen, wenn möglich,</w:t>
                        </w:r>
                      </w:p>
                      <w:p>
                        <w:pPr>
                          <w:spacing/>
                          <w:jc w:val="center"/>
                          <w:rPr>
                            <w:b/>
                            <w:bCs/>
                            <w:color w:val="ff0000"/>
                            <w:sz w:val="24"/>
                            <w:szCs w:val="24"/>
                          </w:rPr>
                        </w:pPr>
                        <w:r>
                          <w:rPr>
                            <w:b/>
                            <w:bCs/>
                            <w:color w:val="ff0000"/>
                            <w:sz w:val="24"/>
                            <w:szCs w:val="24"/>
                          </w:rPr>
                          <w:t>ein 3D-Modell.</w:t>
                        </w:r>
                      </w:p>
                      <w:p>
                        <w:pPr>
                          <w:spacing/>
                          <w:jc w:val="center"/>
                          <w:rPr>
                            <w:b/>
                            <w:bCs/>
                            <w:sz w:val="24"/>
                            <w:szCs w:val="24"/>
                          </w:rPr>
                        </w:pPr>
                        <w:r>
                          <w:rPr>
                            <w:b/>
                            <w:bCs/>
                            <w:sz w:val="24"/>
                            <w:szCs w:val="24"/>
                          </w:rPr>
                        </w:r>
                      </w:p>
                      <w:p>
                        <w:pPr>
                          <w:spacing/>
                          <w:jc w:val="center"/>
                          <w:rPr>
                            <w:b/>
                            <w:bCs/>
                            <w:sz w:val="24"/>
                            <w:szCs w:val="24"/>
                          </w:rPr>
                        </w:pPr>
                        <w:r>
                          <w:rPr>
                            <w:b/>
                            <w:bCs/>
                            <w:sz w:val="24"/>
                            <w:szCs w:val="24"/>
                          </w:rPr>
                          <w:t>Die Umbaumaßnahme etwas besser darstellen.</w:t>
                        </w:r>
                      </w:p>
                    </w:txbxContent>
                  </v:textbox>
                </v:shape>
                <v:shape id="Textbox41" o:spid="_x0000_s1065" type="#_x0000_t202" style="position:absolute;left:567;top:5277;width:9638;height:546" stroked="f" filled="f" v:ext="SMDATA_14_tp7GZB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2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16</w:t>
                          <w:fldChar w:fldCharType="end"/>
                        </w:r>
                        <w:r>
                          <w:t>: Eine technische Rekonstruktion der Umbaumaßnahme an der Brederode.</w:t>
                          <w:br w:type="textWrapping"/>
                          <w:t>Zeichnung ©Werner Ulrich, 2021.</w:t>
                        </w:r>
                      </w:p>
                    </w:txbxContent>
                  </v:textbox>
                </v:shape>
                <w10:wrap type="square" anchorx="margin" anchory="margin"/>
              </v:group>
            </w:pict>
          </mc:Fallback>
        </mc:AlternateContent>
      </w:r>
      <w:r>
        <w:t>Die beiden Vorgängerschiffe Aemilia und Brederode waren für die Entwicklung des ersten großen Flottenbauprogramms außerordentlich wichtig. Die in der etwas älteren Fachliteratur angegebenen Schiffsgrößen der beiden genannten Schiffe sollten uns allerdings nicht täuschen. Die mit 132 Fuß angegebene Länge über die Steven entsprach noch dem Rotterdamer Maß. Es unterschied sich zum Maßsystem der Nordholländer erheblich. Das allgemein als Amsterdamer bekannte Maß für den Fuß hatte eine Länge von 283 mm. Das Rotterdamer Maß aber ein solches von 302 mm. Das heißt, natürlich, dass die beiden Schiffe schon um die 140 Amsterdamer Fuß lang waren. Beide Schiffe wurden in Rotterdam entworfen und durch J.S.v. Tempel gebaut. Man kann davon ausgehen, dass das Besteck der Aemilia oder Brederode die Grundlage für den Entwurf der Eendracht bildete. Leider ist dieses vermutlich wichtige Besteck trotz intensiver Suche noch nicht aufgetaucht und entzieht sich einer näheren Untersuchung.</w:t>
      </w:r>
    </w:p>
    <w:p>
      <w:pPr>
        <w:pStyle w:val="para9"/>
      </w:pPr>
      <w:r>
        <w:t>Als Cornelis Witte de With 1653 sein neues Schiff, die ’t Huys te Swieten, übernahm, konnte er schon nach kurzer Zeit feststellen, das auch dieses Schiff wieder falsch gebaut worden war.</w:t>
      </w:r>
      <w:r>
        <w:rPr>
          <w:rStyle w:val="char1"/>
          <w:rFonts w:eastAsia="SimSun" w:cs="Times New Roman"/>
          <w:lang w:eastAsia="default" w:bidi="default"/>
        </w:rPr>
      </w:r>
      <w:r>
        <w:rPr>
          <w:rStyle w:val="char1"/>
          <w:rFonts w:eastAsia="SimSun" w:cs="Times New Roman"/>
          <w:lang w:eastAsia="default" w:bidi="default"/>
        </w:rPr>
        <w:footnoteReference w:id="264"/>
      </w:r>
      <w:r>
        <w:t xml:space="preserve"> Es war sehr rank und die untere Geschützlage konnte bei entsprechendem Wetter nicht komplett genutzt werden. Das Schiff hatte eine überlieferte Länge nach Amsterdamer Maß von 146, eine Weite von 36 und eine Raumtiefe von 14 Fuß. Es ergab sich ein L/W von 4,056 und L/R von 10,4. De With schlug in einem Schreiben an die Verantwortlichen eine Maßnahme vor, die auch schon bei der Brederode erfolgreich durchgeführt wurde. Ob dieses Ansinnen De Withs umgesetzt wurde, konnte nicht festgestellt werden.</w:t>
      </w:r>
    </w:p>
    <w:p>
      <w:pPr>
        <w:pStyle w:val="para9"/>
      </w:pPr>
      <w:r>
        <w:t>Schauen wir uns die Brederode an, hatte sie eine Länge von 132 Fuß, eine Schiffsweite von 32 Fuß 4 Daumen und eine Raumtiefe von 13 Fuß. Dies entsprach aber dem Rotterdamer Maßsystem. Rechnen wir das ins Amsterdamer Maß um, kommen wir auf eine Länge von ca. 146 Fuß, eine Schiffsweite von 36 Fuß und eine Raumtiefe von 13 1/2 Fuß.</w:t>
      </w:r>
    </w:p>
    <w:p>
      <w:pPr>
        <w:pStyle w:val="para9"/>
      </w:pPr>
      <w:r>
        <w:t>Es ist also verständlich, dass C. de With nicht gerade begeistert war, wieder auf einem Schiff in den ursprünglichen Abmessungen der Brederode das Kommando übernehmen zu müssen.</w:t>
      </w:r>
    </w:p>
    <w:p>
      <w:pPr>
        <w:pStyle w:val="para2"/>
      </w:pPr>
      <w:r>
        <w:rPr>
          <w:noProof/>
        </w:rPr>
        <mc:AlternateContent>
          <mc:Choice Requires="wpg">
            <w:drawing>
              <wp:anchor distT="144145" distB="179705" distL="89535" distR="89535" simplePos="0" relativeHeight="251658298" behindDoc="0" locked="0" layoutInCell="0" hidden="0" allowOverlap="1">
                <wp:simplePos x="0" y="0"/>
                <wp:positionH relativeFrom="margin">
                  <wp:align>center</wp:align>
                  <wp:posOffset2>0</wp:posOffset2>
                </wp:positionH>
                <wp:positionV relativeFrom="margin">
                  <wp:posOffset>5760085</wp:posOffset>
                </wp:positionV>
                <wp:extent cx="6120130" cy="2642870"/>
                <wp:effectExtent l="0" t="0" r="0" b="0"/>
                <wp:wrapSquare wrapText="bothSides"/>
                <wp:docPr id="58" name="Gruppe21"/>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CVAQAAAKIAACAAAAAAAAAAAgAAAAEAAAAAAAAAAAAAAAEAAABvIwAApiUAAEIQAAAoAAAApQYAAN0nAAAoAAAACAAAAAEAAAABAAAA"/>
                          </a:ext>
                        </a:extLst>
                      </wpg:cNvGrpSpPr>
                      <wpg:grpSpPr>
                        <a:xfrm>
                          <a:off x="0" y="0"/>
                          <a:ext cx="6120130" cy="2642870"/>
                          <a:chOff x="0" y="0"/>
                          <a:chExt cx="6120130" cy="2642870"/>
                        </a:xfrm>
                      </wpg:grpSpPr>
                      <wps:wsp>
                        <wps:cNvPr id="59" name="Textbox42"/>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o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Gg4AAAAAAAClBgAA3ScAACgAAAAIAAAAAQAAAAIAAAAwAAAAFAAAAAAAAAAAAP//AAABAAAA//8AAAEA"/>
                            </a:ext>
                          </a:extLst>
                        </wps:cNvSpPr>
                        <wps:spPr>
                          <a:xfrm>
                            <a:off x="0" y="0"/>
                            <a:ext cx="6120130" cy="229235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Verdoppeln-Aussenhaut.JPG</w:t>
                              </w:r>
                            </w:p>
                            <w:p>
                              <w:pPr>
                                <w:spacing/>
                                <w:jc w:val="center"/>
                                <w:rPr>
                                  <w:b/>
                                  <w:bCs/>
                                  <w:sz w:val="24"/>
                                  <w:szCs w:val="24"/>
                                </w:rPr>
                              </w:pPr>
                              <w:r>
                                <w:rPr>
                                  <w:b/>
                                  <w:bCs/>
                                  <w:sz w:val="24"/>
                                  <w:szCs w:val="24"/>
                                </w:rPr>
                              </w:r>
                            </w:p>
                            <w:p>
                              <w:pPr>
                                <w:spacing/>
                                <w:jc w:val="center"/>
                                <w:rPr>
                                  <w:b/>
                                  <w:bCs/>
                                  <w:sz w:val="24"/>
                                  <w:szCs w:val="24"/>
                                </w:rPr>
                              </w:pPr>
                              <w:r>
                                <w:rPr>
                                  <w:b/>
                                  <w:bCs/>
                                  <w:sz w:val="24"/>
                                  <w:szCs w:val="24"/>
                                </w:rPr>
                                <w:t>Der Text sollte etwas ausführlicher gestaltet werden.</w:t>
                              </w:r>
                            </w:p>
                          </w:txbxContent>
                        </wps:txbx>
                        <wps:bodyPr spcFirstLastPara="1" vertOverflow="clip" horzOverflow="clip" upright="1">
                          <a:prstTxWarp prst="textNoShape">
                            <a:avLst/>
                          </a:prstTxWarp>
                          <a:spAutoFit/>
                        </wps:bodyPr>
                      </wps:wsp>
                      <wps:wsp>
                        <wps:cNvPr id="60" name="Textbox43"/>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rS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AIAAAAAAAClBgAA9zUAACgAAAAIAAAAAQAAAAIAAAAwAAAAFAAAAAAAAAAAAP//AAABAAAA//8AAAEA"/>
                            </a:ext>
                          </a:extLst>
                        </wps:cNvSpPr>
                        <wps:spPr>
                          <a:xfrm>
                            <a:off x="0" y="2292350"/>
                            <a:ext cx="6120130" cy="3505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17</w:t>
                                <w:fldChar w:fldCharType="end"/>
                              </w:r>
                              <w:r>
                                <w:t>: Ausführung einer doppelten Außenhaut an einem Handelsschiff.</w:t>
                                <w:br w:type="textWrapping"/>
                                <w:t>Zeichnung ©Werner Ulrich, 2022.</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center;margin-top:453.55pt;mso-position-horizontal-relative:margin;mso-position-vertical-relative:margin;width:481.90pt;height:208.10pt;z-index:251658298;mso-wrap-distance-left:7.05pt;mso-wrap-distance-top:11.35pt;mso-wrap-distance-right:7.05pt;mso-wrap-distance-bottom:14.15pt" coordorigin="1701,10205" coordsize="9638,4162">
                <v:shape id="Textbox42" o:spid="_x0000_s1066" type="#_x0000_t202" style="position:absolute;left:1701;top:10205;width:9638;height:3610"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oO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Verdoppeln-Aussenhaut.JPG</w:t>
                        </w:r>
                      </w:p>
                      <w:p>
                        <w:pPr>
                          <w:spacing/>
                          <w:jc w:val="center"/>
                          <w:rPr>
                            <w:b/>
                            <w:bCs/>
                            <w:sz w:val="24"/>
                            <w:szCs w:val="24"/>
                          </w:rPr>
                        </w:pPr>
                        <w:r>
                          <w:rPr>
                            <w:b/>
                            <w:bCs/>
                            <w:sz w:val="24"/>
                            <w:szCs w:val="24"/>
                          </w:rPr>
                        </w:r>
                      </w:p>
                      <w:p>
                        <w:pPr>
                          <w:spacing/>
                          <w:jc w:val="center"/>
                          <w:rPr>
                            <w:b/>
                            <w:bCs/>
                            <w:sz w:val="24"/>
                            <w:szCs w:val="24"/>
                          </w:rPr>
                        </w:pPr>
                        <w:r>
                          <w:rPr>
                            <w:b/>
                            <w:bCs/>
                            <w:sz w:val="24"/>
                            <w:szCs w:val="24"/>
                          </w:rPr>
                          <w:t>Der Text sollte etwas ausführlicher gestaltet werden.</w:t>
                        </w:r>
                      </w:p>
                    </w:txbxContent>
                  </v:textbox>
                </v:shape>
                <v:shape id="Textbox43" o:spid="_x0000_s1067" type="#_x0000_t202" style="position:absolute;left:1701;top:13815;width:9638;height:55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rS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17</w:t>
                          <w:fldChar w:fldCharType="end"/>
                        </w:r>
                        <w:r>
                          <w:t>: Ausführung einer doppelten Außenhaut an einem Handelsschiff.</w:t>
                          <w:br w:type="textWrapping"/>
                          <w:t>Zeichnung ©Werner Ulrich, 2022.</w:t>
                        </w:r>
                      </w:p>
                    </w:txbxContent>
                  </v:textbox>
                </v:shape>
                <w10:wrap type="square" anchorx="margin" anchory="margin"/>
              </v:group>
            </w:pict>
          </mc:Fallback>
        </mc:AlternateContent>
      </w:r>
      <w:bookmarkStart w:id="264" w:name="_TOC000221"/>
      <w:r>
        <w:t>Veränderungen an der Außenhaut eines Schiffes</w:t>
      </w:r>
      <w:bookmarkEnd w:id="264"/>
      <w:r>
        <w:t>; Adm</w:t>
      </w:r>
    </w:p>
    <w:p>
      <w:pPr>
        <w:pStyle w:val="para9"/>
      </w:pPr>
      <w:r>
        <w:t>Im Jahre 1663 hatte ein Schiffer sein Schiff umbauen lassen. Im Grunde nichts Ungewöhnliches, aber es zeigt uns heute, wie die Schiffbauer in der Mitte des 17. Jahrhunderts eine doppelte Außenhaut umsetzten.</w:t>
      </w:r>
    </w:p>
    <w:p>
      <w:pPr>
        <w:pStyle w:val="para2"/>
      </w:pPr>
      <w:bookmarkStart w:id="265" w:name="_TOC000015"/>
      <w:r>
        <w:t>Die Tradition der Schiffbauer ändern sich zwangsläufig</w:t>
      </w:r>
      <w:bookmarkEnd w:id="265"/>
      <w:r>
        <w:t>; Adm</w:t>
      </w:r>
    </w:p>
    <w:p>
      <w:pPr>
        <w:pStyle w:val="para9"/>
      </w:pPr>
      <w:r>
        <w:t>Während der englisch-niederländischen Seekriege im 17. Jahrhundert waren die niederländischen Schiffbauer erstmals gezwungen, ihre Bautradition schneller zu ändern, als es normalerweise üblich war. Die Bewaffnung der englischen Kriegsschiffe nahm ständig zu. Das hatte zwangsläufig zur Folge, dass die niederländischen Kriegsschiffe auch ihre Bewaffnung denen der Engländer anpassen mussten. Mit den Schiffen der ersten Generation war das aber nicht mehr möglich. Sie waren, was die Bewaffnung anging, ausgereizt. Die Schiffe, die dann in den Jahren 1664 bis 1666 gebaut wurden, waren erheblich größer als die der ersten Generation. Auch das Längen/Breitenverhältnis hatte sich etwas zugunsten der schwereren Bewaffnung verändert. Gab es in den 50er-Jahren des 17. Jahrhunderts noch ein Verhältnis von 3,9:1, änderte sich dieses in den 60er-Jahren in die Richtung 3,7, 3,8 zu 1. Selbst die Jahre zum Ende des Jahrhunderts brachten hier nicht viel an Veränderungen. Auch die Schiffslänge veränderte sich im 17. Jahrhundert langsam von ursprünglich 130, 136-140 und 150 Fuß hin zu 160, 165 und 170 Fuß. Im 18. Jahrhundert kamen dann noch Schiffsgrößen von 172 bis 185 Fuß hinzu.</w:t>
      </w:r>
    </w:p>
    <w:p>
      <w:pPr>
        <w:pStyle w:val="para2"/>
      </w:pPr>
      <w:bookmarkStart w:id="266" w:name="_TOC000016"/>
      <w:r>
        <w:t>Weitere Werkzeuge der Schiffbauer</w:t>
      </w:r>
      <w:bookmarkEnd w:id="266"/>
      <w:r>
        <w:t>; allgemein, Adm</w:t>
      </w:r>
    </w:p>
    <w:p>
      <w:pPr>
        <w:pStyle w:val="para9"/>
      </w:pPr>
      <w:r>
        <w:t>Auch wenn hier vielleicht nicht der geeignete Platz dafür erscheint, sollte doch auf bestimmte schiffbauliche Praktiken hingewiesen werden. Schiffbauer waren zu allen Zeiten bestrebt, ihre Arbeiten zu vereinfachen. Das kann leicht nachvollzogen werden, da eine Vereinfachung auch immer mit der Senkung der Kosten einherging. Gerade im Marine-Schiffbau legten die Verantwortlichen immer Wert auf besonders gute Ausführung der Arbeit. Wenn die Möglichkeit gegeben war, wurde nicht nur ein Schiff in entsprechender Größe gebaut, sondern eine kleine bis größere Serie in Auftrag gegeben. Da natürlich alle Bekamile eines Schiffes in Serie möglichst einheitlich auszusehen hatten, wird man vermutlich sehr früh Werkzeuge entwickelt haben, um eine Serie möglich zu machen. Das Augenmerk soll hier auf das sogenannte Mall gelegt werden. In der frühen Zeit, hier Mitte des 16. Jahrhunderts, wird der eine oder andere Schiffbauer von schon gebauten Schiffen Schablonen (Mallen) angefertigt haben. Sie sind nicht nachgewiesen, daher muss hier ein großes Fragezeichen angehängt werden. In den südlichen Niederlanden haben die Schiffbauer ja nach einem anderen System ihre Schiffe gebaut als im Norden der Provinz. Schon Cornelis van Yk wies darauf hin, dass man den Scheerstrook eines Schiffes aufbewahrte, um für eventuelle Nachbauten gerüstet zu sein. Die führende Handelskompanie der Niederlande im 17. Jahrhundert, die O.I.C. bestimmte zum Beispiel kurz nach ihrer Gründung, dass nur Schiffe durch die Herren 17 genehmigt wurden, die nach bestimmten Kriterien gebaut wurden. Dazu gehörte zum Beispiel ein festgelegtes Maß mit einer Länge von 10 Amsterdamer Fuß. Die Werften, die Schiffe für die O.I.C. bauten, mussten in Amsterdam vorsprechen und sich eine Kopie dieses Maßstabs anfertigen. Ferner finden wir gelegentlich Hinweise in den Unterlagen der Admiralitäten, dass ein Schiffbauer sich für den Bau des Schiffes die Mallen von der Admiralitätswerft besorgen musste. Das sind nur ansatzweise Hinweise auf eine wenig bekannte Praktik. Im 18. Jahrhundert wurde in den sehr ausführlichen Bestecken der Marine an vielen Stellen auf die zur Verfügung zu stellenden Mallen verwiesen. Dabei geht es nicht allein um den Schiffbau, auch andere Gewerke, die dem Schiffbau zuarbeiteten, waren hier eingeschlossen. Die Lieferanten von bestimmten Gegenständen für das betreffende Schiff mussten sich nach der Auftragsvergabe an die Admiralität wenden, um die entsprechenden Mallen zu bekommen.</w:t>
      </w:r>
    </w:p>
    <w:p>
      <w:pPr>
        <w:pStyle w:val="para1"/>
      </w:pPr>
      <w:bookmarkStart w:id="267" w:name="_TOC000036"/>
      <w:r>
        <w:t>Das Material Holz</w:t>
      </w:r>
      <w:bookmarkEnd w:id="267"/>
      <w:r/>
    </w:p>
    <w:p>
      <w:pPr>
        <w:pStyle w:val="para9"/>
      </w:pPr>
      <w:r>
        <w:rPr>
          <w:rStyle w:val="char1"/>
        </w:rPr>
      </w:r>
      <w:r>
        <w:rPr>
          <w:rStyle w:val="char1"/>
        </w:rPr>
        <w:footnoteReference w:id="269"/>
      </w:r>
      <w:r/>
    </w:p>
    <w:p>
      <w:pPr>
        <w:pStyle w:val="para1"/>
      </w:pPr>
      <w:r>
        <w:br w:type="page"/>
      </w:r>
      <w:bookmarkStart w:id="269" w:name="_TOC000044"/>
      <w:r>
        <w:t>Der Schiffbau um 1695</w:t>
      </w:r>
      <w:bookmarkEnd w:id="269"/>
      <w:r>
        <w:t>, allgemein</w:t>
      </w:r>
    </w:p>
    <w:p>
      <w:pPr>
        <w:pStyle w:val="para9"/>
      </w:pPr>
      <w:r>
        <w:t>Die wichtigsten Grundregeln scheinen zum Ende des 17. Jahrhunderts so geblieben zu sein, wie zuvor. Wobei das zuvor sicher mit Vorsicht zu genießen ist. Aber fangen wir mit den drei wichtigsten Maßen eines Schiffes an.</w:t>
      </w:r>
      <w:r>
        <w:rPr>
          <w:rStyle w:val="char1"/>
        </w:rPr>
      </w:r>
      <w:r>
        <w:rPr>
          <w:rStyle w:val="char1"/>
        </w:rPr>
        <w:footnoteReference w:id="271"/>
      </w:r>
      <w:r/>
    </w:p>
    <w:p>
      <w:pPr>
        <w:pStyle w:val="para9"/>
      </w:pPr>
      <w:r>
        <w:t>Hatte man eines der drei Maße, konnten mit wenig Aufwand die beiden anderen Maße ermittelt werden. So benötigte man zum Beispiel nur das Maß der Schiffslänge über die Außenkanten der beiden Steven. Nehmen wir ein einfaches Beispiel:</w:t>
      </w:r>
    </w:p>
    <w:p>
      <w:pPr>
        <w:pStyle w:val="para9"/>
      </w:pPr>
      <w:r>
        <w:t>L (Länge über Steven)</w:t>
        <w:tab/>
        <w:tab/>
        <w:t>100 Fuß</w:t>
      </w:r>
    </w:p>
    <w:p>
      <w:pPr>
        <w:pStyle w:val="para9"/>
      </w:pPr>
      <w:r>
        <w:t>W (Schiffsweite)</w:t>
        <w:tab/>
        <w:tab/>
        <w:t>L/4 = 25 Fuß</w:t>
      </w:r>
    </w:p>
    <w:p>
      <w:pPr>
        <w:pStyle w:val="para9"/>
      </w:pPr>
      <w:r>
        <w:t>R (Raumtiefe)</w:t>
        <w:tab/>
        <w:tab/>
        <w:tab/>
        <w:t>L/10 = 10 Fuß</w:t>
      </w:r>
    </w:p>
    <w:p>
      <w:pPr>
        <w:pStyle w:val="para9"/>
      </w:pPr>
      <w:r>
        <w:t>Das Maß der Raumtiefe L/10 war eine grobe Berechnung. Jeder Kunde und jeder Schiffbauer hatte hier, wie wir kann es auch anders sein, seine eigenen Einsichten.</w:t>
      </w:r>
    </w:p>
    <w:p>
      <w:pPr>
        <w:pStyle w:val="para2"/>
      </w:pPr>
      <w:bookmarkStart w:id="271" w:name="_TOC000045"/>
      <w:r>
        <w:t>Der Bodenbereich</w:t>
      </w:r>
      <w:bookmarkEnd w:id="271"/>
      <w:r>
        <w:t>, allgemein</w:t>
      </w:r>
    </w:p>
    <w:p>
      <w:pPr>
        <w:pStyle w:val="para9"/>
      </w:pPr>
      <w:r>
        <w:t>Die Höhe der Kimm berechnete Allard mit 1/3 * R. Bezogen auf unser Beispiel währen das 3,3 Fuß. Diese Berechnung finden wir aber auch schon bei N. Witsen.</w:t>
      </w:r>
    </w:p>
    <w:p>
      <w:pPr>
        <w:pStyle w:val="para2"/>
      </w:pPr>
      <w:bookmarkStart w:id="272" w:name="_TOC000046"/>
      <w:r>
        <w:t>Die Innenhölzer</w:t>
      </w:r>
      <w:bookmarkEnd w:id="272"/>
      <w:r>
        <w:t>, allgemein</w:t>
      </w:r>
    </w:p>
    <w:p>
      <w:pPr>
        <w:pStyle w:val="para9"/>
      </w:pPr>
      <w:r>
        <w:t>Die Höhe auf dem Kiel betrug</w:t>
        <w:tab/>
        <w:tab/>
        <w:t>3/4 * Stevendicke</w:t>
      </w:r>
    </w:p>
    <w:p>
      <w:pPr>
        <w:pStyle w:val="para9"/>
      </w:pPr>
      <w:r>
        <w:t>Am Scheergang</w:t>
        <w:tab/>
        <w:tab/>
        <w:tab/>
        <w:t>1/2 * Stevendicke</w:t>
      </w:r>
    </w:p>
    <w:p>
      <w:pPr>
        <w:pStyle w:val="para9"/>
      </w:pPr>
      <w:r>
        <w:t>Im Bereich der Spantstützen</w:t>
        <w:tab/>
        <w:tab/>
        <w:t>2/7 * Stevendicke</w:t>
      </w:r>
    </w:p>
    <w:p>
      <w:pPr>
        <w:pStyle w:val="para2"/>
      </w:pPr>
      <w:bookmarkStart w:id="273" w:name="_TOC000047"/>
      <w:r>
        <w:t>Der Scheergang</w:t>
      </w:r>
      <w:bookmarkEnd w:id="273"/>
      <w:r>
        <w:t>, allgemein</w:t>
      </w:r>
    </w:p>
    <w:p>
      <w:pPr>
        <w:pStyle w:val="para9"/>
      </w:pPr>
      <w:r>
        <w:t>Die Schiffbauer legten zu allen Zeiten viel Wert darauf, dass ein Schiff nach dem Stapellauf ein gutes Aussehen hatte. Will sagen, man wollte gerne, dass die Decks sowohl vorne als auch hinten entsprechend viel oder wenig Sprung hatten. Hierzu waren die Steuerlast und das Aussehen des Scheergangs zwei wichtige Kriterien. Ob die Schiffbauer bei der Planung eines Schiffes dieses immer vor Augen hatten, geben die eingesehenen Unterlagen nicht wirklich her. Allard war der Meinung, dass der Scheergang hinten erheblich höher liegen sollte, als vorne. Dazu verwendete er eine Formel. Auf je 10 Fuß Schiffslänge wurde der hintere Bereich des Scheergangs um 6 1/2 Daumen, der vordere Bereich um 2 1/2 Daumen angehoben.</w:t>
      </w:r>
    </w:p>
    <w:p>
      <w:pPr>
        <w:pStyle w:val="para9"/>
      </w:pPr>
      <w:r>
        <w:t>H</w:t>
      </w:r>
      <w:r>
        <w:rPr>
          <w:vertAlign w:val="subscript" ssSize="60" ssDist="-5"/>
        </w:rPr>
        <w:t>hinten</w:t>
      </w:r>
      <w:r>
        <w:t xml:space="preserve"> = L * 6 1/2 / 10</w:t>
        <w:tab/>
        <w:tab/>
        <w:tab/>
        <w:t>100 * 6 1/2 /10 = 65 Daumen</w:t>
      </w:r>
    </w:p>
    <w:p>
      <w:pPr>
        <w:pStyle w:val="para9"/>
      </w:pPr>
      <w:r>
        <w:t>H</w:t>
      </w:r>
      <w:r>
        <w:rPr>
          <w:vertAlign w:val="subscript" ssSize="60" ssDist="-5"/>
        </w:rPr>
        <w:t>vorne</w:t>
      </w:r>
      <w:r>
        <w:t xml:space="preserve"> = L * 2 1/2 /10</w:t>
        <w:tab/>
        <w:tab/>
        <w:tab/>
        <w:t>100 * 2 1/2 /10 = 25 Daumen</w:t>
      </w:r>
    </w:p>
    <w:p>
      <w:pPr>
        <w:pStyle w:val="para9"/>
      </w:pPr>
      <w:r>
        <w:t>Hintergrund dieser Vorgehensweise war eine sich über die Jahre verändernde Schiffsform. Dadurch, dass das Vorschiff, das Mittlere und das Hinterschiff unterhalb der Schwimmwasserlinie einen unterschiedlichen Auftrieb hatte, konnte ein sogenannter Katzenbuckel entstehen. Man hatte die Vorstellung, dass ein Schiff selbst mit einem Katzenbuckel immer noch einigermaßen gut aussah.</w:t>
      </w:r>
    </w:p>
    <w:p>
      <w:pPr>
        <w:pStyle w:val="para9"/>
      </w:pPr>
      <w:r>
        <w:t>Schauen wir auch noch einmal bei C. van Yk nach, wie er die Sache sah. Er wollte auf je 6 Fuß Schiffslänge einen Daumen vorne und 5 Daumen hinten ansetzen.</w:t>
      </w:r>
    </w:p>
    <w:p>
      <w:pPr>
        <w:pStyle w:val="para9"/>
      </w:pPr>
      <w:r>
        <w:t>H</w:t>
      </w:r>
      <w:r>
        <w:rPr>
          <w:vertAlign w:val="subscript" ssSize="60" ssDist="-5"/>
        </w:rPr>
        <w:t>hinten</w:t>
      </w:r>
      <w:r>
        <w:t xml:space="preserve"> = L * 5 / 6</w:t>
        <w:tab/>
        <w:tab/>
        <w:t>100 * 5 /6 = 83,3 Daumen</w:t>
      </w:r>
    </w:p>
    <w:p>
      <w:pPr>
        <w:pStyle w:val="para9"/>
      </w:pPr>
      <w:r>
        <w:t>H</w:t>
      </w:r>
      <w:r>
        <w:rPr>
          <w:vertAlign w:val="subscript" ssSize="60" ssDist="-5"/>
        </w:rPr>
        <w:t>vorne</w:t>
      </w:r>
      <w:r>
        <w:t xml:space="preserve"> = L * 1 /6</w:t>
        <w:tab/>
        <w:tab/>
        <w:t>100 * 1 /6 = 16,6 Daumen</w:t>
      </w:r>
    </w:p>
    <w:p>
      <w:pPr>
        <w:pStyle w:val="para9"/>
      </w:pPr>
      <w:r>
        <w:t>Das Hauptspant wollte Allard auf ein Drittel von vorne gestellt wissen.</w:t>
      </w:r>
    </w:p>
    <w:p>
      <w:pPr>
        <w:pStyle w:val="para2"/>
      </w:pPr>
      <w:bookmarkStart w:id="274" w:name="_TOC000048"/>
      <w:r>
        <w:t>Der Kiel</w:t>
      </w:r>
      <w:bookmarkEnd w:id="274"/>
      <w:r>
        <w:t>, allgemein</w:t>
      </w:r>
    </w:p>
    <w:p>
      <w:pPr>
        <w:pStyle w:val="para9"/>
      </w:pPr>
      <w:r>
        <w:t>Die Breite des Kiels am Hals (Hauptspant) sollte 1/4 mehr als die Dicke des Vorstevens bekommen, wobei an der Hinterkante des Vorstevens gemessen wurde.</w:t>
      </w:r>
    </w:p>
    <w:p>
      <w:pPr>
        <w:pStyle w:val="para2"/>
      </w:pPr>
      <w:bookmarkStart w:id="275" w:name="_TOC000049"/>
      <w:r>
        <w:t>Der Vorsteven</w:t>
      </w:r>
      <w:bookmarkEnd w:id="275"/>
      <w:r>
        <w:t>, allgemein</w:t>
      </w:r>
    </w:p>
    <w:p>
      <w:pPr>
        <w:pStyle w:val="para9"/>
      </w:pPr>
      <w:r>
        <w:t>Die Höhe des Vorstevens hing von verschiedenen Voraussetzungen ab. Da wären dann die Deckshöhen ein wichtiges Kriterium. Hinzu kam dann ein Maß vom oberen Deck bis zur Oberkante des Vorstevens. Meistens waren diese Dinge aber schon im Besteck berücksichtigt. Die Dicke an der Hinterkante des Stevens berechnete man recht einfach:</w:t>
      </w:r>
    </w:p>
    <w:p>
      <w:pPr>
        <w:pStyle w:val="para9"/>
      </w:pPr>
      <w:r>
        <w:t>D</w:t>
      </w:r>
      <w:r>
        <w:rPr>
          <w:vertAlign w:val="subscript" ssSize="60" ssDist="-5"/>
        </w:rPr>
        <w:t>hinten</w:t>
      </w:r>
      <w:r>
        <w:t xml:space="preserve"> = L * 1 / 10 =</w:t>
        <w:tab/>
        <w:tab/>
        <w:t>100 * 1 /10 = 10 Daumen</w:t>
      </w:r>
    </w:p>
    <w:p>
      <w:pPr>
        <w:pStyle w:val="para9"/>
      </w:pPr>
      <w:r>
        <w:t>D</w:t>
      </w:r>
      <w:r>
        <w:rPr>
          <w:vertAlign w:val="subscript" ssSize="60" ssDist="-5"/>
        </w:rPr>
        <w:t>vorne</w:t>
      </w:r>
      <w:r>
        <w:t xml:space="preserve"> = 3/5 * D</w:t>
      </w:r>
      <w:r>
        <w:rPr>
          <w:vertAlign w:val="subscript" ssSize="60" ssDist="-5"/>
        </w:rPr>
        <w:t>hinten</w:t>
      </w:r>
      <w:r>
        <w:t xml:space="preserve"> =</w:t>
        <w:tab/>
        <w:tab/>
        <w:t>3/5 * 10 = 6 Daumen</w:t>
      </w:r>
    </w:p>
    <w:p>
      <w:pPr>
        <w:pStyle w:val="para9"/>
      </w:pPr>
      <w:r>
        <w:t>Die Breite des Vorstevens in Schiffslängsrichtung sollte D</w:t>
      </w:r>
      <w:r>
        <w:rPr>
          <w:vertAlign w:val="subscript" ssSize="60" ssDist="-5"/>
        </w:rPr>
        <w:t>hinten</w:t>
      </w:r>
      <w:r>
        <w:t xml:space="preserve"> * 3 betragen.</w:t>
      </w:r>
    </w:p>
    <w:p>
      <w:pPr>
        <w:pStyle w:val="para9"/>
      </w:pPr>
      <w:r>
        <w:t>B</w:t>
      </w:r>
      <w:r>
        <w:rPr>
          <w:vertAlign w:val="subscript" ssSize="60" ssDist="-5"/>
        </w:rPr>
        <w:t>steven</w:t>
      </w:r>
      <w:r>
        <w:t xml:space="preserve"> = 3 * D</w:t>
      </w:r>
      <w:r>
        <w:rPr>
          <w:vertAlign w:val="subscript" ssSize="60" ssDist="-5"/>
        </w:rPr>
        <w:t>hinten</w:t>
      </w:r>
      <w:r>
        <w:t xml:space="preserve"> =</w:t>
        <w:tab/>
        <w:tab/>
        <w:t>3 * 10 = 30 Daumen</w:t>
      </w:r>
    </w:p>
    <w:p>
      <w:pPr>
        <w:pStyle w:val="para9"/>
      </w:pPr>
      <w:r>
        <w:t>Der obere und untere Bereich des Stevens sollte breiter als in der Mitte ausfallen. Genaue Angaben konnten leider nicht ermittelt werden.</w:t>
      </w:r>
    </w:p>
    <w:p>
      <w:pPr>
        <w:pStyle w:val="para9"/>
      </w:pPr>
      <w:r>
        <w:t>Die Sponung für die Außenhaut berechnete Allard mit 1/4 * Stevendicke.</w:t>
      </w:r>
    </w:p>
    <w:p>
      <w:pPr>
        <w:pStyle w:val="para9"/>
      </w:pPr>
      <w:r>
        <w:t>Sp = 1/4 * D</w:t>
      </w:r>
      <w:r>
        <w:rPr>
          <w:vertAlign w:val="subscript" ssSize="60" ssDist="-5"/>
        </w:rPr>
        <w:t>hinten</w:t>
      </w:r>
      <w:r>
        <w:t xml:space="preserve"> =</w:t>
        <w:tab/>
        <w:tab/>
        <w:t>1/4 * 12,2 = 3,05 Daumen.</w:t>
      </w:r>
    </w:p>
    <w:p>
      <w:pPr>
        <w:pStyle w:val="para2"/>
      </w:pPr>
      <w:bookmarkStart w:id="276" w:name="_TOC000050"/>
      <w:r>
        <w:t>Der Achtersteven</w:t>
      </w:r>
      <w:bookmarkEnd w:id="276"/>
      <w:r>
        <w:t>, allgemein</w:t>
      </w:r>
    </w:p>
    <w:p>
      <w:pPr>
        <w:pStyle w:val="para9"/>
      </w:pPr>
      <w:r>
        <w:t>Die Bestimmung des Achterstevens war ähnlich wie beim Vorsteven. Hier musste nur berücksichtigt werden, dass die Ruderpinne oberhalb des Stevens im Inneren des Schiffes positioniert werden musste. Den Fall des Stevens berechnete Allard mit 6 Fuß Stevenhöhe 1 Fuß Fall. Die Stevendicke entsprach in der Regel der des Vorstevens. Die Breite auf dem Kiel sollte 5 * Stevendicke betragen, am oberen Ende reduzierte sich dieses Maß auf:</w:t>
      </w:r>
    </w:p>
    <w:p>
      <w:pPr>
        <w:pStyle w:val="para9"/>
      </w:pPr>
      <w:r>
        <w:t>Stevenfall = Stevenhöhe / 6</w:t>
        <w:tab/>
        <w:tab/>
        <w:tab/>
        <w:tab/>
        <w:t>20 / 6 = 3,3 Fuß</w:t>
      </w:r>
    </w:p>
    <w:p>
      <w:pPr>
        <w:pStyle w:val="para9"/>
      </w:pPr>
      <w:r>
        <w:t>B</w:t>
      </w:r>
      <w:r>
        <w:rPr>
          <w:vertAlign w:val="subscript" ssSize="60" ssDist="-5"/>
        </w:rPr>
        <w:t>unten</w:t>
      </w:r>
      <w:r>
        <w:t xml:space="preserve"> = 5 * Stevendicke</w:t>
        <w:tab/>
        <w:tab/>
        <w:tab/>
        <w:tab/>
        <w:t>5 * 10 = 50 Daumen</w:t>
      </w:r>
    </w:p>
    <w:p>
      <w:pPr>
        <w:pStyle w:val="para9"/>
      </w:pPr>
      <w:r>
        <w:t>B</w:t>
      </w:r>
      <w:r>
        <w:rPr>
          <w:vertAlign w:val="subscript" ssSize="60" ssDist="-5"/>
        </w:rPr>
        <w:t>oben</w:t>
      </w:r>
      <w:r>
        <w:t xml:space="preserve"> = Stevendicke + (1/5 * Stevendicke)</w:t>
        <w:tab/>
        <w:tab/>
        <w:t>10 + (1/5 * 10) = 12 Daumen</w:t>
      </w:r>
    </w:p>
    <w:p>
      <w:pPr>
        <w:pStyle w:val="para2"/>
      </w:pPr>
      <w:bookmarkStart w:id="277" w:name="_TOC000051"/>
      <w:r>
        <w:t>Der Heckbalken</w:t>
      </w:r>
      <w:bookmarkEnd w:id="277"/>
      <w:r>
        <w:t>, allgemein</w:t>
      </w:r>
    </w:p>
    <w:p>
      <w:pPr>
        <w:pStyle w:val="para9"/>
      </w:pPr>
      <w:r>
        <w:t>Über die Länge des Heckbalkens wurde man sich im 16. und 17. Jahrhundert nie einig. Da es keine greifbaren, oder belastbaren Erfahrungen der Schiffbauer gab, wurden nur allgemeine Regeln veröffentlicht. Im 16. Jahrhundert lag der Wert der Länge meist um die Hälfte der Schiffsweite. Im 17. Jahrhundert bürgerte sich das Maß 2/3 der Schiffsweite ein. Im 18. Jahrhundert schilderte der Schiffbauer Willem Udemans Junior in seinem Buch</w:t>
      </w:r>
      <w:r>
        <w:rPr>
          <w:rStyle w:val="char1"/>
        </w:rPr>
      </w:r>
      <w:r>
        <w:rPr>
          <w:rStyle w:val="char1"/>
        </w:rPr>
        <w:footnoteReference w:id="279"/>
      </w:r>
      <w:r>
        <w:t xml:space="preserve"> über den Schiffbau seiner Zeit, dass es keinen großen Unterschied geben würde, ob der Heckbalken nun 2/3, 3/4 oder ein gänzlich anderes Maß haben sollte. Er war der Meinung, dass sich dieses Bauteil selten unterhalb der Schwimmwasserlinie befinden würde. So konnte man die Länge auch vernachlässigen. Ob das jedoch auch seine Schiffbauerkollegen so gesehen haben, ist leider nicht überliefert.</w:t>
      </w:r>
    </w:p>
    <w:p>
      <w:pPr>
        <w:pStyle w:val="para9"/>
      </w:pPr>
      <w:r>
        <w:t>Dicke</w:t>
        <w:tab/>
        <w:tab/>
        <w:tab/>
        <w:tab/>
        <w:tab/>
        <w:t>=</w:t>
      </w:r>
    </w:p>
    <w:p>
      <w:pPr>
        <w:pStyle w:val="para9"/>
      </w:pPr>
      <w:r>
        <w:t>Breite in Schiffslängsrichtung</w:t>
        <w:tab/>
        <w:tab/>
        <w:t>=</w:t>
      </w:r>
    </w:p>
    <w:p>
      <w:pPr>
        <w:pStyle w:val="para2"/>
      </w:pPr>
      <w:bookmarkStart w:id="279" w:name="_TOC000052"/>
      <w:r>
        <w:t>Die Randsomhölzer</w:t>
      </w:r>
      <w:bookmarkEnd w:id="279"/>
      <w:r>
        <w:t>, allgemein</w:t>
      </w:r>
    </w:p>
    <w:p>
      <w:pPr>
        <w:pStyle w:val="para9"/>
      </w:pPr>
      <w:r>
        <w:t>Sie wurden als Begrenzung des unteren Spiegels gesehen und ruhten mit ihren Füßen auf halber Höhe des Stevens. Das Broekstuk (Bauer) verband die Randsomhölzer mit dem Achtersteven.</w:t>
      </w:r>
    </w:p>
    <w:p>
      <w:pPr>
        <w:pStyle w:val="para9"/>
      </w:pPr>
      <w:r>
        <w:t>Die Dicke der Randsomhölzer sollten 5/6 der Dicke des Heckbalkens bekommen, die Breite sollte dem der Breite des Heckbalkens entsprechen.</w:t>
      </w:r>
    </w:p>
    <w:p>
      <w:pPr>
        <w:pStyle w:val="para2"/>
      </w:pPr>
      <w:bookmarkStart w:id="280" w:name="_TOC000053"/>
      <w:r>
        <w:t>Die Worpen</w:t>
      </w:r>
      <w:bookmarkEnd w:id="280"/>
      <w:r>
        <w:t>, allgemein</w:t>
      </w:r>
    </w:p>
    <w:p>
      <w:pPr>
        <w:pStyle w:val="para9"/>
      </w:pPr>
      <w:r>
        <w:t>Die dicke der Worpen sollte 1/5 des Heckbalkens ausmachen, der Bauer einen Daumen dünner als der Steven dick war.</w:t>
      </w:r>
    </w:p>
    <w:p>
      <w:pPr>
        <w:pStyle w:val="para2"/>
      </w:pPr>
      <w:bookmarkStart w:id="281" w:name="_TOC000054"/>
      <w:r>
        <w:t>Die Heckstützen</w:t>
      </w:r>
      <w:bookmarkEnd w:id="281"/>
      <w:r>
        <w:t>, allgemein</w:t>
      </w:r>
    </w:p>
    <w:p>
      <w:pPr>
        <w:pStyle w:val="para9"/>
      </w:pPr>
      <w:r>
        <w:t>Die Länge der Heckstützen entsprach in etwa der Länge des Achtestevens. Der obere Abstand zwischen den beiden Heckstützen entsprach 3/5 der Heckbalkenlänge.</w:t>
      </w:r>
    </w:p>
    <w:p>
      <w:pPr>
        <w:pStyle w:val="para2"/>
      </w:pPr>
      <w:bookmarkStart w:id="282" w:name="_TOC000055"/>
      <w:r>
        <w:t>Das Gangspill</w:t>
      </w:r>
      <w:bookmarkEnd w:id="282"/>
      <w:r>
        <w:t>, allgemein</w:t>
      </w:r>
    </w:p>
    <w:p>
      <w:pPr>
        <w:pStyle w:val="para9"/>
      </w:pPr>
      <w:r>
        <w:t>Auf je 10 Fuß Schiffslänge gab es 2 1/2 Daumen für den Kopfdurchmesser.</w:t>
      </w:r>
    </w:p>
    <w:p>
      <w:pPr>
        <w:pStyle w:val="para9"/>
      </w:pPr>
      <w:r>
        <w:t>Die Klampen erhielten eine Länge von 1/2 * Spillhöhe.</w:t>
      </w:r>
    </w:p>
    <w:p>
      <w:pPr>
        <w:pStyle w:val="para9"/>
      </w:pPr>
      <w:r>
        <w:t>Die eckigen Öffnungen für die Spaken sollten 1/6 des Kopfdurchmessers bekommen.</w:t>
      </w:r>
    </w:p>
    <w:p>
      <w:pPr>
        <w:pStyle w:val="para2"/>
      </w:pPr>
      <w:bookmarkStart w:id="283" w:name="_TOC000056"/>
      <w:r>
        <w:t>Die Stückpforte am Hauptspant.</w:t>
      </w:r>
      <w:bookmarkEnd w:id="283"/>
      <w:r>
        <w:t>, allgemein</w:t>
      </w:r>
    </w:p>
    <w:p>
      <w:pPr>
        <w:pStyle w:val="para9"/>
      </w:pPr>
      <w:r>
        <w:t>Die Oberkante des unteren Drempels lag auf 1/3 * Deckshöhe.</w:t>
      </w:r>
    </w:p>
    <w:p>
      <w:pPr>
        <w:pStyle w:val="para9"/>
      </w:pPr>
      <w:r/>
    </w:p>
    <w:p>
      <w:pPr>
        <w:pStyle w:val="para1"/>
      </w:pPr>
      <w:r>
        <w:br w:type="page"/>
      </w:r>
      <w:bookmarkStart w:id="284" w:name="_TOC000164"/>
      <w:r/>
      <w:bookmarkStart w:id="285" w:name="_TOC000222"/>
      <w:r/>
      <w:bookmarkStart w:id="286" w:name="_TOC000188"/>
      <w:r/>
      <w:bookmarkStart w:id="287" w:name="_TOC000144"/>
      <w:r/>
      <w:bookmarkStart w:id="288" w:name="_TOC000095"/>
      <w:r>
        <w:t>Eine Proportionstabelle von Grebber</w:t>
      </w:r>
      <w:bookmarkEnd w:id="288"/>
      <w:r/>
      <w:bookmarkEnd w:id="287"/>
      <w:r/>
      <w:bookmarkEnd w:id="286"/>
      <w:r/>
      <w:bookmarkEnd w:id="285"/>
      <w:r/>
      <w:bookmarkEnd w:id="284"/>
      <w:r>
        <w:t>, allgemein</w:t>
      </w:r>
    </w:p>
    <w:p>
      <w:pPr>
        <w:pStyle w:val="para4"/>
      </w:pPr>
      <w:r>
        <w:t>Eine vermeintliche Quelle zu den Hauptabmessungen der Schiffe im 17. Jahrhundert wurde durch den Schiffbauer Jan Dirriksze Grebber erstellt.</w:t>
      </w:r>
      <w:r>
        <w:rPr>
          <w:rStyle w:val="char1"/>
          <w:rFonts w:eastAsia="Comic Sans MS" w:cs="Comic Sans MS"/>
        </w:rPr>
      </w:r>
      <w:r>
        <w:rPr>
          <w:rStyle w:val="char1"/>
          <w:rFonts w:eastAsia="Comic Sans MS" w:cs="Comic Sans MS"/>
        </w:rPr>
        <w:footnoteReference w:id="290"/>
      </w:r>
      <w:r>
        <w:t xml:space="preserve"> Nicolaes Witsen hatte diese Tabelle in seinem Werk über den niederländischen Schiffbau veröffentlicht. Es wurden die wichtigsten Dinge für den Entwurf der Schiffe zusammengefasst und übersichtlich dargebracht.</w:t>
      </w:r>
    </w:p>
    <w:p>
      <w:pPr>
        <w:pStyle w:val="para4"/>
      </w:pPr>
      <w:r>
        <w:t>Die Informationen beginnen mit der Länge der Schiffe über die Steven. Grebber fing mit einem Schiff von 60 Fuß Länge an, alle 5 Fuß eine neue Zeile bis hin zum Schiff mit einer Länge von 200 Fuß. Ob es sich um das Amsterdamer Maßsystem, oder dem Rotterdamer handelt, ist nicht von Bedeutung. Grebber ging es vermutlich eher um einen theoretischen Ansatz. Er hatte die damals üblichen Berechnungsgrundlagen in eine schöne Tabelle umgesetzt. Doch die Heranziehung von Schiffsgrößen im Abstand von 5 Fuß ist aus heutiger Sicht schon ein wenig merkwürdig.</w:t>
      </w:r>
    </w:p>
    <w:p>
      <w:pPr>
        <w:pStyle w:val="para4"/>
      </w:pPr>
      <w:r>
        <w:t>Untersuchen wir nun die von Grebber gemachten Aussagen, stellen wir schnell fest, dass er zum Beispiel für die angegebene Schiffsweite den Berechnungsfaktor 4 eingesetzt hatte. Alle angegebenen Schiffsweiten entsprechen dem vierten Teil der Schiffslänge. Nur in einem Fall, nämlich dem 65-Fuß-Schiff ergibt sich ein Wert von 4,2.</w:t>
      </w:r>
    </w:p>
    <w:p>
      <w:pPr>
        <w:pStyle w:val="para4"/>
      </w:pPr>
      <w:r>
        <w:t>Schauen wir uns die Raumtiefe genauer an, stellen wir wiederum fest, dass Grebber alle Schiffslängen einfach durch 10 dividiert hatte. Würde man statt der Schiffslänge, die Schiffsweite zugrunde legen, würden alle Werte durch 2,5 dividiert die Raumtiefe ergeben. Somit war es möglich, mit nur einem Anfangswert die Hauptabmessungen des Schiffes festzulegen.</w:t>
      </w:r>
    </w:p>
    <w:p>
      <w:pPr>
        <w:pStyle w:val="para4"/>
      </w:pPr>
      <w:r>
        <w:t>Bevor wir auf die weiteren Bestandteile der Tabelle näher eingehen, betrachten wir die Länge des Heckbalkens. Sie wurde unabhängig von der Schiffslänge von Grebber einheitlich mit zwei Drittel der Schiffsweite angegeben. Egal, ob es sich um ein kleines Schiff von 60 Fuß Länge, oder um ein Schiff mit einer Schiffslänge von 200 Fuß handelte, die Berechnung war immer gleich. Um welche Schiffstypen es sich hierbei handelte, wird nicht ganz deutlich.</w:t>
      </w:r>
    </w:p>
    <w:p>
      <w:pPr>
        <w:pStyle w:val="para4"/>
      </w:pPr>
      <w:r>
        <w:t>Die Weite des Flachs, also des Bodens der Schiffe, regelte Grebber ganz pragmatisch. Er nahm einfach die Länge des Heckbalkens für die Weite des Flachs.</w:t>
      </w:r>
    </w:p>
    <w:p>
      <w:pPr>
        <w:pStyle w:val="para4"/>
      </w:pPr>
      <w:r>
        <w:t>Die Aufkimmung des Flachs gestaltete sich nicht ganz so einfach. Alle Versuche, hier ein System zu finden, endeten darin, einen gefühlten Wert 1/20*Weite des Flachs zu wählen. Die errechneten Höhen variierten ein wenig. Mal mehr, mal weniger als 1/20*Weite des Flachs. Vermutlich war es ein Erfahrungswert, den der einzelne Schiffbauer für sein Schiff festlegte.</w:t>
      </w:r>
    </w:p>
    <w:p>
      <w:pPr>
        <w:pStyle w:val="para4"/>
      </w:pPr>
      <w:r>
        <w:t xml:space="preserve">Der nächste Wert wurde im Bereich der Kimm festgelegt. </w:t>
      </w:r>
      <w:r>
        <w:rPr>
          <w:b/>
          <w:bCs/>
          <w:color w:val="ff0000"/>
          <w:u w:color="auto" w:val="single"/>
        </w:rPr>
        <w:t>WO in der Kimm?</w:t>
      </w:r>
      <w:r/>
    </w:p>
    <w:p>
      <w:pPr>
        <w:pStyle w:val="para4"/>
      </w:pPr>
      <w:r>
        <w:t>Bei den Heckstützen, den sogenannten Windveeren können wir wieder eine vereinfachte Aussage Grebbers ablesen. Die Achterstevenhöhe wurde bis auf wenige Ausnahmen für die Heckstützenlänge genommen. Der obere Einzug derselben betrug im Allgemeinen die Hälfte der Heckbalkenlänge.</w:t>
      </w:r>
    </w:p>
    <w:p>
      <w:pPr>
        <w:pStyle w:val="para4"/>
      </w:pPr>
      <w:r>
        <w:rPr>
          <w:noProof/>
        </w:rPr>
        <mc:AlternateContent>
          <mc:Choice Requires="wpg">
            <w:drawing>
              <wp:anchor distT="144145" distB="179705" distL="89535" distR="89535" simplePos="0" relativeHeight="251658337" behindDoc="0" locked="0" layoutInCell="0" hidden="0" allowOverlap="1">
                <wp:simplePos x="0" y="0"/>
                <wp:positionH relativeFrom="margin">
                  <wp:align>left</wp:align>
                </wp:positionH>
                <wp:positionV relativeFrom="margin">
                  <wp:posOffset>6299835</wp:posOffset>
                </wp:positionV>
                <wp:extent cx="6120130" cy="1976120"/>
                <wp:effectExtent l="0" t="0" r="0" b="0"/>
                <wp:wrapSquare wrapText="bothSides"/>
                <wp:docPr id="97" name="Gruppe35"/>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DfAQAAAKIAACAAAAAAAAAAAQAAAAEAAAAAAAAAAAAAAAEAAADBJgAApiUAACgMAAAuAAAApQYAAC8rAAAoAAAACAAAAAEAAAABAAAA"/>
                          </a:ext>
                        </a:extLst>
                      </wpg:cNvGrpSpPr>
                      <wpg:grpSpPr>
                        <a:xfrm>
                          <a:off x="0" y="0"/>
                          <a:ext cx="6120130" cy="1976120"/>
                          <a:chOff x="0" y="0"/>
                          <a:chExt cx="6120130" cy="1976120"/>
                        </a:xfrm>
                      </wpg:grpSpPr>
                      <wps:wsp>
                        <wps:cNvPr id="98" name="Textbox58"/>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Pw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3woAAAAAAAClBgAALysAACgAAAAIAAAAAQAAAAIAAAAwAAAAFAAAAAAAAAAAAP//AAABAAAA//8AAAEA"/>
                            </a:ext>
                          </a:extLst>
                        </wps:cNvSpPr>
                        <wps:spPr>
                          <a:xfrm>
                            <a:off x="0" y="0"/>
                            <a:ext cx="6120130" cy="176720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 muss überarbeitet werden.</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w:t>
                              </w:r>
                            </w:p>
                            <w:p>
                              <w:pPr>
                                <w:spacing/>
                                <w:jc w:val="center"/>
                                <w:rPr>
                                  <w:b/>
                                  <w:bCs/>
                                  <w:sz w:val="24"/>
                                  <w:szCs w:val="24"/>
                                </w:rPr>
                              </w:pPr>
                              <w:r>
                                <w:rPr>
                                  <w:b/>
                                  <w:bCs/>
                                  <w:sz w:val="24"/>
                                  <w:szCs w:val="24"/>
                                </w:rPr>
                                <w:t>Grebber-Witsen-Hauptabmessungen-60-200-Fuß.PMdX</w:t>
                              </w:r>
                            </w:p>
                            <w:p>
                              <w:pPr>
                                <w:spacing/>
                                <w:jc w:val="center"/>
                                <w:rPr>
                                  <w:b/>
                                  <w:bCs/>
                                  <w:sz w:val="24"/>
                                  <w:szCs w:val="24"/>
                                </w:rPr>
                              </w:pPr>
                              <w:r>
                                <w:rPr>
                                  <w:b/>
                                  <w:bCs/>
                                  <w:sz w:val="24"/>
                                  <w:szCs w:val="24"/>
                                </w:rPr>
                              </w:r>
                            </w:p>
                            <w:p>
                              <w:pPr>
                                <w:spacing/>
                                <w:jc w:val="center"/>
                                <w:rPr>
                                  <w:b/>
                                  <w:bCs/>
                                  <w:sz w:val="24"/>
                                  <w:szCs w:val="24"/>
                                </w:rPr>
                              </w:pPr>
                              <w:r>
                                <w:rPr>
                                  <w:b/>
                                  <w:bCs/>
                                  <w:sz w:val="24"/>
                                  <w:szCs w:val="24"/>
                                </w:rPr>
                                <w:t>Grebber</w:t>
                              </w:r>
                            </w:p>
                            <w:p>
                              <w:pPr>
                                <w:spacing/>
                                <w:jc w:val="center"/>
                                <w:rPr>
                                  <w:b/>
                                  <w:bCs/>
                                  <w:sz w:val="24"/>
                                  <w:szCs w:val="24"/>
                                </w:rPr>
                              </w:pPr>
                              <w:r>
                                <w:rPr>
                                  <w:b/>
                                  <w:bCs/>
                                  <w:sz w:val="24"/>
                                  <w:szCs w:val="24"/>
                                </w:rPr>
                                <w:t>aus N. Witsen, 1671</w:t>
                              </w:r>
                            </w:p>
                          </w:txbxContent>
                        </wps:txbx>
                        <wps:bodyPr spcFirstLastPara="1" vertOverflow="clip" horzOverflow="clip" upright="1">
                          <a:prstTxWarp prst="textNoShape">
                            <a:avLst/>
                          </a:prstTxWarp>
                          <a:spAutoFit/>
                        </wps:bodyPr>
                      </wps:wsp>
                      <wps:wsp>
                        <wps:cNvPr id="99" name="Textbox59"/>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iY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SQEAAAAAAAClBgAADjYAACgAAAAIAAAAAQAAAAIAAAAwAAAAFAAAAAAAAAAAAP//AAABAAAA//8AAAEA"/>
                            </a:ext>
                          </a:extLst>
                        </wps:cNvSpPr>
                        <wps:spPr>
                          <a:xfrm>
                            <a:off x="0" y="1767205"/>
                            <a:ext cx="6120130" cy="208915"/>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5</w:t>
                                <w:fldChar w:fldCharType="end"/>
                              </w:r>
                              <w:r>
                                <w:t>: Die Proportionstabelle von Grebber.</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496.05pt;mso-position-horizontal-relative:margin;mso-position-vertical-relative:margin;width:481.90pt;height:155.60pt;z-index:251658337;mso-wrap-distance-left:7.05pt;mso-wrap-distance-top:11.35pt;mso-wrap-distance-right:7.05pt;mso-wrap-distance-bottom:14.15pt" coordorigin="1701,11055" coordsize="9638,3112">
                <v:shape id="Textbox58" o:spid="_x0000_s1068" type="#_x0000_t202" style="position:absolute;left:1701;top:11055;width:9638;height:2783"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Pw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Tabelle muss überarbeitet werden.</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w:t>
                        </w:r>
                      </w:p>
                      <w:p>
                        <w:pPr>
                          <w:spacing/>
                          <w:jc w:val="center"/>
                          <w:rPr>
                            <w:b/>
                            <w:bCs/>
                            <w:sz w:val="24"/>
                            <w:szCs w:val="24"/>
                          </w:rPr>
                        </w:pPr>
                        <w:r>
                          <w:rPr>
                            <w:b/>
                            <w:bCs/>
                            <w:sz w:val="24"/>
                            <w:szCs w:val="24"/>
                          </w:rPr>
                          <w:t>Grebber-Witsen-Hauptabmessungen-60-200-Fuß.PMdX</w:t>
                        </w:r>
                      </w:p>
                      <w:p>
                        <w:pPr>
                          <w:spacing/>
                          <w:jc w:val="center"/>
                          <w:rPr>
                            <w:b/>
                            <w:bCs/>
                            <w:sz w:val="24"/>
                            <w:szCs w:val="24"/>
                          </w:rPr>
                        </w:pPr>
                        <w:r>
                          <w:rPr>
                            <w:b/>
                            <w:bCs/>
                            <w:sz w:val="24"/>
                            <w:szCs w:val="24"/>
                          </w:rPr>
                        </w:r>
                      </w:p>
                      <w:p>
                        <w:pPr>
                          <w:spacing/>
                          <w:jc w:val="center"/>
                          <w:rPr>
                            <w:b/>
                            <w:bCs/>
                            <w:sz w:val="24"/>
                            <w:szCs w:val="24"/>
                          </w:rPr>
                        </w:pPr>
                        <w:r>
                          <w:rPr>
                            <w:b/>
                            <w:bCs/>
                            <w:sz w:val="24"/>
                            <w:szCs w:val="24"/>
                          </w:rPr>
                          <w:t>Grebber</w:t>
                        </w:r>
                      </w:p>
                      <w:p>
                        <w:pPr>
                          <w:spacing/>
                          <w:jc w:val="center"/>
                          <w:rPr>
                            <w:b/>
                            <w:bCs/>
                            <w:sz w:val="24"/>
                            <w:szCs w:val="24"/>
                          </w:rPr>
                        </w:pPr>
                        <w:r>
                          <w:rPr>
                            <w:b/>
                            <w:bCs/>
                            <w:sz w:val="24"/>
                            <w:szCs w:val="24"/>
                          </w:rPr>
                          <w:t>aus N. Witsen, 1671</w:t>
                        </w:r>
                      </w:p>
                    </w:txbxContent>
                  </v:textbox>
                </v:shape>
                <v:shape id="Textbox59" o:spid="_x0000_s1069" type="#_x0000_t202" style="position:absolute;left:1701;top:13838;width:9638;height:329"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iY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5</w:t>
                          <w:fldChar w:fldCharType="end"/>
                        </w:r>
                        <w:r>
                          <w:t>: Die Proportionstabelle von Grebber.</w:t>
                        </w:r>
                      </w:p>
                    </w:txbxContent>
                  </v:textbox>
                </v:shape>
                <w10:wrap type="square" anchorx="margin" anchory="margin"/>
              </v:group>
            </w:pict>
          </mc:Fallback>
        </mc:AlternateContent>
      </w:r>
      <w:r>
        <w:t>Der Einfall der Spantstützen, also der obere Bereich der Spanten wurde 0,26 bis 0,39 der jeweiligen Verdeckshöhe gewählt. Versucht man, eine vereinfachte Berechnung zu finden, kann man unterstellen, dass Grebber versucht hatte den Wert des Einfalls auf drei Fuß Höhe zu beziehen. Die errechneten Einzüge belaufen sich je nach Schiffsgröße zwischen 279 mm bis 331 mm bei angenommener Höhe von drei Fuß Verdeckshöhe.</w:t>
      </w:r>
    </w:p>
    <w:p>
      <w:pPr>
        <w:pStyle w:val="para4"/>
      </w:pPr>
      <w:r/>
    </w:p>
    <w:p>
      <w:r>
        <w:br w:type="page"/>
      </w:r>
      <w:r>
        <w:rPr>
          <w:noProof/>
        </w:rPr>
        <mc:AlternateContent>
          <mc:Choice Requires="wpg">
            <w:drawing>
              <wp:anchor distT="0" distB="179705" distL="89535" distR="89535" simplePos="0" relativeHeight="251658343" behindDoc="0" locked="0" layoutInCell="0" hidden="0" allowOverlap="1">
                <wp:simplePos x="0" y="0"/>
                <wp:positionH relativeFrom="margin">
                  <wp:align>outside</wp:align>
                  <wp:posOffset2>0</wp:posOffset2>
                </wp:positionH>
                <wp:positionV relativeFrom="margin">
                  <wp:align>top</wp:align>
                </wp:positionV>
                <wp:extent cx="6156960" cy="3133725"/>
                <wp:effectExtent l="0" t="0" r="0" b="0"/>
                <wp:wrapSquare wrapText="bothSides"/>
                <wp:docPr id="103" name="Gruppe37"/>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DhAQAAAKIAACAAAAAAAAAABQAAAAEAAAAAAAAAAQAAAAEAAAAAAAAA4CUAAEcTAAAvAAAANwIAAG4EAAAoAAAACAAAAAEAAAABAAAA"/>
                          </a:ext>
                        </a:extLst>
                      </wpg:cNvGrpSpPr>
                      <wpg:grpSpPr>
                        <a:xfrm>
                          <a:off x="0" y="0"/>
                          <a:ext cx="6156960" cy="3133725"/>
                          <a:chOff x="0" y="0"/>
                          <a:chExt cx="6156960" cy="3133725"/>
                        </a:xfrm>
                      </wpg:grpSpPr>
                      <wps:wsp>
                        <wps:cNvPr id="104" name="Textbox56"/>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PsR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DgJQAA+xEAAAAAAAA3AgAAbgQAACgAAAAIAAAAAQAAAAIAAAAwAAAAFAAAAAAAAAAAAP//AAABAAAA//8AAAEA"/>
                            </a:ext>
                          </a:extLst>
                        </wps:cNvSpPr>
                        <wps:spPr>
                          <a:xfrm>
                            <a:off x="0" y="0"/>
                            <a:ext cx="6156960" cy="292290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w:t>
                              </w:r>
                            </w:p>
                            <w:p>
                              <w:pPr>
                                <w:spacing/>
                                <w:jc w:val="center"/>
                                <w:rPr>
                                  <w:b/>
                                  <w:bCs/>
                                  <w:sz w:val="24"/>
                                  <w:szCs w:val="24"/>
                                </w:rPr>
                              </w:pPr>
                              <w:r>
                                <w:rPr>
                                  <w:b/>
                                  <w:bCs/>
                                  <w:sz w:val="24"/>
                                  <w:szCs w:val="24"/>
                                </w:rPr>
                                <w:t>des 140-Fuß-Schiffes von 1703</w:t>
                              </w:r>
                            </w:p>
                          </w:txbxContent>
                        </wps:txbx>
                        <wps:bodyPr spcFirstLastPara="1" vertOverflow="clip" horzOverflow="clip" upright="1">
                          <a:prstTxWarp prst="textNoShape">
                            <a:avLst/>
                          </a:prstTxWarp>
                          <a:spAutoFit/>
                        </wps:bodyPr>
                      </wps:wsp>
                      <wps:wsp>
                        <wps:cNvPr id="105" name="Textbox57"/>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4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DgJQAATAEAAAAAAAA3AgAAaRYAACgAAAAIAAAAAQAAAAIAAAAwAAAAFAAAAAAAAAAAAP//AAABAAAA//8AAAEA"/>
                            </a:ext>
                          </a:extLst>
                        </wps:cNvSpPr>
                        <wps:spPr>
                          <a:xfrm>
                            <a:off x="0" y="2922905"/>
                            <a:ext cx="615696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18</w:t>
                                <w:fldChar w:fldCharType="end"/>
                              </w:r>
                              <w:r>
                                <w:t>: Übersichtszeichnung des Oorlogschip von 140 Fuß Länge.</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outside;mso-position-vertical:top;mso-position-horizontal-relative:margin;mso-position-vertical-relative:margin;width:484.80pt;height:246.75pt;z-index:251658343;mso-wrap-distance-left:7.05pt;mso-wrap-distance-right:7.05pt;mso-wrap-distance-bottom:14.15pt" coordorigin="567,1134" coordsize="9696,4935">
                <v:shape id="Textbox56" o:spid="_x0000_s1070" type="#_x0000_t202" style="position:absolute;left:567;top:1134;width:9696;height:4603"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PsR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w:t>
                        </w:r>
                      </w:p>
                      <w:p>
                        <w:pPr>
                          <w:spacing/>
                          <w:jc w:val="center"/>
                          <w:rPr>
                            <w:b/>
                            <w:bCs/>
                            <w:sz w:val="24"/>
                            <w:szCs w:val="24"/>
                          </w:rPr>
                        </w:pPr>
                        <w:r>
                          <w:rPr>
                            <w:b/>
                            <w:bCs/>
                            <w:sz w:val="24"/>
                            <w:szCs w:val="24"/>
                          </w:rPr>
                          <w:t>des 140-Fuß-Schiffes von 1703</w:t>
                        </w:r>
                      </w:p>
                    </w:txbxContent>
                  </v:textbox>
                </v:shape>
                <v:shape id="Textbox57" o:spid="_x0000_s1071" type="#_x0000_t202" style="position:absolute;left:567;top:5737;width:9696;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4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18</w:t>
                          <w:fldChar w:fldCharType="end"/>
                        </w:r>
                        <w:r>
                          <w:t>: Übersichtszeichnung des Oorlogschip von 140 Fuß Länge.</w:t>
                        </w:r>
                      </w:p>
                    </w:txbxContent>
                  </v:textbox>
                </v:shape>
                <w10:wrap type="square" anchorx="margin" anchory="margin"/>
              </v:group>
            </w:pict>
          </mc:Fallback>
        </mc:AlternateContent>
      </w:r>
      <w:bookmarkStart w:id="290" w:name="_TOC000205"/>
      <w:r/>
      <w:bookmarkStart w:id="291" w:name="_TOC000223"/>
      <w:r/>
      <w:bookmarkStart w:id="292" w:name="_TOC000189"/>
      <w:r/>
      <w:bookmarkStart w:id="293" w:name="_TOC000145"/>
      <w:r/>
      <w:bookmarkStart w:id="294" w:name="_TOC000102"/>
      <w:r/>
      <w:r>
        <w:rPr>
          <w:b/>
          <w:bCs/>
          <w:sz w:val="22"/>
          <w:szCs w:val="22"/>
        </w:rPr>
        <w:t>Ein Entwurf von 1703; Adm</w:t>
      </w:r>
      <w:r/>
    </w:p>
    <w:p>
      <w:pPr>
        <w:pStyle w:val="para9"/>
      </w:pPr>
      <w:r>
        <w:t>Im Archiv der zweiten Westindischen Kompanie wurde 2020 eine bedeutende Schrift von Thomas Feige aus Berlin zum Verständnis des Schiffbaus um 1700 entdeckt.</w:t>
      </w:r>
      <w:r>
        <w:rPr>
          <w:rStyle w:val="char1"/>
        </w:rPr>
      </w:r>
      <w:r>
        <w:rPr>
          <w:rStyle w:val="char1"/>
        </w:rPr>
        <w:footnoteReference w:id="296"/>
      </w:r>
      <w:r>
        <w:t xml:space="preserve"> In dieser Zusammenfassung der Beratung einiger Schiffbaumeister der Admiralitäten bzw. der Werften in Saerdam, Vertreter der </w:t>
      </w:r>
      <w:r>
        <w:rPr>
          <w:i/>
          <w:iCs/>
        </w:rPr>
        <w:t>Ostindischen Compagnie</w:t>
      </w:r>
      <w:r>
        <w:t xml:space="preserve"> und Vertreter des Staates wurde 1703 festgelegt, wie man in Zukunft Kriegsschiffe bauen wollte. Zu diesem Zweck hatten die Schiffbaumeister unabhängig voneinander je ein Modell</w:t>
      </w:r>
      <w:r>
        <w:rPr>
          <w:rStyle w:val="char1"/>
        </w:rPr>
      </w:r>
      <w:r>
        <w:rPr>
          <w:rStyle w:val="char1"/>
        </w:rPr>
        <w:footnoteReference w:id="297"/>
      </w:r>
      <w:r>
        <w:t xml:space="preserve"> erstellt. Dieses Modell stellte ein Schiff in der Größe von: L=140, W=40, R=16 Fuß dar. Den Verantwortlichen ging es darum, in Zukunft reproduzierbare Schiffe bauen lassen zu können. Dieses Anliegen finden wir ja auch in einigen früheren Unterlagen der Zeit davor. Prins Maurits hatte schon um 1600 die Vorstellung gehabt, die zu bauenden Kriegsschiffe zu vereinheitlichen. Ihm und seinen Mitstreitern war das aber nicht gelungen, da die Schiffbauer in Bezug zum Bau eines Schiffes ihre eigenen Einsichten hatten. Wir können natürlich nicht feststellen, ob die Schiffe der Marine nach 1703 auch so gebaut wurden, wie sich das die Herren vorstellten. Gehen wir zeitlich in die Richtung 1750, tauchen erneut Bestrebungen auf, den Schiffbau zu reformieren und auf eine wissenschaftliche Basis zu stellen. Da wären dann die Namen der Familie van Zwijndegt und dem Schiffbauer Willem Udemans Junior zu nennen. Doch kommen wir auf den Inhalt des überlieferten Materials zurück. Man hatte im zuvor beschlossen, 18 neue Kriegsschiffe bauen zu lassen. Dazu wurde eine Petition von 864000 Gulden eingereicht. Legen wir diese Summe auf die 18 Schiffe um, verbleibt für je ein Schiff eine Summe von 48000 Gulden. Dieses Geld reichte natürlich nicht für den Bau aller Schiffe. Vermutlich hätte man nur die Schiffsrümpfe dafür bekommen. Alleine die Baukosten der 1653/54 gebauten Eendracht für die Admiralität Rotterdam beliefen sich auf 56000 Gulden.</w:t>
      </w:r>
    </w:p>
    <w:p>
      <w:pPr>
        <w:pStyle w:val="para9"/>
      </w:pPr>
      <w:r>
        <w:t>Suchen wir in unserer Sammlung ein Besteck, nachdem die Werften dieses Schiff hätten bauen können, finden wir nur ein Besteck mit den Abmessungen L=140; W=40; R=16 Fuß. Wobei gesagt werden muss, dass dieses in Hoorn gebaute Schiff schon in den Hauptabmessungen nicht mehr mit dem verbindlichen Entwurf übereinstimmte. Das vorliegende Besteck datiert allerdings von 1725-02-06. Die Länge und die Schiffsweite korrespondieren zwar, die Raumtiefe weicht aber mit 16 1/4 Fuß ab. Weiter Abweichungen finden wir dann bei den Bauteilen. Der Kiel hatte eine Länge von 128 Fuß 4 Daumen im Gegensatz zum Entwurf. Hier wurden noch 127 1/2 Fuß für die Länge festgelegt. Mit anderen Worten: Was im Jahr 1703 im großen Kreis vereinbart wurde, kam wohl nicht bei den Werften an oder es war den Schiffbauern nicht wichtig genug, dass einfach umzusetzen, was in Den Haag festgelegt wurde.</w:t>
      </w:r>
    </w:p>
    <w:p>
      <w:pPr>
        <w:pStyle w:val="para9"/>
      </w:pPr>
      <w:r>
        <w:t xml:space="preserve">Aber wir können noch in das Jahr 1697 zurückgehen. Pieter van Dam hatte für die OIC die Aufgabe bekommen, die Geschichte der OIC niederzuschreiben. Die Herren Siebzehn hatte ihn im Jahr 1693 damit beauftragt, die Geschichte der Kompanie. Das Ergebnis war ein umfangreiches vierbändiges Werk mit dem Titel: </w:t>
      </w:r>
      <w:r>
        <w:fldChar w:fldCharType="begin"/>
        <w:instrText xml:space="preserve"> TMBIBLIOGRAPHY «Van Dam 1701» </w:instrText>
        <w:fldChar w:fldCharType="separate"/>
        <w:t>[Van Dam 1701]</w:t>
        <w:fldChar w:fldCharType="end"/>
      </w:r>
      <w:r>
        <w:t>.</w:t>
      </w:r>
    </w:p>
    <w:p>
      <w:pPr>
        <w:pStyle w:val="para1"/>
      </w:pPr>
      <w:r>
        <w:br w:type="page"/>
      </w:r>
      <w:bookmarkStart w:id="297" w:name="_TOC000119"/>
      <w:r>
        <w:t>Die West- und Ostindischen Kompanien</w:t>
      </w:r>
      <w:bookmarkEnd w:id="294"/>
      <w:r/>
      <w:bookmarkEnd w:id="293"/>
      <w:r/>
      <w:bookmarkEnd w:id="292"/>
      <w:r/>
      <w:bookmarkEnd w:id="291"/>
      <w:r/>
      <w:bookmarkEnd w:id="290"/>
      <w:r/>
      <w:bookmarkEnd w:id="297"/>
      <w:r/>
    </w:p>
    <w:p>
      <w:pPr>
        <w:pStyle w:val="para11"/>
        <w:numPr>
          <w:ilvl w:val="0"/>
          <w:numId w:val="1"/>
        </w:numPr>
      </w:pPr>
      <w:r>
        <w:t>Die Ostindische Kompanie mit Sitz in Amsterdam war wohl federführend, was den Bau der Retourschiffe betraf.</w:t>
      </w:r>
      <w:r>
        <w:rPr>
          <w:rStyle w:val="char1"/>
        </w:rPr>
      </w:r>
      <w:r>
        <w:rPr>
          <w:rStyle w:val="char1"/>
        </w:rPr>
        <w:footnoteReference w:id="299"/>
      </w:r>
      <w:r/>
    </w:p>
    <w:p>
      <w:pPr>
        <w:pStyle w:val="para11"/>
        <w:numPr>
          <w:ilvl w:val="0"/>
          <w:numId w:val="1"/>
        </w:numPr>
      </w:pPr>
      <w:r>
        <w:t>Die Grundlage zum Bau der Retourschiffe waren verschiedene Bestecke. Sie gehen bis auf das Jahr 1603 zurück.</w:t>
      </w:r>
      <w:r>
        <w:rPr>
          <w:rStyle w:val="char1"/>
        </w:rPr>
      </w:r>
      <w:r>
        <w:rPr>
          <w:rStyle w:val="char1"/>
        </w:rPr>
        <w:footnoteReference w:id="300"/>
      </w:r>
      <w:r/>
    </w:p>
    <w:p>
      <w:pPr>
        <w:pStyle w:val="para11"/>
        <w:numPr>
          <w:ilvl w:val="0"/>
          <w:numId w:val="1"/>
        </w:numPr>
      </w:pPr>
      <w:r>
        <w:t>Im Jahr 1652 tauchen einige Listen und sogenannte Charter auf. Hierbei handelte es sich nicht um Bestecke, sondern um Klassifizierungen der Schiffsgrößen.</w:t>
      </w:r>
      <w:r>
        <w:rPr>
          <w:rStyle w:val="char1"/>
        </w:rPr>
      </w:r>
      <w:r>
        <w:rPr>
          <w:rStyle w:val="char1"/>
        </w:rPr>
        <w:footnoteReference w:id="301"/>
      </w:r>
      <w:r/>
    </w:p>
    <w:p>
      <w:pPr>
        <w:pStyle w:val="para11"/>
        <w:numPr>
          <w:ilvl w:val="0"/>
          <w:numId w:val="1"/>
        </w:numPr>
      </w:pPr>
      <w:r>
        <w:t>1653 tauchen einige wichtige Bestecke auf.</w:t>
      </w:r>
      <w:r>
        <w:rPr>
          <w:rStyle w:val="char1"/>
        </w:rPr>
      </w:r>
      <w:r>
        <w:rPr>
          <w:rStyle w:val="char1"/>
        </w:rPr>
        <w:footnoteReference w:id="302"/>
      </w:r>
      <w:r/>
    </w:p>
    <w:p>
      <w:pPr>
        <w:pStyle w:val="para11"/>
        <w:numPr>
          <w:ilvl w:val="0"/>
          <w:numId w:val="1"/>
        </w:numPr>
      </w:pPr>
      <w:r>
        <w:t>In den Jahren 1680 bis 1690 beschäftigte man sich bei der Kammer Amsterdam damit, wie man das zu zahlende Lastgeld besser berechnen könnte. Hierzu gab der damalige Autor einige Berechnungsbeispiele.</w:t>
      </w:r>
      <w:r>
        <w:rPr>
          <w:rStyle w:val="char1"/>
        </w:rPr>
      </w:r>
      <w:r>
        <w:rPr>
          <w:rStyle w:val="char1"/>
        </w:rPr>
        <w:footnoteReference w:id="303"/>
      </w:r>
      <w:r/>
    </w:p>
    <w:p>
      <w:pPr>
        <w:pStyle w:val="para11"/>
        <w:numPr>
          <w:ilvl w:val="0"/>
          <w:numId w:val="1"/>
        </w:numPr>
      </w:pPr>
      <w:r>
        <w:t>1697 wurden wohl gut gebauten Schiffe vermessen und für die Aufmaße anderen Kammern zugänglich gemacht. Die Maße sollten bindend für den Bau neuer Schiffe werden.</w:t>
      </w:r>
      <w:r>
        <w:rPr>
          <w:rStyle w:val="char1"/>
        </w:rPr>
      </w:r>
      <w:r>
        <w:rPr>
          <w:rStyle w:val="char1"/>
        </w:rPr>
        <w:footnoteReference w:id="304"/>
      </w:r>
      <w:r/>
    </w:p>
    <w:p>
      <w:pPr>
        <w:pStyle w:val="para11"/>
        <w:numPr>
          <w:ilvl w:val="0"/>
          <w:numId w:val="1"/>
        </w:numPr>
      </w:pPr>
      <w:r>
        <w:t>Es stellte sich aber heraus, dass einige Schiffsgrößen nicht optimal waren. So wurden erstmals in 1714 Veränderungen vorgenommen.</w:t>
      </w:r>
      <w:r>
        <w:rPr>
          <w:rStyle w:val="char1"/>
        </w:rPr>
      </w:r>
      <w:r>
        <w:rPr>
          <w:rStyle w:val="char1"/>
        </w:rPr>
        <w:footnoteReference w:id="305"/>
      </w:r>
      <w:r/>
    </w:p>
    <w:p>
      <w:pPr>
        <w:pStyle w:val="para11"/>
        <w:numPr>
          <w:ilvl w:val="0"/>
          <w:numId w:val="1"/>
        </w:numPr>
      </w:pPr>
      <w:r>
        <w:t>Die OIC-Schiffe von 1714 wurden vom Schiffbaumeister Blok gebaut. Diese Entwürfe gehen auf die Entwürfe von 1697 zurück.</w:t>
      </w:r>
    </w:p>
    <w:p>
      <w:pPr>
        <w:pStyle w:val="para11"/>
        <w:numPr>
          <w:ilvl w:val="0"/>
          <w:numId w:val="1"/>
        </w:numPr>
      </w:pPr>
      <w:r>
        <w:t>Im Jahre 1741 kam es erneut dazu, die Linien der Schiffe zu verändern.</w:t>
      </w:r>
      <w:r>
        <w:rPr>
          <w:rStyle w:val="char1"/>
        </w:rPr>
      </w:r>
      <w:r>
        <w:rPr>
          <w:rStyle w:val="char1"/>
        </w:rPr>
        <w:footnoteReference w:id="306"/>
      </w:r>
      <w:r/>
    </w:p>
    <w:p>
      <w:pPr>
        <w:pStyle w:val="para11"/>
        <w:numPr>
          <w:ilvl w:val="0"/>
          <w:numId w:val="1"/>
        </w:numPr>
      </w:pPr>
      <w:r>
        <w:t>Im Jahr 1742 finden wir im Archiv einen interessanten Schiffsentwurf.</w:t>
      </w:r>
      <w:r>
        <w:rPr>
          <w:rStyle w:val="char1"/>
        </w:rPr>
      </w:r>
      <w:r>
        <w:rPr>
          <w:rStyle w:val="char1"/>
        </w:rPr>
        <w:footnoteReference w:id="307"/>
      </w:r>
      <w:r/>
    </w:p>
    <w:p>
      <w:pPr>
        <w:pStyle w:val="para2"/>
      </w:pPr>
      <w:bookmarkStart w:id="307" w:name="_TOC000022"/>
      <w:r>
        <w:t>Das Jahr 1603</w:t>
      </w:r>
      <w:bookmarkEnd w:id="307"/>
      <w:r>
        <w:t>; OIC</w:t>
      </w:r>
    </w:p>
    <w:p>
      <w:pPr>
        <w:pStyle w:val="para9"/>
      </w:pPr>
      <w:r>
        <w:t>Das erste bekannte Besteck eines OIC-Schiffes geht auf das Jahr 1603 zurück.</w:t>
      </w:r>
      <w:r>
        <w:rPr>
          <w:rStyle w:val="char1"/>
          <w:rFonts w:eastAsia="SimSun" w:cs="Times New Roman"/>
          <w:szCs w:val="20"/>
          <w:lang w:eastAsia="default" w:bidi="default"/>
        </w:rPr>
      </w:r>
      <w:r>
        <w:rPr>
          <w:rStyle w:val="char1"/>
          <w:rFonts w:eastAsia="SimSun" w:cs="Times New Roman"/>
          <w:szCs w:val="20"/>
          <w:lang w:eastAsia="default" w:bidi="default"/>
        </w:rPr>
        <w:footnoteReference w:id="309"/>
      </w:r>
      <w:r>
        <w:t xml:space="preserve"> Das Schiff hatte die Abmessungen von: 130, 35, 13</w:t>
      </w:r>
    </w:p>
    <w:p>
      <w:pPr>
        <w:pStyle w:val="para2"/>
      </w:pPr>
      <w:bookmarkStart w:id="309" w:name="_TOC000120"/>
      <w:r>
        <w:t>Das Jahr 1649</w:t>
      </w:r>
      <w:bookmarkEnd w:id="309"/>
      <w:r>
        <w:t>; OIC</w:t>
      </w:r>
    </w:p>
    <w:p>
      <w:pPr>
        <w:pStyle w:val="para9"/>
      </w:pPr>
      <w:r>
        <w:t>In dem Schreiben wurde vorgeschlagen, besondere Aufmerksamkeit auf Schiffe mit einem Tiefgang von mehr als 19 Fuß zu legen. Der Wasserstand vom Vlie betrug lediglich 23 bis 24 Fuß.</w:t>
      </w:r>
      <w:r>
        <w:rPr>
          <w:rStyle w:val="char1"/>
          <w:rFonts w:eastAsia="SimSun" w:cs="Times New Roman"/>
          <w:szCs w:val="20"/>
          <w:lang w:eastAsia="default" w:bidi="default"/>
        </w:rPr>
      </w:r>
      <w:r>
        <w:rPr>
          <w:rStyle w:val="char1"/>
          <w:rFonts w:eastAsia="SimSun" w:cs="Times New Roman"/>
          <w:szCs w:val="20"/>
          <w:lang w:eastAsia="default" w:bidi="default"/>
        </w:rPr>
        <w:footnoteReference w:id="311"/>
      </w:r>
      <w:r/>
    </w:p>
    <w:p>
      <w:pPr>
        <w:pStyle w:val="para2"/>
      </w:pPr>
      <w:bookmarkStart w:id="311" w:name="_TOC000160"/>
      <w:r>
        <w:t>Das Jahr 1652</w:t>
      </w:r>
      <w:bookmarkEnd w:id="311"/>
      <w:r>
        <w:t>; OIC</w:t>
      </w:r>
    </w:p>
    <w:p>
      <w:pPr>
        <w:pStyle w:val="para9"/>
      </w:pPr>
      <w:r>
        <w:t>Im Jahr 1652 ging es um verschiedene Schiffe; 4 Jachten mit 130, 30, 12 1/2, 6 3/4 Fuß. Die große Pinasse von 128, 27, 13, 6 Fuß und eine kleinere Pinasse von 116, 25, 11, 5 1/4 Fuß.</w:t>
      </w:r>
      <w:r>
        <w:rPr>
          <w:rStyle w:val="char1"/>
          <w:rFonts w:eastAsia="SimSun" w:cs="Times New Roman"/>
          <w:szCs w:val="20"/>
          <w:lang w:eastAsia="default" w:bidi="default"/>
        </w:rPr>
      </w:r>
      <w:r>
        <w:rPr>
          <w:rStyle w:val="char1"/>
          <w:rFonts w:eastAsia="SimSun" w:cs="Times New Roman"/>
          <w:szCs w:val="20"/>
          <w:lang w:eastAsia="default" w:bidi="default"/>
        </w:rPr>
        <w:footnoteReference w:id="313"/>
      </w:r>
      <w:r/>
    </w:p>
    <w:p>
      <w:pPr>
        <w:pStyle w:val="para2"/>
      </w:pPr>
      <w:bookmarkStart w:id="313" w:name="_TOC000161"/>
      <w:r>
        <w:t>Das Jahr 1653</w:t>
      </w:r>
      <w:bookmarkEnd w:id="313"/>
      <w:r>
        <w:t>; OIC</w:t>
      </w:r>
    </w:p>
    <w:p>
      <w:pPr>
        <w:pStyle w:val="para9"/>
      </w:pPr>
      <w:r>
        <w:t>Im Jahr 1653 ging es wieder um verschiedene Schiffsgrößen.</w:t>
      </w:r>
      <w:r>
        <w:rPr>
          <w:rStyle w:val="char1"/>
          <w:rFonts w:eastAsia="SimSun" w:cs="Times New Roman"/>
          <w:szCs w:val="20"/>
          <w:lang w:eastAsia="default" w:bidi="default"/>
        </w:rPr>
      </w:r>
      <w:r>
        <w:rPr>
          <w:rStyle w:val="char1"/>
          <w:rFonts w:eastAsia="SimSun" w:cs="Times New Roman"/>
          <w:szCs w:val="20"/>
          <w:lang w:eastAsia="default" w:bidi="default"/>
        </w:rPr>
        <w:footnoteReference w:id="315"/>
      </w:r>
      <w:r>
        <w:t xml:space="preserve"> Charter von einem Retourschip von 160, 38, 13, 5 Fuß. Ferner eines Oorlogschip von 134, 33, 13 1/2, 7 1/2 Fuß. Auch eine Coopvaardy Jacht von 126, 28, 12, 6 1/2 Fuß. Auch eine kleine Jacht von 116, 26, 10, 5 1/2 Fuß.</w:t>
      </w:r>
    </w:p>
    <w:p>
      <w:pPr>
        <w:pStyle w:val="para2"/>
      </w:pPr>
      <w:bookmarkStart w:id="315" w:name="_TOC000203"/>
      <w:r>
        <w:t>Besteck einer kleinen Jacht</w:t>
      </w:r>
      <w:bookmarkEnd w:id="315"/>
      <w:r>
        <w:t>; OIC</w:t>
      </w:r>
    </w:p>
    <w:p>
      <w:pPr>
        <w:pStyle w:val="para9"/>
      </w:pPr>
      <w:r>
        <w:t>Das Schiff hatte eine Länge von 116 Fuß.</w:t>
      </w:r>
      <w:r>
        <w:rPr>
          <w:rStyle w:val="char1"/>
          <w:rFonts w:eastAsia="SimSun" w:cs="Times New Roman"/>
          <w:szCs w:val="20"/>
          <w:lang w:eastAsia="default" w:bidi="default"/>
        </w:rPr>
      </w:r>
      <w:r>
        <w:rPr>
          <w:rStyle w:val="char1"/>
          <w:rFonts w:eastAsia="SimSun" w:cs="Times New Roman"/>
          <w:szCs w:val="20"/>
          <w:lang w:eastAsia="default" w:bidi="default"/>
        </w:rPr>
        <w:footnoteReference w:id="317"/>
      </w:r>
      <w:r>
        <w:t xml:space="preserve"> Es wurde 1653-05.24 erwähnt.</w:t>
      </w:r>
    </w:p>
    <w:p>
      <w:pPr>
        <w:pStyle w:val="para2"/>
      </w:pPr>
      <w:bookmarkStart w:id="317" w:name="_TOC000204"/>
      <w:r>
        <w:t>Besteck eines Oorlogschip</w:t>
      </w:r>
      <w:bookmarkEnd w:id="317"/>
      <w:r>
        <w:t>; OIC</w:t>
      </w:r>
    </w:p>
    <w:p>
      <w:pPr>
        <w:pStyle w:val="para9"/>
      </w:pPr>
      <w:r>
        <w:t>Das Besteck trägt das Datum: 1653-05-24.</w:t>
      </w:r>
      <w:r>
        <w:rPr>
          <w:rStyle w:val="char1"/>
          <w:rFonts w:eastAsia="SimSun" w:cs="Times New Roman"/>
          <w:szCs w:val="20"/>
          <w:lang w:eastAsia="default" w:bidi="default"/>
        </w:rPr>
      </w:r>
      <w:r>
        <w:rPr>
          <w:rStyle w:val="char1"/>
          <w:rFonts w:eastAsia="SimSun" w:cs="Times New Roman"/>
          <w:szCs w:val="20"/>
          <w:lang w:eastAsia="default" w:bidi="default"/>
        </w:rPr>
        <w:footnoteReference w:id="319"/>
      </w:r>
      <w:r/>
    </w:p>
    <w:p>
      <w:pPr>
        <w:pStyle w:val="para2"/>
      </w:pPr>
      <w:bookmarkStart w:id="319" w:name="_TOC000237"/>
      <w:r>
        <w:t>Besteck eines Kauffahrers</w:t>
      </w:r>
      <w:bookmarkEnd w:id="319"/>
      <w:r>
        <w:t>; OIC</w:t>
      </w:r>
    </w:p>
    <w:p>
      <w:pPr>
        <w:pStyle w:val="para9"/>
      </w:pPr>
      <w:r>
        <w:t>Das kurze Besteck wurde 1653-05-23 verfasst. Die Länge betrug 126 Fuß.</w:t>
      </w:r>
      <w:r>
        <w:rPr>
          <w:rStyle w:val="char1"/>
          <w:rFonts w:eastAsia="SimSun" w:cs="Times New Roman"/>
          <w:szCs w:val="20"/>
          <w:lang w:eastAsia="default" w:bidi="default"/>
        </w:rPr>
      </w:r>
      <w:r>
        <w:rPr>
          <w:rStyle w:val="char1"/>
          <w:rFonts w:eastAsia="SimSun" w:cs="Times New Roman"/>
          <w:szCs w:val="20"/>
          <w:lang w:eastAsia="default" w:bidi="default"/>
        </w:rPr>
        <w:footnoteReference w:id="321"/>
      </w:r>
      <w:r/>
    </w:p>
    <w:p>
      <w:pPr>
        <w:pStyle w:val="para2"/>
      </w:pPr>
      <w:bookmarkStart w:id="321" w:name="_TOC000238"/>
      <w:r>
        <w:t>Besteck eines Retourschiffes</w:t>
      </w:r>
      <w:bookmarkEnd w:id="321"/>
      <w:r>
        <w:t>; OIC</w:t>
      </w:r>
    </w:p>
    <w:p>
      <w:pPr>
        <w:pStyle w:val="para9"/>
      </w:pPr>
      <w:r>
        <w:t>Das Besteck trägt das Datum: 1653-05-24. Die Länge des Schiffes betrug 160 Fuß.</w:t>
      </w:r>
      <w:r>
        <w:rPr>
          <w:rStyle w:val="char1"/>
          <w:rFonts w:eastAsia="SimSun" w:cs="Times New Roman"/>
          <w:szCs w:val="20"/>
          <w:lang w:eastAsia="default" w:bidi="default"/>
        </w:rPr>
      </w:r>
      <w:r>
        <w:rPr>
          <w:rStyle w:val="char1"/>
          <w:rFonts w:eastAsia="SimSun" w:cs="Times New Roman"/>
          <w:szCs w:val="20"/>
          <w:lang w:eastAsia="default" w:bidi="default"/>
        </w:rPr>
        <w:footnoteReference w:id="323"/>
      </w:r>
      <w:r/>
    </w:p>
    <w:p>
      <w:pPr>
        <w:pStyle w:val="para2"/>
      </w:pPr>
      <w:bookmarkStart w:id="323" w:name="_TOC000259"/>
      <w:r>
        <w:t>Die 50er-Jahre des 17. Jahrhunderts</w:t>
      </w:r>
      <w:bookmarkEnd w:id="323"/>
      <w:r>
        <w:t>; OIC</w:t>
      </w:r>
    </w:p>
    <w:p>
      <w:pPr>
        <w:pStyle w:val="para9"/>
      </w:pPr>
      <w:r>
        <w:t>Im Nationaal archief Den Haag findet sich unter der Zugangsnummer 1.04.02, Findnummer 7348 eine Ausarbeitung zu den Schiffen der OIC.</w:t>
      </w:r>
      <w:r>
        <w:rPr>
          <w:rStyle w:val="char1"/>
          <w:rFonts w:eastAsia="SimSun" w:cs="Times New Roman"/>
          <w:szCs w:val="20"/>
          <w:lang w:eastAsia="default" w:bidi="default"/>
        </w:rPr>
      </w:r>
      <w:r>
        <w:rPr>
          <w:rStyle w:val="char1"/>
          <w:rFonts w:eastAsia="SimSun" w:cs="Times New Roman"/>
          <w:szCs w:val="20"/>
          <w:lang w:eastAsia="default" w:bidi="default"/>
        </w:rPr>
        <w:footnoteReference w:id="325"/>
      </w:r>
      <w:r>
        <w:t xml:space="preserve"> Es ging dabei um die Schiffe der Größe 160, 134, 126, 116 Fuß. Ferner tauchen noch Schiffsgrößen von 140, 135, 134 und 129 1/2, 120, 106, 90 Fuß. Dann ging es um zwei Schiffe in der Größe von 138 und 140 Fuß. Auch von einem Schiff in der Länge von 100 Fuß. Da es sich um die Ausrüstung der Schiffe handelte, werden die Dokumente hier erst einmal nicht weiter behandelt.</w:t>
      </w:r>
    </w:p>
    <w:p>
      <w:pPr>
        <w:pStyle w:val="para2"/>
      </w:pPr>
      <w:bookmarkStart w:id="325" w:name="_TOC000260"/>
      <w:r>
        <w:t>Das Jahr 1654</w:t>
      </w:r>
      <w:bookmarkEnd w:id="325"/>
      <w:r>
        <w:t>; OIC</w:t>
      </w:r>
    </w:p>
    <w:p>
      <w:pPr>
        <w:pStyle w:val="para9"/>
      </w:pPr>
      <w:r>
        <w:t>Im Jahr 1654 taucht ein Besteck einer Fleute in den Abmessungen 120, 26, 11 1/2, 5 Fuß auf. Das Besteck ist auffallend kurz gehalten.</w:t>
      </w:r>
      <w:r>
        <w:rPr>
          <w:rStyle w:val="char1"/>
          <w:rFonts w:eastAsia="SimSun" w:cs="Times New Roman"/>
          <w:szCs w:val="20"/>
          <w:lang w:eastAsia="default" w:bidi="default"/>
        </w:rPr>
      </w:r>
      <w:r>
        <w:rPr>
          <w:rStyle w:val="char1"/>
          <w:rFonts w:eastAsia="SimSun" w:cs="Times New Roman"/>
          <w:szCs w:val="20"/>
          <w:lang w:eastAsia="default" w:bidi="default"/>
        </w:rPr>
        <w:footnoteReference w:id="327"/>
      </w:r>
      <w:r/>
    </w:p>
    <w:p>
      <w:pPr>
        <w:pStyle w:val="para2"/>
      </w:pPr>
      <w:bookmarkStart w:id="327" w:name="_TOC000265"/>
      <w:r>
        <w:t>Das Jahr 1657</w:t>
      </w:r>
      <w:bookmarkEnd w:id="327"/>
      <w:r>
        <w:t>; OIC</w:t>
      </w:r>
    </w:p>
    <w:p>
      <w:pPr>
        <w:pStyle w:val="para9"/>
      </w:pPr>
      <w:r>
        <w:t>Im Jahr 1657 tauch ein weiteres Besteck einer Fleute auf. Vermutlich war es eine Kopie aus dem Jahr 1654, denn die Abmessungen sind identisch.</w:t>
      </w:r>
      <w:r>
        <w:rPr>
          <w:rStyle w:val="char1"/>
          <w:rFonts w:eastAsia="SimSun" w:cs="Times New Roman"/>
          <w:szCs w:val="20"/>
          <w:lang w:eastAsia="default" w:bidi="default"/>
        </w:rPr>
      </w:r>
      <w:r>
        <w:rPr>
          <w:rStyle w:val="char1"/>
          <w:rFonts w:eastAsia="SimSun" w:cs="Times New Roman"/>
          <w:szCs w:val="20"/>
          <w:lang w:eastAsia="default" w:bidi="default"/>
        </w:rPr>
        <w:footnoteReference w:id="329"/>
      </w:r>
      <w:r/>
    </w:p>
    <w:p>
      <w:pPr>
        <w:pStyle w:val="para2"/>
      </w:pPr>
      <w:bookmarkStart w:id="329" w:name="_TOC000266"/>
      <w:r>
        <w:t>Zweites Drittel des 17. Jahrhunderts</w:t>
      </w:r>
      <w:bookmarkEnd w:id="329"/>
      <w:r>
        <w:t>; OIC</w:t>
      </w:r>
    </w:p>
    <w:p>
      <w:pPr>
        <w:pStyle w:val="para9"/>
      </w:pPr>
      <w:r>
        <w:t>Im Archiv der OIC tauchen Unterlagen zu den Fassgrößen auf den Schiffen auf.</w:t>
      </w:r>
      <w:r>
        <w:rPr>
          <w:rStyle w:val="char1"/>
          <w:rFonts w:eastAsia="SimSun" w:cs="Times New Roman"/>
          <w:szCs w:val="20"/>
          <w:lang w:eastAsia="default" w:bidi="default"/>
        </w:rPr>
      </w:r>
      <w:r>
        <w:rPr>
          <w:rStyle w:val="char1"/>
          <w:rFonts w:eastAsia="SimSun" w:cs="Times New Roman"/>
          <w:szCs w:val="20"/>
          <w:lang w:eastAsia="default" w:bidi="default"/>
        </w:rPr>
        <w:footnoteReference w:id="331"/>
      </w:r>
      <w:r/>
    </w:p>
    <w:p>
      <w:pPr>
        <w:pStyle w:val="para2"/>
      </w:pPr>
      <w:bookmarkStart w:id="331" w:name="_TOC000267"/>
      <w:r>
        <w:t>Das Jahr 1688</w:t>
      </w:r>
      <w:bookmarkEnd w:id="331"/>
      <w:r>
        <w:t>; OIC</w:t>
      </w:r>
    </w:p>
    <w:p>
      <w:pPr>
        <w:pStyle w:val="para9"/>
      </w:pPr>
      <w:r>
        <w:t>Im Jahr 1688 gab es Bestrebungen, die bis dahin gängige Praxis der Lastgeld-Ermittlung zu präzisieren.</w:t>
      </w:r>
      <w:r>
        <w:rPr>
          <w:rStyle w:val="char1"/>
          <w:rFonts w:eastAsia="SimSun" w:cs="Times New Roman"/>
          <w:szCs w:val="20"/>
          <w:lang w:eastAsia="default" w:bidi="default"/>
        </w:rPr>
      </w:r>
      <w:r>
        <w:rPr>
          <w:rStyle w:val="char1"/>
          <w:rFonts w:eastAsia="SimSun" w:cs="Times New Roman"/>
          <w:szCs w:val="20"/>
          <w:lang w:eastAsia="default" w:bidi="default"/>
        </w:rPr>
        <w:footnoteReference w:id="333"/>
      </w:r>
      <w:r/>
    </w:p>
    <w:p>
      <w:pPr>
        <w:pStyle w:val="para2"/>
      </w:pPr>
      <w:bookmarkStart w:id="333" w:name="_TOC000268"/>
      <w:r>
        <w:t>Das Jahr 1689</w:t>
      </w:r>
      <w:bookmarkEnd w:id="333"/>
      <w:r>
        <w:t>; OIC</w:t>
      </w:r>
    </w:p>
    <w:p>
      <w:pPr>
        <w:pStyle w:val="para9"/>
      </w:pPr>
      <w:r>
        <w:t>Im Jahr 1689-03-07 tauchen im Archiv der OIC Verbesserungsvorschläge bezüglich der Schiffe auf.</w:t>
      </w:r>
      <w:r>
        <w:rPr>
          <w:rStyle w:val="char1"/>
          <w:rFonts w:eastAsia="SimSun" w:cs="Times New Roman"/>
          <w:szCs w:val="20"/>
          <w:lang w:eastAsia="default" w:bidi="default"/>
        </w:rPr>
      </w:r>
      <w:r>
        <w:rPr>
          <w:rStyle w:val="char1"/>
          <w:rFonts w:eastAsia="SimSun" w:cs="Times New Roman"/>
          <w:szCs w:val="20"/>
          <w:lang w:eastAsia="default" w:bidi="default"/>
        </w:rPr>
        <w:footnoteReference w:id="335"/>
      </w:r>
      <w:r>
        <w:t xml:space="preserve"> Eine Kommission stellte fest, dass die Kompanieschiffe größeren Tiefgang als gewöhnliche Schiffe hatten. Die Herren führten einige mögliche Ursachen auf. Unter anderem, dass die Schiffe viel schwerer gebaut würden. Das möglicherweise auch zu viele Güter geladen werden. Auch die Bewaffnung spielte eine Rolle. Grundsätzlich ging es aber um die Rankheit der Schiffe. So kam es immer wieder vor, dass ähnlich wie bei den Kriegsschiffen, die untere Geschützlage nicht genutzt werden konnte. Es war den Verantwortlichen scheinbar ein Dorn im Auge, dass die Besatzungen und Mitreisenden mit ihren Familien das untere Deck bevölkerten. Was zur Folge hatte, dass es kaum Bewegungsfreiheiten für die Schiffsbesatzung gab. Abhilfe sollte dann sein, dass die Anzahl der Geschütze im unteren Deck reduziert werden sollte. Es fällt auf, dass die Kompanieschiffe kaum eine einheitliche Bewaffnung mit sich führte. Die Folge davon war das berühmte Chaos im Ernstfall, wenn die Kanonenkugeln nicht zum Geschütz passten. Am Ende des Schreibens wurden dann Vorschläge zur Bewaffnung der Schiffe unterbreitet.</w:t>
      </w:r>
    </w:p>
    <w:p>
      <w:pPr>
        <w:pStyle w:val="para2"/>
      </w:pPr>
      <w:bookmarkStart w:id="335" w:name="_TOC000269"/>
      <w:r>
        <w:t>Ein weiteres Schiff aus dem Jahr 1689-12-31</w:t>
      </w:r>
      <w:bookmarkEnd w:id="335"/>
      <w:r>
        <w:t>; OIC</w:t>
      </w:r>
    </w:p>
    <w:p>
      <w:pPr>
        <w:pStyle w:val="para9"/>
      </w:pPr>
      <w:r>
        <w:t>Dieses Schiff wurde nicht in den Niederlanden gebaut. Die Unterlage deutet auf Batavia hin. Die Abmessungen lauten: Länge 95, Weite 26, Raumtiefe 11 Fuß.</w:t>
      </w:r>
      <w:r>
        <w:rPr>
          <w:rStyle w:val="char1"/>
          <w:rFonts w:eastAsia="SimSun" w:cs="Times New Roman"/>
          <w:szCs w:val="20"/>
          <w:lang w:eastAsia="default" w:bidi="default"/>
        </w:rPr>
      </w:r>
      <w:r>
        <w:rPr>
          <w:rStyle w:val="char1"/>
          <w:rFonts w:eastAsia="SimSun" w:cs="Times New Roman"/>
          <w:szCs w:val="20"/>
          <w:lang w:eastAsia="default" w:bidi="default"/>
        </w:rPr>
        <w:footnoteReference w:id="337"/>
      </w:r>
      <w:r>
        <w:t xml:space="preserve"> Ferner ist noch die Rede von Schiffen mit 75 Fuß Länge.</w:t>
      </w:r>
    </w:p>
    <w:p>
      <w:pPr>
        <w:pStyle w:val="para2"/>
      </w:pPr>
      <w:bookmarkStart w:id="337" w:name="_TOC000270"/>
      <w:r>
        <w:t>Konstruktion der OIC im Jahr 1696</w:t>
      </w:r>
      <w:bookmarkEnd w:id="337"/>
      <w:r>
        <w:t>; OIC</w:t>
      </w:r>
    </w:p>
    <w:p>
      <w:pPr>
        <w:pStyle w:val="para9"/>
      </w:pPr>
      <w:r>
        <w:rPr>
          <w:color w:val="ff0000"/>
        </w:rPr>
        <w:t xml:space="preserve">Dieses Jahr ist für uns ein interessantes Jahr. Pieter van Dam (1621-1706) hatte in seinem umfangreichen </w:t>
      </w:r>
      <w:r>
        <w:t>Werk über die OIC auch ein Kapitel über den Schiffbau der Kompanie verfasst. Die Verantwortlichen (die Herren 17) in der Kompanie wollten gerne reproduzierbare Schiffe bauen lassen. Um dieses zu verwirklichen, wurden einige wichtige und gut gebaute Schiffe vermessen und das Ergebnis schriftlich fixiert. So ist uns heut bekannt, welche Maße die Schiffbauer an den Schiffen abnahmen. Es handelte sich um das 130, 145 und 160-Fuß-Schiff. Van Dam überlieferte uns im Band 1 ab Seite 493 folgende Informationen:</w:t>
        <w:tab/>
        <w:br w:type="textWrapping"/>
        <w:t>Angaben zum Kiel; Lage der Masten; Lage der Lenzpumpen; Größe und Lage des Vorstevens; Größe des Achterstevens; Lage des Überlaufs über dem Kiel an der Hinter- und Vorderkante; Lage des darüber liegenden Decks; Lage und Abmessungen des Heckbalkens; Abmessungen der Randsomhölzer, der Heckstützen; Höhe der Reling in der Kuhl; Lage des Halbdecks; Lage des Backdecks; Lage des Hüttendecks; Abmessungen der Innenhölzer - damit waren die Spanten gemeint; Abmessungen der Berghölzer und des Rahholzes; die Füllungen zwischen den Berghölzern; die Abmessungen der Wegerung; die Decksbalken; die Knie der Decksbalken; Die Speenen der Beting; Maße zum Ruder; der Durchmesser des Spillkopfes.</w:t>
      </w:r>
    </w:p>
    <w:p>
      <w:pPr>
        <w:pStyle w:val="para9"/>
      </w:pPr>
      <w:r>
        <w:t>Danach folgte dann die Definition der Senten. Hierzu wurde die Länge des Schiffes über Steven in zehn gleiche Abschnitte geteilt, sodass neun Querschnitte entstanden. An jedem dieser Querschnitte wurden fünf Maße zugrunde gelegt. Alle Maße zusammen genommen, ergaben dann die Form des Schiffsrumpfes.</w:t>
      </w:r>
    </w:p>
    <w:p>
      <w:pPr>
        <w:pStyle w:val="para9"/>
      </w:pPr>
      <w:r>
        <w:t>Jedes Maß an den Spanten setzte sich aus einem X-Wert, einem Y-Wert und einem Z-Wert zusammen. Das erste Maß wurde an der Außenkante des Flachs, das zweite am Boeysel, das dritte am Scheergang, das vierte im Bereich des Boevenets und das fünfte am Rahholz.</w:t>
      </w:r>
    </w:p>
    <w:p>
      <w:pPr>
        <w:pStyle w:val="para9"/>
      </w:pPr>
      <w:r>
        <w:t>Es wäre zu viel des Guten, wenn in dieser Arbeit alle Maßangaben der Schiffe vorgestellt würden. Es soll ein Beispiel einer Sente von einem 160-Fuß-Schiff vorgestellt werden.</w:t>
      </w:r>
      <w:r>
        <w:rPr>
          <w:rStyle w:val="char1"/>
          <w:rFonts w:eastAsia="SimSun" w:cs="Times New Roman"/>
          <w:szCs w:val="20"/>
          <w:lang w:eastAsia="default" w:bidi="default"/>
        </w:rPr>
      </w:r>
      <w:r>
        <w:rPr>
          <w:rStyle w:val="char1"/>
          <w:rFonts w:eastAsia="SimSun" w:cs="Times New Roman"/>
          <w:szCs w:val="20"/>
          <w:lang w:eastAsia="default" w:bidi="default"/>
        </w:rPr>
        <w:footnoteReference w:id="339"/>
      </w:r>
      <w:r/>
    </w:p>
    <w:p>
      <w:pPr>
        <w:pStyle w:val="para9"/>
      </w:pPr>
      <w:r>
        <w:t>Im Archiv taucht ein umfangreiches Dokument aus dem Jahr 1696 auf. Hier hatten verschiedene Schiffbaumeister ihren Beitrag zur Verbesserung der Schiffe geleistet. Diese Untersuchung sollte in der Zukunft auf neu zu bauende Schiffe umgesetzt werden. Die Schiffbauer:</w:t>
      </w:r>
    </w:p>
    <w:p>
      <w:pPr>
        <w:pStyle w:val="para9"/>
      </w:pPr>
      <w:r>
        <w:t>Gerrit Claes Pool, Hendrick Penne, Cornelis Jillis duymmlyck, Jacob van duymen Marten, Edam van Hoorn. Die eigentliche Ausarbeitung wird weiter unten näher erläutert.</w:t>
      </w:r>
    </w:p>
    <w:p>
      <w:pPr>
        <w:pStyle w:val="para9"/>
      </w:pPr>
      <w:r/>
    </w:p>
    <w:p>
      <w:pPr>
        <w:pStyle w:val="para2"/>
      </w:pPr>
      <w:bookmarkStart w:id="339" w:name="_TOC000271"/>
      <w:r>
        <w:t>Die Jahre 1726 bis 1728</w:t>
      </w:r>
      <w:bookmarkEnd w:id="339"/>
      <w:r>
        <w:t>; OIC</w:t>
      </w:r>
    </w:p>
    <w:p>
      <w:pPr>
        <w:pStyle w:val="para9"/>
      </w:pPr>
      <w:r>
        <w:t>Um 1726 bis 1728 taucht im Nationaal archief Den Haag eine Unterlage auf, die man im ersten Moment nicht richtig einordnen kann. Es wurde der Vorschlag unterbreitet, bestimmte Räume im Schiff zu verändern. Es ging dabei um die Schiffe 160, 145 und 130 Fuß Länge.</w:t>
      </w:r>
      <w:r>
        <w:rPr>
          <w:rStyle w:val="char1"/>
          <w:rFonts w:eastAsia="SimSun" w:cs="Times New Roman"/>
          <w:szCs w:val="20"/>
          <w:lang w:eastAsia="default" w:bidi="default"/>
        </w:rPr>
      </w:r>
      <w:r>
        <w:rPr>
          <w:rStyle w:val="char1"/>
          <w:rFonts w:eastAsia="SimSun" w:cs="Times New Roman"/>
          <w:szCs w:val="20"/>
          <w:lang w:eastAsia="default" w:bidi="default"/>
        </w:rPr>
        <w:footnoteReference w:id="341"/>
      </w:r>
      <w:r/>
    </w:p>
    <w:p>
      <w:pPr>
        <w:pStyle w:val="para9"/>
      </w:pPr>
      <w:r>
        <w:t>Es wurde angeregt, dass der Raum für das Trinkwasser des 160-Fuß-Schiffes von 44 auf 39 Fuß Länge reduziert werden sollte. Ebenso die Brotkammer von 31 auf 28 1/2 Fuß Länge. Man erhoffte sich so eine größere Ladekapazität. Der nutzbare Stauraum sollte von 85 auf 92 1/2 Fuß anwachsen.</w:t>
      </w:r>
    </w:p>
    <w:p>
      <w:pPr>
        <w:pStyle w:val="para9"/>
      </w:pPr>
      <w:r>
        <w:t>Beim 145-Fuß-Schiff sollte der Raum für das Trinkwasser von 39 1/2 auf 34 1/4 Fuß reduziert werden, die Brotkammer von 28 1/2 auf 26 Fuß. Der Raum für die Ladung konnte dann von 77 Fuß auf 84 1/2 Fuß ansteigen.</w:t>
      </w:r>
    </w:p>
    <w:p>
      <w:pPr>
        <w:pStyle w:val="para9"/>
      </w:pPr>
      <w:r>
        <w:t>Beim 130-Fuß-Schiff sollte der Raum für das Trinkwasser von 36 auf 31 Fuß, die Brotkammer von 26 auf 23 1/2 Fuß reduziert werden. Der Stauraum veränderte sich von 68 auf 75 1/2 Fuß.</w:t>
      </w:r>
    </w:p>
    <w:p>
      <w:pPr>
        <w:pStyle w:val="para2"/>
      </w:pPr>
      <w:bookmarkStart w:id="341" w:name="_TOC000272"/>
      <w:r>
        <w:t>Das Jahr 1737</w:t>
      </w:r>
      <w:bookmarkEnd w:id="341"/>
      <w:r>
        <w:t>; OIC</w:t>
      </w:r>
    </w:p>
    <w:p>
      <w:pPr>
        <w:pStyle w:val="para9"/>
      </w:pPr>
      <w:r>
        <w:t>Es taucht ein Konzept für ein Heckboot auf.</w:t>
      </w:r>
      <w:r>
        <w:rPr>
          <w:rStyle w:val="char1"/>
          <w:rFonts w:eastAsia="SimSun" w:cs="Times New Roman"/>
          <w:szCs w:val="20"/>
          <w:lang w:eastAsia="default" w:bidi="default"/>
        </w:rPr>
      </w:r>
      <w:r>
        <w:rPr>
          <w:rStyle w:val="char1"/>
          <w:rFonts w:eastAsia="SimSun" w:cs="Times New Roman"/>
          <w:szCs w:val="20"/>
          <w:lang w:eastAsia="default" w:bidi="default"/>
        </w:rPr>
        <w:footnoteReference w:id="343"/>
      </w:r>
      <w:r>
        <w:t xml:space="preserve">  Es ging vermutlich darum, die Linien des Schiffes zu verbessern. Das Schiff hatte eine Länge über Steven von 125 Fuß, eine Schiffsweite von 30 1/2 Fuß und eine Raumtiefe von 13 Fuß. Das darüber liegende Deck bekam eine Höhe von 6 Fuß. Diese Schiffe wurden vermutlich öfter gebaut, da in diesem Schreiben nur bestimmte Maße verändert wurden. Hier waren das die Spanten 2, 4 und 8.</w:t>
      </w:r>
    </w:p>
    <w:p>
      <w:pPr>
        <w:pStyle w:val="para2"/>
      </w:pPr>
      <w:bookmarkStart w:id="343" w:name="_TOC000273"/>
      <w:r>
        <w:t>Das Jahr 1741</w:t>
      </w:r>
      <w:bookmarkEnd w:id="343"/>
      <w:r>
        <w:t>; OIC</w:t>
      </w:r>
    </w:p>
    <w:p>
      <w:pPr>
        <w:pStyle w:val="para9"/>
      </w:pPr>
      <w:r>
        <w:t>Es ging um einen Rapport.</w:t>
      </w:r>
      <w:r>
        <w:rPr>
          <w:rStyle w:val="char1"/>
          <w:rFonts w:eastAsia="SimSun" w:cs="Times New Roman"/>
          <w:szCs w:val="20"/>
          <w:lang w:eastAsia="default" w:bidi="default"/>
        </w:rPr>
      </w:r>
      <w:r>
        <w:rPr>
          <w:rStyle w:val="char1"/>
          <w:rFonts w:eastAsia="SimSun" w:cs="Times New Roman"/>
          <w:szCs w:val="20"/>
          <w:lang w:eastAsia="default" w:bidi="default"/>
        </w:rPr>
        <w:footnoteReference w:id="345"/>
      </w:r>
      <w:r>
        <w:t xml:space="preserve"> Der Autor des Rapports bezog sich auf das Jahr 1697. Es ging um die in der Kritik geratenen Schiffe der Größe 145 und 130 Fuß. Es wurden die Masten und Segel angesprochen. Weiter bezog sich der Autor auf das Jahr 1714. Man hatte wohl im Jahr 1714 einige Mängel an den Schiffen festgestellt. Wenn das richtig gesehen wird, stimmten das Längen/Breitenverhältnis nicht. Ferner wurden die Schiffe im oberen Bereich zu stark belastet. Die Ursache war vermutlich bekannt, da in anderen Schreiben auch darauf hingewiesen wurde. Wieder wurden die Maße der Schiffe in einigen Bereichen korrigiert. Dies betraf dann die Schiffsgrößen 145, 130, 150 und 135 Fuß.</w:t>
      </w:r>
    </w:p>
    <w:p>
      <w:pPr>
        <w:pStyle w:val="para9"/>
      </w:pPr>
      <w:r>
        <w:t>Ferner wurde die Takelung überarbeitet. Im Verlauf des Schreibens kam der Autor dann noch auf ein Konzept Charter. Es ging um die Schiffsgröße von 125 Fuß Länge.</w:t>
      </w:r>
    </w:p>
    <w:p>
      <w:pPr>
        <w:pStyle w:val="para2"/>
      </w:pPr>
      <w:bookmarkStart w:id="345" w:name="_TOC000274"/>
      <w:r>
        <w:t>Das Jahr 1749</w:t>
      </w:r>
      <w:bookmarkEnd w:id="345"/>
      <w:r>
        <w:t>; OIC</w:t>
      </w:r>
    </w:p>
    <w:p>
      <w:pPr>
        <w:pStyle w:val="para11"/>
        <w:numPr>
          <w:ilvl w:val="0"/>
          <w:numId w:val="0"/>
        </w:numPr>
        <w:ind w:left="283"/>
      </w:pPr>
      <w:r>
        <w:t>Für das Jahr 1749 finden wir im Archiv eine etwas umfangreicher Unterlage. Sie beschäftigte sich überwiegend mit der Ausrüstung und Bewaffnung der gängigen Schiffsgrößen.</w:t>
      </w:r>
      <w:r>
        <w:rPr>
          <w:rStyle w:val="char1"/>
          <w:rFonts w:eastAsia="SimSun" w:cs="Times New Roman"/>
          <w:szCs w:val="20"/>
        </w:rPr>
      </w:r>
      <w:r>
        <w:rPr>
          <w:rStyle w:val="char1"/>
          <w:rFonts w:eastAsia="SimSun" w:cs="Times New Roman"/>
          <w:szCs w:val="20"/>
        </w:rPr>
        <w:footnoteReference w:id="347"/>
      </w:r>
      <w:r/>
    </w:p>
    <w:p>
      <w:pPr>
        <w:pStyle w:val="para2"/>
      </w:pPr>
      <w:r>
        <w:br w:type="page"/>
      </w:r>
      <w:bookmarkStart w:id="347" w:name="_TOC000239"/>
      <w:r/>
      <w:bookmarkStart w:id="348" w:name="_TOC000224"/>
      <w:r/>
      <w:bookmarkStart w:id="349" w:name="_TOC000190"/>
      <w:r/>
      <w:bookmarkStart w:id="350" w:name="_TOC000146"/>
      <w:r/>
      <w:bookmarkStart w:id="351" w:name="_TOC000105"/>
      <w:r>
        <w:t>Das vermessene 130-Fuß-Schiff von 1697</w:t>
      </w:r>
      <w:bookmarkEnd w:id="351"/>
      <w:r/>
      <w:bookmarkEnd w:id="350"/>
      <w:r/>
      <w:bookmarkEnd w:id="349"/>
      <w:r/>
      <w:bookmarkEnd w:id="348"/>
      <w:r/>
      <w:bookmarkEnd w:id="347"/>
      <w:r>
        <w:t>; OIC - Van Dam</w:t>
      </w:r>
    </w:p>
    <w:p>
      <w:pPr>
        <w:pStyle w:val="para4"/>
      </w:pPr>
      <w:r>
        <w:rPr>
          <w:noProof/>
        </w:rPr>
        <mc:AlternateContent>
          <mc:Choice Requires="wpg">
            <w:drawing>
              <wp:anchor distT="0" distB="179705" distL="0" distR="0" simplePos="0" relativeHeight="251658301" behindDoc="0" locked="0" layoutInCell="0" hidden="0" allowOverlap="1">
                <wp:simplePos x="0" y="0"/>
                <wp:positionH relativeFrom="margin">
                  <wp:align>left</wp:align>
                </wp:positionH>
                <wp:positionV relativeFrom="margin">
                  <wp:posOffset>1080135</wp:posOffset>
                </wp:positionV>
                <wp:extent cx="6120130" cy="2846070"/>
                <wp:effectExtent l="0" t="0" r="0" b="0"/>
                <wp:wrapSquare wrapText="bothSides"/>
                <wp:docPr id="61" name="Gruppe22"/>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jAgAAAKIAACAAAAAAAAAAAQAAAAEAAAAAAAAAAAAAAAEAAAClBgAApiUAAIIRAAA1AAAANwIAABMLAAAoAAAACAAAAAEAAAABAAAA"/>
                          </a:ext>
                        </a:extLst>
                      </wpg:cNvGrpSpPr>
                      <wpg:grpSpPr>
                        <a:xfrm>
                          <a:off x="0" y="0"/>
                          <a:ext cx="6120130" cy="2846070"/>
                          <a:chOff x="0" y="0"/>
                          <a:chExt cx="6120130" cy="2846070"/>
                        </a:xfrm>
                      </wpg:grpSpPr>
                      <wps:wsp>
                        <wps:cNvPr id="62" name="Textbox44"/>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Q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ORAAAAAAAAA3AgAAEwsAACgAAAAIAAAAAQAAAAIAAAAwAAAAFAAAAAAAAAAAAP//AAABAAAA//8AAAEA"/>
                            </a:ext>
                          </a:extLst>
                        </wps:cNvSpPr>
                        <wps:spPr>
                          <a:xfrm>
                            <a:off x="0" y="0"/>
                            <a:ext cx="6120130" cy="2637155"/>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color w:val="ff0000"/>
                                  <w:sz w:val="24"/>
                                  <w:szCs w:val="24"/>
                                </w:rPr>
                              </w:pPr>
                              <w:r>
                                <w:rPr>
                                  <w:b/>
                                  <w:bCs/>
                                  <w:color w:val="ff0000"/>
                                  <w:sz w:val="24"/>
                                  <w:szCs w:val="24"/>
                                </w:rPr>
                                <w:t>Tabelle muss noch erstellt werden.</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w:t>
                              </w:r>
                            </w:p>
                            <w:p>
                              <w:pPr>
                                <w:spacing/>
                                <w:jc w:val="center"/>
                                <w:rPr>
                                  <w:b/>
                                  <w:bCs/>
                                  <w:sz w:val="24"/>
                                  <w:szCs w:val="24"/>
                                </w:rPr>
                              </w:pPr>
                              <w:r>
                                <w:rPr>
                                  <w:b/>
                                  <w:bCs/>
                                  <w:sz w:val="24"/>
                                  <w:szCs w:val="24"/>
                                </w:rPr>
                                <w:t>130-Fuß-Tabelle.Pmdx</w:t>
                              </w:r>
                            </w:p>
                          </w:txbxContent>
                        </wps:txbx>
                        <wps:bodyPr spcFirstLastPara="1" vertOverflow="clip" horzOverflow="clip" upright="1">
                          <a:prstTxWarp prst="textNoShape">
                            <a:avLst/>
                          </a:prstTxWarp>
                          <a:spAutoFit/>
                        </wps:bodyPr>
                      </wps:wsp>
                      <wps:wsp>
                        <wps:cNvPr id="63" name="Textbox45"/>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SQEAAAAAAAA3AgAATBsAACgAAAAIAAAAAQAAAAIAAAAwAAAAFAAAAAAAAAAAAP//AAABAAAA//8AAAEA"/>
                            </a:ext>
                          </a:extLst>
                        </wps:cNvSpPr>
                        <wps:spPr>
                          <a:xfrm>
                            <a:off x="0" y="2637155"/>
                            <a:ext cx="6120130" cy="208915"/>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6</w:t>
                                <w:fldChar w:fldCharType="end"/>
                              </w:r>
                              <w:r>
                                <w:t>: OIC-Pinasse von 130 Fuß Länge.</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85.05pt;mso-position-horizontal-relative:margin;mso-position-vertical-relative:margin;width:481.90pt;height:224.10pt;z-index:251658301;mso-wrap-distance-left:0.00pt;mso-wrap-distance-right:0.00pt;mso-wrap-distance-bottom:14.15pt" coordorigin="567,2835" coordsize="9638,4482">
                <v:shape id="Textbox44" o:spid="_x0000_s1072" type="#_x0000_t202" style="position:absolute;left:567;top:2835;width:9638;height:4153"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QQ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color w:val="ff0000"/>
                            <w:sz w:val="24"/>
                            <w:szCs w:val="24"/>
                          </w:rPr>
                        </w:pPr>
                        <w:r>
                          <w:rPr>
                            <w:b/>
                            <w:bCs/>
                            <w:color w:val="ff0000"/>
                            <w:sz w:val="24"/>
                            <w:szCs w:val="24"/>
                          </w:rPr>
                          <w:t>Tabelle muss noch erstellt werden.</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w:t>
                        </w:r>
                      </w:p>
                      <w:p>
                        <w:pPr>
                          <w:spacing/>
                          <w:jc w:val="center"/>
                          <w:rPr>
                            <w:b/>
                            <w:bCs/>
                            <w:sz w:val="24"/>
                            <w:szCs w:val="24"/>
                          </w:rPr>
                        </w:pPr>
                        <w:r>
                          <w:rPr>
                            <w:b/>
                            <w:bCs/>
                            <w:sz w:val="24"/>
                            <w:szCs w:val="24"/>
                          </w:rPr>
                          <w:t>130-Fuß-Tabelle.Pmdx</w:t>
                        </w:r>
                      </w:p>
                    </w:txbxContent>
                  </v:textbox>
                </v:shape>
                <v:shape id="Textbox45" o:spid="_x0000_s1073" type="#_x0000_t202" style="position:absolute;left:567;top:6988;width:9638;height:329"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6</w:t>
                          <w:fldChar w:fldCharType="end"/>
                        </w:r>
                        <w:r>
                          <w:t>: OIC-Pinasse von 130 Fuß Länge.</w:t>
                        </w:r>
                      </w:p>
                    </w:txbxContent>
                  </v:textbox>
                </v:shape>
                <w10:wrap type="square" anchorx="margin" anchory="margin"/>
              </v:group>
            </w:pict>
          </mc:Fallback>
        </mc:AlternateContent>
      </w:r>
      <w:r>
        <w:t>Die Hauptabmessungen:</w:t>
        <w:br w:type="textWrapping"/>
        <w:t>L= 130 Fuß; W=33 Fuß 6 1/2 Daumen; R=14 Fuß 4 1/2 Daumen.</w:t>
      </w:r>
    </w:p>
    <w:p>
      <w:pPr>
        <w:pStyle w:val="para4"/>
        <w:spacing w:after="20"/>
        <w:rPr>
          <w:rFonts w:ascii="Comic Sans MS" w:hAnsi="Comic Sans MS" w:eastAsia="Comic Sans MS" w:cs="Comic Sans MS"/>
        </w:rPr>
      </w:pPr>
      <w:r>
        <w:rPr>
          <w:rFonts w:ascii="Comic Sans MS" w:hAnsi="Comic Sans MS" w:eastAsia="Comic Sans MS" w:cs="Comic Sans MS"/>
        </w:rPr>
      </w:r>
    </w:p>
    <w:p>
      <w:pPr>
        <w:pStyle w:val="para4"/>
      </w:pPr>
      <w:r>
        <w:br w:type="textWrapping"/>
        <w:t>Die Höhe des Scheergangs über der Oberkante des Kiels:</w:t>
        <w:br w:type="textWrapping"/>
        <w:t>An der Innenkante des Achterstevens</w:t>
        <w:tab/>
        <w:tab/>
        <w:tab/>
        <w:tab/>
        <w:t>21 Fuß</w:t>
        <w:tab/>
        <w:tab/>
        <w:t>0 5/8 Daumen.</w:t>
        <w:br w:type="textWrapping"/>
        <w:t>An der Innenkante des Vorstevens</w:t>
        <w:tab/>
        <w:tab/>
        <w:tab/>
        <w:tab/>
        <w:t>16 Fuß</w:t>
        <w:tab/>
        <w:tab/>
        <w:t>6 7/8 Daumen.</w:t>
        <w:br w:type="textWrapping"/>
        <w:br w:type="textWrapping"/>
        <w:t>Die Sente der Kuhbrücke</w:t>
        <w:br w:type="textWrapping"/>
        <w:t>An den Heckstützen über dem Achtersteven</w:t>
        <w:tab/>
        <w:tab/>
        <w:tab/>
        <w:t>4 Fuß</w:t>
        <w:tab/>
        <w:tab/>
        <w:t>2 Daumen.</w:t>
        <w:br w:type="textWrapping"/>
        <w:t>Die Sente der Kuhbrücke weit</w:t>
        <w:tab/>
        <w:tab/>
        <w:tab/>
        <w:tab/>
        <w:tab/>
        <w:t>16 Fuß</w:t>
        <w:tab/>
        <w:tab/>
        <w:t>0 1/2 Daumen.</w:t>
      </w:r>
      <w:r>
        <w:rPr>
          <w:rStyle w:val="char1"/>
          <w:rFonts w:eastAsia="Comic Sans MS" w:cs="Comic Sans MS"/>
        </w:rPr>
      </w:r>
      <w:r>
        <w:rPr>
          <w:rStyle w:val="char1"/>
          <w:rFonts w:eastAsia="Comic Sans MS" w:cs="Comic Sans MS"/>
        </w:rPr>
        <w:footnoteReference w:id="353"/>
      </w:r>
      <w:r>
        <w:br w:type="textWrapping"/>
        <w:br w:type="textWrapping"/>
        <w:t>Die Sente am Rahholz</w:t>
        <w:br w:type="textWrapping"/>
        <w:t>Höhe über dem Achtersteven</w:t>
        <w:tab/>
        <w:tab/>
        <w:tab/>
        <w:tab/>
        <w:tab/>
        <w:t>9 Fuß</w:t>
        <w:tab/>
        <w:tab/>
        <w:t>6 1/2 Daumen.</w:t>
        <w:br w:type="textWrapping"/>
        <w:t>Die Sente am Rahholz weit</w:t>
        <w:tab/>
        <w:tab/>
        <w:tab/>
        <w:tab/>
        <w:tab/>
        <w:t>20 Fuß</w:t>
        <w:tab/>
        <w:tab/>
        <w:t>5 1/2 Daumen.</w:t>
        <w:br w:type="textWrapping"/>
        <w:br w:type="textWrapping"/>
        <w:t>Die obere Sente (Reling)</w:t>
        <w:br w:type="textWrapping"/>
        <w:t>Höhe an der Innenkante des Vorstevens</w:t>
        <w:br w:type="textWrapping"/>
        <w:t>über der Oberkante des Kiels</w:t>
        <w:tab/>
        <w:tab/>
        <w:tab/>
        <w:tab/>
        <w:tab/>
        <w:t>23 Fuß</w:t>
        <w:tab/>
        <w:tab/>
        <w:t>10 1/2 Daumen.</w:t>
        <w:br w:type="textWrapping"/>
        <w:t>Die Sente des Rahholz hoch</w:t>
        <w:tab/>
        <w:tab/>
        <w:tab/>
        <w:tab/>
        <w:tab/>
        <w:t>28 Fuß</w:t>
        <w:tab/>
        <w:tab/>
        <w:t>3 7/8 Daumen.</w:t>
      </w:r>
    </w:p>
    <w:p>
      <w:pPr>
        <w:pStyle w:val="para4"/>
      </w:pPr>
      <w:r>
        <w:br w:type="textWrapping"/>
        <w:t>Länge des Kiels</w:t>
        <w:tab/>
        <w:tab/>
        <w:tab/>
        <w:tab/>
        <w:tab/>
        <w:tab/>
        <w:tab/>
        <w:t>114 Fuß</w:t>
        <w:tab/>
        <w:tab/>
        <w:t>6 Daumen.</w:t>
        <w:br w:type="textWrapping"/>
        <w:t>Querschnitt</w:t>
        <w:tab/>
        <w:tab/>
        <w:tab/>
        <w:tab/>
        <w:tab/>
        <w:tab/>
        <w:tab/>
        <w:t>21 1/4 x 16 Daumen.</w:t>
        <w:br w:type="textWrapping"/>
        <w:t>Die breiteste Stelle von Vorderkante Kiel</w:t>
        <w:tab/>
        <w:tab/>
        <w:tab/>
        <w:t>52 Fuß</w:t>
        <w:tab/>
        <w:tab/>
        <w:t>0 Daumen.</w:t>
        <w:br w:type="textWrapping"/>
        <w:br w:type="textWrapping"/>
        <w:t>Der Vorsteven, Höhe an der Innenkante gemessen</w:t>
        <w:tab/>
        <w:tab/>
        <w:t>28 Fuß</w:t>
        <w:tab/>
        <w:tab/>
        <w:t>9 Daumen.</w:t>
        <w:br w:type="textWrapping"/>
        <w:t>Er fällt nach vorne</w:t>
        <w:tab/>
        <w:tab/>
        <w:tab/>
        <w:tab/>
        <w:tab/>
        <w:tab/>
        <w:t>13 Fuß</w:t>
        <w:tab/>
        <w:tab/>
        <w:t>0 Daumen.</w:t>
        <w:br w:type="textWrapping"/>
        <w:t>Er ist an der Innenseite dick</w:t>
        <w:tab/>
        <w:tab/>
        <w:tab/>
        <w:tab/>
        <w:tab/>
        <w:t>0 Fuß</w:t>
        <w:tab/>
        <w:tab/>
        <w:t>16 Daumen.</w:t>
        <w:br w:type="textWrapping"/>
        <w:t>Die Breite oben</w:t>
        <w:tab/>
        <w:tab/>
        <w:tab/>
        <w:tab/>
        <w:tab/>
        <w:tab/>
        <w:tab/>
        <w:t>3 Fuß</w:t>
        <w:tab/>
        <w:tab/>
        <w:t>7 1/2 Daumen.</w:t>
        <w:br w:type="textWrapping"/>
        <w:br w:type="textWrapping"/>
        <w:t>Die Höhe des Achterstevens</w:t>
        <w:tab/>
        <w:tab/>
        <w:tab/>
        <w:tab/>
        <w:tab/>
        <w:t>25 Fuß</w:t>
        <w:tab/>
        <w:tab/>
        <w:t>4 Daumen.</w:t>
        <w:br w:type="textWrapping"/>
        <w:t>Er ist oben breit</w:t>
        <w:tab/>
        <w:tab/>
        <w:tab/>
        <w:tab/>
        <w:tab/>
        <w:tab/>
        <w:t>2 Fuß</w:t>
        <w:tab/>
        <w:tab/>
        <w:t>0 3/4 Daumen.</w:t>
        <w:br w:type="textWrapping"/>
        <w:t>Der Fall nach hinten</w:t>
        <w:tab/>
        <w:tab/>
        <w:tab/>
        <w:tab/>
        <w:tab/>
        <w:tab/>
        <w:t>2 Fuß</w:t>
        <w:tab/>
        <w:tab/>
        <w:t>5 Daumen.</w:t>
        <w:br w:type="textWrapping"/>
        <w:br w:type="textWrapping"/>
        <w:t>Das Band als Unterlage für den Überlauf am Vorsteven hoch</w:t>
        <w:tab/>
        <w:t>16 Fuß</w:t>
        <w:tab/>
        <w:tab/>
        <w:t>6 7/8 Daumen</w:t>
        <w:br w:type="textWrapping"/>
        <w:t>Das Band (Wurp) für den Überlauf am Achtersteven,</w:t>
        <w:br w:type="textWrapping"/>
        <w:t>die Höhe über dem Kiel</w:t>
        <w:tab/>
        <w:tab/>
        <w:tab/>
        <w:tab/>
        <w:tab/>
        <w:tab/>
        <w:t>19 Fuß</w:t>
        <w:tab/>
        <w:tab/>
        <w:t>6 3/4 Daumen.</w:t>
      </w:r>
    </w:p>
    <w:p>
      <w:pPr>
        <w:pStyle w:val="para4"/>
      </w:pPr>
      <w:r>
        <w:br w:type="textWrapping"/>
        <w:t>Das Bovenet vorne hoch</w:t>
        <w:tab/>
        <w:tab/>
        <w:tab/>
        <w:tab/>
        <w:tab/>
        <w:t>6 Fuß</w:t>
        <w:tab/>
        <w:tab/>
        <w:t>2 Daumen.</w:t>
        <w:br w:type="textWrapping"/>
        <w:t>Das Bovenet in der Mitte hoch</w:t>
        <w:tab/>
        <w:tab/>
        <w:tab/>
        <w:tab/>
        <w:tab/>
        <w:t>6 Fuß</w:t>
        <w:tab/>
        <w:tab/>
        <w:t>6 Daumen.</w:t>
      </w:r>
      <w:r>
        <w:rPr>
          <w:rStyle w:val="char1"/>
          <w:rFonts w:eastAsia="Comic Sans MS" w:cs="Comic Sans MS"/>
        </w:rPr>
      </w:r>
      <w:r>
        <w:rPr>
          <w:rStyle w:val="char1"/>
          <w:rFonts w:eastAsia="Comic Sans MS" w:cs="Comic Sans MS"/>
        </w:rPr>
        <w:footnoteReference w:id="354"/>
      </w:r>
      <w:r/>
    </w:p>
    <w:p>
      <w:pPr>
        <w:pStyle w:val="para4"/>
      </w:pPr>
      <w:r>
        <w:t>Das Bovenet hinten hoch über dem Achtersteven</w:t>
        <w:tab/>
        <w:tab/>
        <w:t>2 Fuß</w:t>
        <w:tab/>
        <w:tab/>
        <w:t>1 1/2 Daumen.</w:t>
      </w:r>
    </w:p>
    <w:p>
      <w:pPr>
        <w:pStyle w:val="para4"/>
      </w:pPr>
      <w:r>
        <w:br w:type="textWrapping"/>
        <w:t>Der Heckbalken lang</w:t>
        <w:tab/>
        <w:tab/>
        <w:tab/>
        <w:tab/>
        <w:tab/>
        <w:tab/>
        <w:t>15 Fuß</w:t>
        <w:tab/>
        <w:tab/>
        <w:t>2 1/8 Daumen.</w:t>
        <w:br w:type="textWrapping"/>
        <w:t>Dick in der Mitte</w:t>
        <w:tab/>
        <w:tab/>
        <w:tab/>
        <w:tab/>
        <w:tab/>
        <w:tab/>
        <w:t>0 Fuß</w:t>
        <w:tab/>
        <w:tab/>
        <w:t>17 Daumen.</w:t>
        <w:br w:type="textWrapping"/>
        <w:t>Dick an den Enden</w:t>
        <w:tab/>
        <w:tab/>
        <w:tab/>
        <w:tab/>
        <w:tab/>
        <w:tab/>
        <w:t>0 Fuß</w:t>
        <w:tab/>
        <w:tab/>
        <w:t>15 Daumen.</w:t>
      </w:r>
    </w:p>
    <w:p>
      <w:pPr>
        <w:pStyle w:val="para4"/>
      </w:pPr>
      <w:r>
        <w:t>Die Randsomhölzer enden über dem Kiel</w:t>
        <w:tab/>
        <w:tab/>
        <w:tab/>
        <w:t>12 Fuß</w:t>
        <w:tab/>
        <w:tab/>
        <w:t>6 Daumen.</w:t>
      </w:r>
    </w:p>
    <w:p>
      <w:pPr>
        <w:pStyle w:val="para4"/>
      </w:pPr>
      <w:r>
        <w:t>Die Heckstützen hoch über dem Achtersteven</w:t>
        <w:tab/>
        <w:tab/>
        <w:t>16 Fuß</w:t>
        <w:tab/>
        <w:tab/>
        <w:t>9 Daumen.</w:t>
        <w:br w:type="textWrapping"/>
        <w:t>Oben weit</w:t>
        <w:tab/>
        <w:tab/>
        <w:tab/>
        <w:tab/>
        <w:tab/>
        <w:tab/>
        <w:tab/>
        <w:t>17 Fuß</w:t>
        <w:tab/>
        <w:tab/>
        <w:t>9 3/4 Daumen.</w:t>
        <w:br w:type="textWrapping"/>
        <w:br w:type="textWrapping"/>
        <w:t>Das Voorscheen in der Kuhl hoch</w:t>
        <w:tab/>
        <w:tab/>
        <w:tab/>
        <w:tab/>
        <w:t>4 Fuß</w:t>
        <w:tab/>
        <w:tab/>
        <w:t xml:space="preserve">1 </w:t>
        <w:tab/>
        <w:t>(2) Daumen.</w:t>
      </w:r>
    </w:p>
    <w:p>
      <w:pPr>
        <w:pStyle w:val="para4"/>
      </w:pPr>
      <w:r>
        <w:t>Das Rahholz Höhe über dem Kiel in der Kuhl</w:t>
        <w:tab/>
        <w:tab/>
        <w:tab/>
        <w:t>25 Fuß</w:t>
        <w:tab/>
        <w:tab/>
        <w:t>9 1/2 Daumen.</w:t>
        <w:br w:type="textWrapping"/>
        <w:t>Das Rahholz weit in der Kuhl</w:t>
        <w:tab/>
        <w:tab/>
        <w:tab/>
        <w:tab/>
        <w:tab/>
        <w:t>25 Fuß</w:t>
        <w:tab/>
        <w:tab/>
        <w:t>2 1/8 (5) Daumen.</w:t>
        <w:br w:type="textWrapping"/>
        <w:br w:type="textWrapping"/>
        <w:t>Das Halbdeck vorne hoch</w:t>
        <w:tab/>
        <w:tab/>
        <w:tab/>
        <w:tab/>
        <w:tab/>
        <w:t>6 Fuß</w:t>
        <w:tab/>
        <w:tab/>
        <w:t>4 (5) Daumen.</w:t>
        <w:br w:type="textWrapping"/>
        <w:t>Hinten hoch</w:t>
        <w:tab/>
        <w:tab/>
        <w:tab/>
        <w:tab/>
        <w:tab/>
        <w:tab/>
        <w:tab/>
        <w:t>7 Fuß</w:t>
        <w:tab/>
        <w:tab/>
        <w:t>1 Daumen.</w:t>
      </w:r>
    </w:p>
    <w:p>
      <w:pPr>
        <w:pStyle w:val="para4"/>
      </w:pPr>
      <w:r>
        <w:rPr>
          <w:noProof/>
        </w:rPr>
        <mc:AlternateContent>
          <mc:Choice Requires="wpg">
            <w:drawing>
              <wp:anchor distT="144145" distB="179705" distL="0" distR="0" simplePos="0" relativeHeight="251658304" behindDoc="0" locked="0" layoutInCell="0" hidden="0" allowOverlap="1">
                <wp:simplePos x="0" y="0"/>
                <wp:positionH relativeFrom="margin">
                  <wp:align>left</wp:align>
                </wp:positionH>
                <wp:positionV relativeFrom="margin">
                  <wp:posOffset>4679950</wp:posOffset>
                </wp:positionV>
                <wp:extent cx="6120130" cy="2660650"/>
                <wp:effectExtent l="0" t="0" r="0" b="0"/>
                <wp:wrapSquare wrapText="bothSides"/>
                <wp:docPr id="64" name="Gruppe23"/>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tAgAAAKIAACAAAAAAAAAAAQAAAAEAAAAAAAAAAAAAAAEAAADKHAAApiUAAF4QAAA2AAAApQYAADghAAAoAAAACAAAAAEAAAABAAAA"/>
                          </a:ext>
                        </a:extLst>
                      </wpg:cNvGrpSpPr>
                      <wpg:grpSpPr>
                        <a:xfrm>
                          <a:off x="0" y="0"/>
                          <a:ext cx="6120130" cy="2660650"/>
                          <a:chOff x="0" y="0"/>
                          <a:chExt cx="6120130" cy="2660650"/>
                        </a:xfrm>
                      </wpg:grpSpPr>
                      <wps:wsp>
                        <wps:cNvPr id="65" name="Textbox46"/>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IP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Eg8AAAAAAAClBgAAOCEAACgAAAAIAAAAAQAAAAIAAAAwAAAAFAAAAAAAAAAAAP//AAABAAAA//8AAAEA"/>
                            </a:ext>
                          </a:extLst>
                        </wps:cNvSpPr>
                        <wps:spPr>
                          <a:xfrm>
                            <a:off x="0" y="0"/>
                            <a:ext cx="6120130" cy="244983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color w:val="ff0000"/>
                                  <w:sz w:val="24"/>
                                  <w:szCs w:val="24"/>
                                </w:rPr>
                              </w:pPr>
                              <w:r>
                                <w:rPr>
                                  <w:b/>
                                  <w:bCs/>
                                  <w:color w:val="ff0000"/>
                                  <w:sz w:val="24"/>
                                  <w:szCs w:val="24"/>
                                </w:rPr>
                                <w:t>Die Senten des 130er????????</w:t>
                              </w:r>
                            </w:p>
                            <w:p>
                              <w:pPr>
                                <w:spacing/>
                                <w:jc w:val="center"/>
                                <w:rPr>
                                  <w:b/>
                                  <w:bCs/>
                                  <w:sz w:val="24"/>
                                  <w:szCs w:val="24"/>
                                </w:rPr>
                              </w:pPr>
                              <w:r>
                                <w:rPr>
                                  <w:b/>
                                  <w:bCs/>
                                  <w:sz w:val="24"/>
                                  <w:szCs w:val="24"/>
                                </w:rPr>
                              </w:r>
                            </w:p>
                            <w:p>
                              <w:pPr>
                                <w:spacing/>
                                <w:jc w:val="center"/>
                                <w:rPr>
                                  <w:b/>
                                  <w:bCs/>
                                  <w:sz w:val="24"/>
                                  <w:szCs w:val="24"/>
                                </w:rPr>
                              </w:pPr>
                              <w:r>
                                <w:rPr>
                                  <w:b/>
                                  <w:bCs/>
                                  <w:sz w:val="24"/>
                                  <w:szCs w:val="24"/>
                                </w:rPr>
                                <w:t>Die Zeichnung muss noch um die Steven ergänzt werden.</w:t>
                              </w:r>
                            </w:p>
                            <w:p>
                              <w:pPr>
                                <w:spacing/>
                                <w:jc w:val="center"/>
                                <w:rPr>
                                  <w:b/>
                                  <w:bCs/>
                                  <w:sz w:val="24"/>
                                  <w:szCs w:val="24"/>
                                </w:rPr>
                              </w:pPr>
                              <w:r>
                                <w:rPr>
                                  <w:b/>
                                  <w:bCs/>
                                  <w:sz w:val="24"/>
                                  <w:szCs w:val="24"/>
                                </w:rPr>
                                <w:t>Ferner um 90° drehen und auf Seitengröße bringen.</w:t>
                              </w:r>
                            </w:p>
                          </w:txbxContent>
                        </wps:txbx>
                        <wps:bodyPr spcFirstLastPara="1" vertOverflow="clip" horzOverflow="clip" upright="1">
                          <a:prstTxWarp prst="textNoShape">
                            <a:avLst/>
                          </a:prstTxWarp>
                          <a:spAutoFit/>
                        </wps:bodyPr>
                      </wps:wsp>
                      <wps:wsp>
                        <wps:cNvPr id="66" name="Textbox47"/>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x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ClBgAASjAAACgAAAAIAAAAAQAAAAIAAAAwAAAAFAAAAAAAAAAAAP//AAABAAAA//8AAAEA"/>
                            </a:ext>
                          </a:extLst>
                        </wps:cNvSpPr>
                        <wps:spPr>
                          <a:xfrm>
                            <a:off x="0" y="2449830"/>
                            <a:ext cx="612013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19</w:t>
                                <w:fldChar w:fldCharType="end"/>
                              </w:r>
                              <w:r>
                                <w:t>: Die Senten des 130-Fuß-Schiffes.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368.50pt;mso-position-horizontal-relative:margin;mso-position-vertical-relative:margin;width:481.90pt;height:209.50pt;z-index:251658304;mso-wrap-distance-left:0.00pt;mso-wrap-distance-top:11.35pt;mso-wrap-distance-right:0.00pt;mso-wrap-distance-bottom:14.15pt" coordorigin="1701,8504" coordsize="9638,4190">
                <v:shape id="Textbox46" o:spid="_x0000_s1074" type="#_x0000_t202" style="position:absolute;left:1701;top:8504;width:9638;height:3858"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BIP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color w:val="ff0000"/>
                            <w:sz w:val="24"/>
                            <w:szCs w:val="24"/>
                          </w:rPr>
                        </w:pPr>
                        <w:r>
                          <w:rPr>
                            <w:b/>
                            <w:bCs/>
                            <w:color w:val="ff0000"/>
                            <w:sz w:val="24"/>
                            <w:szCs w:val="24"/>
                          </w:rPr>
                          <w:t>Die Senten des 130er????????</w:t>
                        </w:r>
                      </w:p>
                      <w:p>
                        <w:pPr>
                          <w:spacing/>
                          <w:jc w:val="center"/>
                          <w:rPr>
                            <w:b/>
                            <w:bCs/>
                            <w:sz w:val="24"/>
                            <w:szCs w:val="24"/>
                          </w:rPr>
                        </w:pPr>
                        <w:r>
                          <w:rPr>
                            <w:b/>
                            <w:bCs/>
                            <w:sz w:val="24"/>
                            <w:szCs w:val="24"/>
                          </w:rPr>
                        </w:r>
                      </w:p>
                      <w:p>
                        <w:pPr>
                          <w:spacing/>
                          <w:jc w:val="center"/>
                          <w:rPr>
                            <w:b/>
                            <w:bCs/>
                            <w:sz w:val="24"/>
                            <w:szCs w:val="24"/>
                          </w:rPr>
                        </w:pPr>
                        <w:r>
                          <w:rPr>
                            <w:b/>
                            <w:bCs/>
                            <w:sz w:val="24"/>
                            <w:szCs w:val="24"/>
                          </w:rPr>
                          <w:t>Die Zeichnung muss noch um die Steven ergänzt werden.</w:t>
                        </w:r>
                      </w:p>
                      <w:p>
                        <w:pPr>
                          <w:spacing/>
                          <w:jc w:val="center"/>
                          <w:rPr>
                            <w:b/>
                            <w:bCs/>
                            <w:sz w:val="24"/>
                            <w:szCs w:val="24"/>
                          </w:rPr>
                        </w:pPr>
                        <w:r>
                          <w:rPr>
                            <w:b/>
                            <w:bCs/>
                            <w:sz w:val="24"/>
                            <w:szCs w:val="24"/>
                          </w:rPr>
                          <w:t>Ferner um 90° drehen und auf Seitengröße bringen.</w:t>
                        </w:r>
                      </w:p>
                    </w:txbxContent>
                  </v:textbox>
                </v:shape>
                <v:shape id="Textbox47" o:spid="_x0000_s1075" type="#_x0000_t202" style="position:absolute;left:1701;top:12362;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x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19</w:t>
                          <w:fldChar w:fldCharType="end"/>
                        </w:r>
                        <w:r>
                          <w:t>: Die Senten des 130-Fuß-Schiffes.</w:t>
                        </w:r>
                      </w:p>
                    </w:txbxContent>
                  </v:textbox>
                </v:shape>
                <w10:wrap type="square" anchorx="margin" anchory="margin"/>
              </v:group>
            </w:pict>
          </mc:Fallback>
        </mc:AlternateContent>
      </w:r>
      <w:r>
        <w:br w:type="textWrapping"/>
        <w:t>Die Back vorne hoch</w:t>
        <w:tab/>
        <w:tab/>
        <w:tab/>
        <w:tab/>
        <w:tab/>
        <w:tab/>
        <w:t>5 Fuß</w:t>
        <w:tab/>
        <w:tab/>
        <w:t>10 Daumen.</w:t>
        <w:br w:type="textWrapping"/>
        <w:t>Hinten hoch</w:t>
        <w:tab/>
        <w:tab/>
        <w:tab/>
        <w:tab/>
        <w:tab/>
        <w:tab/>
        <w:tab/>
        <w:t>5 Fuß</w:t>
        <w:tab/>
        <w:tab/>
        <w:t>6 Daumen.</w:t>
        <w:br w:type="textWrapping"/>
        <w:br w:type="textWrapping"/>
        <w:t>Die Hütte vorne hoch</w:t>
        <w:tab/>
        <w:tab/>
        <w:tab/>
        <w:tab/>
        <w:tab/>
        <w:tab/>
        <w:t>5 Fuß</w:t>
        <w:tab/>
        <w:tab/>
        <w:t>5 Daumen.</w:t>
        <w:br w:type="textWrapping"/>
        <w:t>Hinten hoch</w:t>
        <w:tab/>
        <w:tab/>
        <w:tab/>
        <w:tab/>
        <w:tab/>
        <w:tab/>
        <w:tab/>
        <w:t>6 Fuß</w:t>
        <w:tab/>
        <w:tab/>
        <w:t>5 Daumen.</w:t>
      </w:r>
    </w:p>
    <w:p>
      <w:pPr>
        <w:pStyle w:val="para4"/>
      </w:pPr>
      <w:r/>
    </w:p>
    <w:p>
      <w:r>
        <w:br w:type="page"/>
      </w:r>
      <w:r>
        <w:rPr>
          <w:noProof/>
        </w:rPr>
        <mc:AlternateContent>
          <mc:Choice Requires="wpg">
            <w:drawing>
              <wp:anchor distT="89535" distB="252095" distL="89535" distR="89535" simplePos="0" relativeHeight="251658307" behindDoc="0" locked="0" layoutInCell="0" hidden="0" allowOverlap="1">
                <wp:simplePos x="0" y="0"/>
                <wp:positionH relativeFrom="margin">
                  <wp:align>left</wp:align>
                </wp:positionH>
                <wp:positionV relativeFrom="margin">
                  <wp:align>top</wp:align>
                </wp:positionV>
                <wp:extent cx="6120130" cy="8985885"/>
                <wp:effectExtent l="0" t="0" r="0" b="0"/>
                <wp:wrapSquare wrapText="bothSides"/>
                <wp:docPr id="67" name="Gruppe24"/>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vAgAAAKIAACAAAAAAAAAAAQAAAAEAAAAAAAAAAQAAAAEAAAAAAAAApiUAAEc3AAA3AAAANwIAAG4EAAAoAAAACAAAAAEAAAABAAAA"/>
                          </a:ext>
                        </a:extLst>
                      </wpg:cNvGrpSpPr>
                      <wpg:grpSpPr>
                        <a:xfrm>
                          <a:off x="0" y="0"/>
                          <a:ext cx="6120130" cy="8985885"/>
                          <a:chOff x="0" y="0"/>
                          <a:chExt cx="6120130" cy="8985885"/>
                        </a:xfrm>
                      </wpg:grpSpPr>
                      <wps:wsp>
                        <wps:cNvPr id="68" name="Textbox48"/>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k1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DUAAAAAAAA3AgAAbgQAACgAAAAIAAAAAQAAAAIAAAAwAAAAFAAAAAAAAAAAAP//AAABAAAA//8AAAEA"/>
                            </a:ext>
                          </a:extLst>
                        </wps:cNvSpPr>
                        <wps:spPr>
                          <a:xfrm>
                            <a:off x="0" y="0"/>
                            <a:ext cx="6120130" cy="877316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color w:val="ff0000"/>
                                  <w:sz w:val="24"/>
                                  <w:szCs w:val="24"/>
                                </w:rPr>
                              </w:pPr>
                              <w:r>
                                <w:rPr>
                                  <w:b/>
                                  <w:bCs/>
                                  <w:color w:val="ff0000"/>
                                  <w:sz w:val="24"/>
                                  <w:szCs w:val="24"/>
                                </w:rPr>
                                <w:t>Übersichtszeichnung des 130er</w:t>
                              </w:r>
                            </w:p>
                            <w:p>
                              <w:pPr>
                                <w:spacing/>
                                <w:jc w:val="center"/>
                                <w:rPr>
                                  <w:b/>
                                  <w:bCs/>
                                  <w:sz w:val="24"/>
                                  <w:szCs w:val="24"/>
                                </w:rPr>
                              </w:pPr>
                              <w:r>
                                <w:rPr>
                                  <w:b/>
                                  <w:bCs/>
                                  <w:sz w:val="24"/>
                                  <w:szCs w:val="24"/>
                                </w:rPr>
                              </w:r>
                            </w:p>
                            <w:p>
                              <w:pPr>
                                <w:spacing/>
                                <w:jc w:val="center"/>
                                <w:rPr>
                                  <w:b/>
                                  <w:bCs/>
                                  <w:sz w:val="24"/>
                                  <w:szCs w:val="24"/>
                                </w:rPr>
                              </w:pPr>
                              <w:r>
                                <w:rPr>
                                  <w:b/>
                                  <w:bCs/>
                                  <w:sz w:val="24"/>
                                  <w:szCs w:val="24"/>
                                </w:rPr>
                                <w:t>Zeichnung muss noch überarbeitet werden.</w:t>
                              </w:r>
                            </w:p>
                            <w:p>
                              <w:pPr>
                                <w:spacing/>
                                <w:jc w:val="center"/>
                                <w:rPr>
                                  <w:b/>
                                  <w:bCs/>
                                  <w:sz w:val="24"/>
                                  <w:szCs w:val="24"/>
                                </w:rPr>
                              </w:pPr>
                              <w:r>
                                <w:rPr>
                                  <w:b/>
                                  <w:bCs/>
                                  <w:sz w:val="24"/>
                                  <w:szCs w:val="24"/>
                                </w:rPr>
                                <w:t>Das Hüttendeck ist zu lang geraten.</w:t>
                              </w:r>
                            </w:p>
                            <w:p>
                              <w:pPr>
                                <w:spacing/>
                                <w:jc w:val="center"/>
                                <w:rPr>
                                  <w:b/>
                                  <w:bCs/>
                                  <w:sz w:val="24"/>
                                  <w:szCs w:val="24"/>
                                </w:rPr>
                              </w:pPr>
                              <w:r>
                                <w:rPr>
                                  <w:b/>
                                  <w:bCs/>
                                  <w:sz w:val="24"/>
                                  <w:szCs w:val="24"/>
                                </w:rPr>
                              </w:r>
                            </w:p>
                            <w:p>
                              <w:pPr>
                                <w:spacing/>
                                <w:jc w:val="center"/>
                                <w:rPr>
                                  <w:b/>
                                  <w:bCs/>
                                  <w:sz w:val="24"/>
                                  <w:szCs w:val="24"/>
                                </w:rPr>
                              </w:pPr>
                              <w:r>
                                <w:rPr>
                                  <w:b/>
                                  <w:bCs/>
                                  <w:sz w:val="24"/>
                                  <w:szCs w:val="24"/>
                                </w:rPr>
                                <w:t>Es muss auch eine 3D-Zeichnung geben!</w:t>
                              </w:r>
                            </w:p>
                          </w:txbxContent>
                        </wps:txbx>
                        <wps:bodyPr spcFirstLastPara="1" vertOverflow="clip" horzOverflow="clip" upright="1">
                          <a:prstTxWarp prst="textNoShape">
                            <a:avLst/>
                          </a:prstTxWarp>
                          <a:spAutoFit/>
                        </wps:bodyPr>
                      </wps:wsp>
                      <wps:wsp>
                        <wps:cNvPr id="69" name="Textbox49"/>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U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wEAAAAAAAA3AgAAZjoAACgAAAAIAAAAAQAAAAIAAAAwAAAAFAAAAAAAAAAAAP//AAABAAAA//8AAAEA"/>
                            </a:ext>
                          </a:extLst>
                        </wps:cNvSpPr>
                        <wps:spPr>
                          <a:xfrm>
                            <a:off x="0" y="8773160"/>
                            <a:ext cx="6120130" cy="212725"/>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20</w:t>
                                <w:fldChar w:fldCharType="end"/>
                              </w:r>
                              <w:r>
                                <w:t>: Übersichtszeichnung des 130-Fuß-Schiffes.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707.55pt;z-index:251658307;mso-wrap-distance-left:7.05pt;mso-wrap-distance-top:7.05pt;mso-wrap-distance-right:7.05pt;mso-wrap-distance-bottom:19.85pt" coordorigin="567,1134" coordsize="9638,14151">
                <v:shape id="Textbox48" o:spid="_x0000_s1076" type="#_x0000_t202" style="position:absolute;left:567;top:1134;width:9638;height:13816"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Gk1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color w:val="ff0000"/>
                            <w:sz w:val="24"/>
                            <w:szCs w:val="24"/>
                          </w:rPr>
                        </w:pPr>
                        <w:r>
                          <w:rPr>
                            <w:b/>
                            <w:bCs/>
                            <w:color w:val="ff0000"/>
                            <w:sz w:val="24"/>
                            <w:szCs w:val="24"/>
                          </w:rPr>
                          <w:t>Übersichtszeichnung des 130er</w:t>
                        </w:r>
                      </w:p>
                      <w:p>
                        <w:pPr>
                          <w:spacing/>
                          <w:jc w:val="center"/>
                          <w:rPr>
                            <w:b/>
                            <w:bCs/>
                            <w:sz w:val="24"/>
                            <w:szCs w:val="24"/>
                          </w:rPr>
                        </w:pPr>
                        <w:r>
                          <w:rPr>
                            <w:b/>
                            <w:bCs/>
                            <w:sz w:val="24"/>
                            <w:szCs w:val="24"/>
                          </w:rPr>
                        </w:r>
                      </w:p>
                      <w:p>
                        <w:pPr>
                          <w:spacing/>
                          <w:jc w:val="center"/>
                          <w:rPr>
                            <w:b/>
                            <w:bCs/>
                            <w:sz w:val="24"/>
                            <w:szCs w:val="24"/>
                          </w:rPr>
                        </w:pPr>
                        <w:r>
                          <w:rPr>
                            <w:b/>
                            <w:bCs/>
                            <w:sz w:val="24"/>
                            <w:szCs w:val="24"/>
                          </w:rPr>
                          <w:t>Zeichnung muss noch überarbeitet werden.</w:t>
                        </w:r>
                      </w:p>
                      <w:p>
                        <w:pPr>
                          <w:spacing/>
                          <w:jc w:val="center"/>
                          <w:rPr>
                            <w:b/>
                            <w:bCs/>
                            <w:sz w:val="24"/>
                            <w:szCs w:val="24"/>
                          </w:rPr>
                        </w:pPr>
                        <w:r>
                          <w:rPr>
                            <w:b/>
                            <w:bCs/>
                            <w:sz w:val="24"/>
                            <w:szCs w:val="24"/>
                          </w:rPr>
                          <w:t>Das Hüttendeck ist zu lang geraten.</w:t>
                        </w:r>
                      </w:p>
                      <w:p>
                        <w:pPr>
                          <w:spacing/>
                          <w:jc w:val="center"/>
                          <w:rPr>
                            <w:b/>
                            <w:bCs/>
                            <w:sz w:val="24"/>
                            <w:szCs w:val="24"/>
                          </w:rPr>
                        </w:pPr>
                        <w:r>
                          <w:rPr>
                            <w:b/>
                            <w:bCs/>
                            <w:sz w:val="24"/>
                            <w:szCs w:val="24"/>
                          </w:rPr>
                        </w:r>
                      </w:p>
                      <w:p>
                        <w:pPr>
                          <w:spacing/>
                          <w:jc w:val="center"/>
                          <w:rPr>
                            <w:b/>
                            <w:bCs/>
                            <w:sz w:val="24"/>
                            <w:szCs w:val="24"/>
                          </w:rPr>
                        </w:pPr>
                        <w:r>
                          <w:rPr>
                            <w:b/>
                            <w:bCs/>
                            <w:sz w:val="24"/>
                            <w:szCs w:val="24"/>
                          </w:rPr>
                          <w:t>Es muss auch eine 3D-Zeichnung geben!</w:t>
                        </w:r>
                      </w:p>
                    </w:txbxContent>
                  </v:textbox>
                </v:shape>
                <v:shape id="Textbox49" o:spid="_x0000_s1077" type="#_x0000_t202" style="position:absolute;left:567;top:14950;width:9638;height:335"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U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20</w:t>
                          <w:fldChar w:fldCharType="end"/>
                        </w:r>
                        <w:r>
                          <w:t>: Übersichtszeichnung des 130-Fuß-Schiffes.</w:t>
                        </w:r>
                      </w:p>
                    </w:txbxContent>
                  </v:textbox>
                </v:shape>
                <w10:wrap type="square" anchorx="margin" anchory="margin"/>
              </v:group>
            </w:pict>
          </mc:Fallback>
        </mc:AlternateContent>
      </w:r>
      <w:bookmarkStart w:id="354" w:name="_TOC000240"/>
      <w:r/>
      <w:bookmarkStart w:id="355" w:name="_TOC000225"/>
      <w:r/>
      <w:bookmarkStart w:id="356" w:name="_TOC000191"/>
      <w:r/>
      <w:bookmarkStart w:id="357" w:name="_TOC000147"/>
      <w:r/>
      <w:bookmarkStart w:id="358" w:name="_TOC000106"/>
      <w:r/>
    </w:p>
    <w:p>
      <w:pPr>
        <w:pStyle w:val="para2"/>
      </w:pPr>
      <w:r>
        <w:br w:type="page"/>
      </w:r>
      <w:bookmarkStart w:id="359" w:name="_TOC000263"/>
      <w:r>
        <w:t>Das vermessene 145-Fuß-Schiff</w:t>
      </w:r>
      <w:bookmarkEnd w:id="358"/>
      <w:r/>
      <w:bookmarkEnd w:id="357"/>
      <w:r/>
      <w:bookmarkEnd w:id="356"/>
      <w:r/>
      <w:bookmarkEnd w:id="355"/>
      <w:r/>
      <w:bookmarkEnd w:id="354"/>
      <w:r/>
      <w:bookmarkEnd w:id="359"/>
      <w:r>
        <w:t>; OIC - Van Dam</w:t>
      </w:r>
    </w:p>
    <w:p>
      <w:pPr>
        <w:pStyle w:val="para4"/>
      </w:pPr>
      <w:r>
        <w:rPr>
          <w:noProof/>
        </w:rPr>
        <mc:AlternateContent>
          <mc:Choice Requires="wpg">
            <w:drawing>
              <wp:anchor distT="144145" distB="179705" distL="89535" distR="89535" simplePos="0" relativeHeight="251658310" behindDoc="0" locked="0" layoutInCell="0" hidden="0" allowOverlap="1">
                <wp:simplePos x="0" y="0"/>
                <wp:positionH relativeFrom="margin">
                  <wp:align>left</wp:align>
                </wp:positionH>
                <wp:positionV relativeFrom="margin">
                  <wp:posOffset>720090</wp:posOffset>
                </wp:positionV>
                <wp:extent cx="6120130" cy="1941830"/>
                <wp:effectExtent l="0" t="0" r="0" b="0"/>
                <wp:wrapSquare wrapText="bothSides"/>
                <wp:docPr id="70" name="Gruppe25"/>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xAgAAAKIAACAAAAAAAAAAAQAAAAEAAAAAAAAAAAAAAAEAAABuBAAApiUAAPILAAA4AAAApQYAANwIAAAoAAAACAAAAAEAAAABAAAA"/>
                          </a:ext>
                        </a:extLst>
                      </wpg:cNvGrpSpPr>
                      <wpg:grpSpPr>
                        <a:xfrm>
                          <a:off x="0" y="0"/>
                          <a:ext cx="6120130" cy="1941830"/>
                          <a:chOff x="0" y="0"/>
                          <a:chExt cx="6120130" cy="1941830"/>
                        </a:xfrm>
                      </wpg:grpSpPr>
                      <wps:wsp>
                        <wps:cNvPr id="71" name="Textbox 70"/>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pgoAAAAAAAClBgAA3AgAACgAAAAIAAAAAQAAAAIAAAAwAAAAFAAAAAAAAAAAAP//AAABAAAA//8AAAEA"/>
                            </a:ext>
                          </a:extLst>
                        </wps:cNvSpPr>
                        <wps:spPr>
                          <a:xfrm>
                            <a:off x="0" y="0"/>
                            <a:ext cx="6120130" cy="173101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wps:txbx>
                        <wps:bodyPr spcFirstLastPara="1" vertOverflow="clip" horzOverflow="clip" upright="1">
                          <a:prstTxWarp prst="textNoShape">
                            <a:avLst/>
                          </a:prstTxWarp>
                          <a:spAutoFit/>
                        </wps:bodyPr>
                      </wps:wsp>
                      <wps:wsp>
                        <wps:cNvPr id="72" name="Textbox 71"/>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ClBgAAghMAACgAAAAIAAAAAQAAAAIAAAAwAAAAFAAAAAAAAAAAAP//AAABAAAA//8AAAEA"/>
                            </a:ext>
                          </a:extLst>
                        </wps:cNvSpPr>
                        <wps:spPr>
                          <a:xfrm>
                            <a:off x="0" y="1731010"/>
                            <a:ext cx="612013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21</w:t>
                                <w:fldChar w:fldCharType="end"/>
                              </w:r>
                              <w:r>
                                <w:t>: Übersichtszeichnung des 145-Fuß-Schiffes.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56.70pt;mso-position-horizontal-relative:margin;mso-position-vertical-relative:margin;width:481.90pt;height:152.90pt;z-index:251658310;mso-wrap-distance-left:7.05pt;mso-wrap-distance-top:11.35pt;mso-wrap-distance-right:7.05pt;mso-wrap-distance-bottom:14.15pt" coordorigin="1701,2268" coordsize="9638,3058">
                <v:shape id="Textbox 70" o:spid="_x0000_s1078" type="#_x0000_t202" style="position:absolute;left:1701;top:2268;width:9638;height:2726"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v:textbox>
                </v:shape>
                <v:shape id="Textbox 71" o:spid="_x0000_s1079" type="#_x0000_t202" style="position:absolute;left:1701;top:4994;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21</w:t>
                          <w:fldChar w:fldCharType="end"/>
                        </w:r>
                        <w:r>
                          <w:t>: Übersichtszeichnung des 145-Fuß-Schiffes.</w:t>
                        </w:r>
                      </w:p>
                    </w:txbxContent>
                  </v:textbox>
                </v:shape>
                <w10:wrap type="square" anchorx="margin" anchory="margin"/>
              </v:group>
            </w:pict>
          </mc:Fallback>
        </mc:AlternateContent>
      </w:r>
      <w:r>
        <w:t>Die Hauptabmessungen:</w:t>
        <w:br w:type="textWrapping"/>
        <w:t>L=145 Fuß; W=36 Fuß 8 3/4 Daumen; R=15 Fuß 7 3/4 Daumen.</w:t>
      </w:r>
    </w:p>
    <w:p>
      <w:pPr>
        <w:pStyle w:val="para4"/>
      </w:pPr>
      <w:r/>
    </w:p>
    <w:p>
      <w:pPr>
        <w:pStyle w:val="para2"/>
      </w:pPr>
      <w:bookmarkStart w:id="360" w:name="_TOC000241"/>
      <w:r/>
      <w:bookmarkStart w:id="361" w:name="_TOC000226"/>
      <w:r/>
      <w:bookmarkStart w:id="362" w:name="_TOC000192"/>
      <w:r/>
      <w:bookmarkStart w:id="363" w:name="_TOC000148"/>
      <w:r/>
      <w:bookmarkStart w:id="364" w:name="_TOC000107"/>
      <w:r>
        <w:t>Das vermessene 160-Fuß-Schiff</w:t>
      </w:r>
      <w:bookmarkEnd w:id="364"/>
      <w:r/>
      <w:bookmarkEnd w:id="363"/>
      <w:r/>
      <w:bookmarkEnd w:id="362"/>
      <w:r/>
      <w:bookmarkEnd w:id="361"/>
      <w:r/>
      <w:bookmarkEnd w:id="360"/>
      <w:r>
        <w:t>; OIC - Van Dam</w:t>
      </w:r>
    </w:p>
    <w:p>
      <w:pPr>
        <w:pStyle w:val="para4"/>
      </w:pPr>
      <w:r>
        <w:rPr>
          <w:noProof/>
        </w:rPr>
        <mc:AlternateContent>
          <mc:Choice Requires="wpg">
            <w:drawing>
              <wp:anchor distT="144145" distB="179705" distL="89535" distR="89535" simplePos="0" relativeHeight="251658313" behindDoc="0" locked="0" layoutInCell="0" hidden="0" allowOverlap="1">
                <wp:simplePos x="0" y="0"/>
                <wp:positionH relativeFrom="margin">
                  <wp:align>left</wp:align>
                </wp:positionH>
                <wp:positionV relativeFrom="margin">
                  <wp:posOffset>4157980</wp:posOffset>
                </wp:positionV>
                <wp:extent cx="6120130" cy="1941830"/>
                <wp:effectExtent l="0" t="0" r="0" b="0"/>
                <wp:wrapSquare wrapText="bothSides"/>
                <wp:docPr id="73" name="Gruppe26"/>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E0BAAAAkAAAAEgAAACQAAAASAAAAAAAAAAAAAAAAAAAABcAAAAUAAAAAAAAAAAAAAD/fwAA/38AAAACAAAJAAAABAAAAAAAAAAhAAAAQAAAADwAAAA0AgAAAKIAACAAAAAAAAAAAQAAAAEAAAAAAAAAAAAAAAEAAACUGQAApiUAAPILAAA4AAAApQYAAAIeAAAoAAAACAAAAAEAAAABAAAA"/>
                          </a:ext>
                        </a:extLst>
                      </wpg:cNvGrpSpPr>
                      <wpg:grpSpPr>
                        <a:xfrm>
                          <a:off x="0" y="0"/>
                          <a:ext cx="6120130" cy="1941830"/>
                          <a:chOff x="0" y="0"/>
                          <a:chExt cx="6120130" cy="1941830"/>
                        </a:xfrm>
                      </wpg:grpSpPr>
                      <wps:wsp>
                        <wps:cNvPr id="74" name="Textbox 68"/>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pgoAAAAAAAClBgAAAh4AACgAAAAIAAAAAQAAAAIAAAAwAAAAFAAAAAAAAAAAAP//AAABAAAA//8AAAEA"/>
                            </a:ext>
                          </a:extLst>
                        </wps:cNvSpPr>
                        <wps:spPr>
                          <a:xfrm>
                            <a:off x="0" y="0"/>
                            <a:ext cx="6120130" cy="173101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wps:txbx>
                        <wps:bodyPr spcFirstLastPara="1" vertOverflow="clip" horzOverflow="clip" upright="1">
                          <a:prstTxWarp prst="textNoShape">
                            <a:avLst/>
                          </a:prstTxWarp>
                          <a:spAutoFit/>
                        </wps:bodyPr>
                      </wps:wsp>
                      <wps:wsp>
                        <wps:cNvPr id="75" name="Textbox 69"/>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ClBgAAqCgAACgAAAAIAAAAAQAAAAIAAAAwAAAAFAAAAAAAAAAAAP//AAABAAAA//8AAAEA"/>
                            </a:ext>
                          </a:extLst>
                        </wps:cNvSpPr>
                        <wps:spPr>
                          <a:xfrm>
                            <a:off x="0" y="1731010"/>
                            <a:ext cx="612013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22</w:t>
                                <w:fldChar w:fldCharType="end"/>
                              </w:r>
                              <w:r>
                                <w:t>: Übersichtszeichnung des 160-Fuß-Schiffes.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327.40pt;mso-position-horizontal-relative:margin;mso-position-vertical-relative:margin;width:481.90pt;height:152.90pt;z-index:251658313;mso-wrap-distance-left:7.05pt;mso-wrap-distance-top:11.35pt;mso-wrap-distance-right:7.05pt;mso-wrap-distance-bottom:14.15pt" coordorigin="1701,7682" coordsize="9638,3058">
                <v:shape id="Textbox 68" o:spid="_x0000_s1080" type="#_x0000_t202" style="position:absolute;left:1701;top:7682;width:9638;height:2726"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v:textbox>
                </v:shape>
                <v:shape id="Textbox 69" o:spid="_x0000_s1081" type="#_x0000_t202" style="position:absolute;left:1701;top:10408;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22</w:t>
                          <w:fldChar w:fldCharType="end"/>
                        </w:r>
                        <w:r>
                          <w:t>: Übersichtszeichnung des 160-Fuß-Schiffes.</w:t>
                        </w:r>
                      </w:p>
                    </w:txbxContent>
                  </v:textbox>
                </v:shape>
                <w10:wrap type="square" anchorx="margin" anchory="margin"/>
              </v:group>
            </w:pict>
          </mc:Fallback>
        </mc:AlternateContent>
      </w:r>
      <w:r>
        <w:t>Die Hauptabmessungen:</w:t>
        <w:br w:type="textWrapping"/>
        <w:t>L=160 Fuß; W=40 Fuß 0 Daumen; R=17 Fuß 0 Daumen.</w:t>
      </w:r>
    </w:p>
    <w:p>
      <w:pPr>
        <w:pStyle w:val="para2"/>
      </w:pPr>
      <w:bookmarkStart w:id="365" w:name="_TOC000242"/>
      <w:r/>
      <w:bookmarkStart w:id="366" w:name="_TOC000227"/>
      <w:r/>
      <w:bookmarkStart w:id="367" w:name="_TOC000193"/>
      <w:r/>
      <w:bookmarkStart w:id="368" w:name="_TOC000149"/>
      <w:r/>
      <w:bookmarkStart w:id="369" w:name="_TOC000108"/>
      <w:r>
        <w:t>Die ersten Veränderungen 1714</w:t>
      </w:r>
      <w:bookmarkEnd w:id="369"/>
      <w:r/>
      <w:bookmarkEnd w:id="368"/>
      <w:r/>
      <w:bookmarkEnd w:id="367"/>
      <w:r/>
      <w:bookmarkEnd w:id="366"/>
      <w:r/>
      <w:bookmarkEnd w:id="365"/>
      <w:r>
        <w:t>; OIC</w:t>
      </w:r>
    </w:p>
    <w:p>
      <w:pPr>
        <w:pStyle w:val="para4"/>
        <w:spacing w:after="20"/>
        <w:rPr>
          <w:rFonts w:ascii="Comic Sans MS" w:hAnsi="Comic Sans MS" w:eastAsia="Comic Sans MS" w:cs="Comic Sans MS"/>
        </w:rPr>
      </w:pPr>
      <w:r>
        <w:rPr>
          <w:rFonts w:ascii="Comic Sans MS" w:hAnsi="Comic Sans MS" w:eastAsia="Comic Sans MS" w:cs="Comic Sans MS"/>
        </w:rPr>
      </w:r>
    </w:p>
    <w:p>
      <w:pPr>
        <w:pStyle w:val="para2"/>
      </w:pPr>
      <w:bookmarkStart w:id="370" w:name="_TOC000243"/>
      <w:r/>
      <w:bookmarkStart w:id="371" w:name="_TOC000228"/>
      <w:r/>
      <w:bookmarkStart w:id="372" w:name="_TOC000194"/>
      <w:r/>
      <w:bookmarkStart w:id="373" w:name="_TOC000150"/>
      <w:r/>
      <w:bookmarkStart w:id="374" w:name="_TOC000109"/>
      <w:r>
        <w:t>Grundlage der Änderungen im Jahr 1741</w:t>
      </w:r>
      <w:bookmarkEnd w:id="374"/>
      <w:r/>
      <w:bookmarkEnd w:id="373"/>
      <w:r/>
      <w:bookmarkEnd w:id="372"/>
      <w:r/>
      <w:bookmarkEnd w:id="371"/>
      <w:r/>
      <w:bookmarkEnd w:id="370"/>
      <w:r>
        <w:t>; OIC</w:t>
      </w:r>
    </w:p>
    <w:p>
      <w:pPr>
        <w:pStyle w:val="para4"/>
      </w:pPr>
      <w:r>
        <w:t>Besonders das 130er-Schiff war den Verantwortlichen wohl ein Dorn im Auge. Sie hielten wohl nicht all zu viel von der Konstruktion. Durch verschiedene Schiffsverluste war man wohl der Meinung, dass die zu geringe Schiffsweite für die Verluste verantwortlich war. Ferner vermutete man, dass auch der hohe Schwerpunkt eines beladenen Schiffes die Ursache für den Verlust der Schiffe sein konnte. Als ersten Vorschlag wollte man die 130er und 145er um je 5 Fuß länger ausführen. Man erhoffte sich dadurch, dass die 145er 20 Lasten und dass das 130er 15 Lasten mehr tragen könnte. Interessant erscheint auch, dass in dem Rapport die Rede von einer geringeren Schiffsweite war. Ob man die Schiffe nun wirklich schmaler bauen wollte oder ob durch die Verlängerung um je 5 Fuß dieses erreicht werden konnte, wird im ersten Ansatz nicht deutlich. Die schmalere Ausführung sollte auch dem Ankern entgegenkommen. Auch sollten die Schiffe besser segeln. Ferner lagen sie besser am Ruder.</w:t>
      </w:r>
    </w:p>
    <w:p>
      <w:pPr>
        <w:pStyle w:val="para2"/>
      </w:pPr>
      <w:bookmarkStart w:id="375" w:name="_TOC000249"/>
      <w:r/>
      <w:bookmarkStart w:id="376" w:name="_TOC000229"/>
      <w:r/>
      <w:bookmarkStart w:id="377" w:name="_TOC000195"/>
      <w:r/>
      <w:bookmarkStart w:id="378" w:name="_TOC000151"/>
      <w:r/>
      <w:bookmarkStart w:id="379" w:name="_TOC000110"/>
      <w:r>
        <w:t>Verfügte Änderungen</w:t>
      </w:r>
      <w:bookmarkEnd w:id="379"/>
      <w:r/>
      <w:bookmarkEnd w:id="378"/>
      <w:r/>
      <w:bookmarkEnd w:id="377"/>
      <w:r/>
      <w:bookmarkEnd w:id="376"/>
      <w:r/>
      <w:bookmarkEnd w:id="375"/>
      <w:r>
        <w:t>; OIC</w:t>
      </w:r>
    </w:p>
    <w:p>
      <w:pPr>
        <w:pStyle w:val="para4"/>
      </w:pPr>
      <w:r>
        <w:t>Bedingt durch eine derartige Änderung sollten auch die Rundhölzer und die Segel angepasst werden können. Das ging dann so weit, dass alle Kammern diesen Vorschlag umsetzen mussten. Hierzu sollten entsprechende Listen erstellt werden. Die Segel sollten zum Beispiel leichter ausgeführt werden können.</w:t>
      </w:r>
    </w:p>
    <w:p>
      <w:pPr>
        <w:pStyle w:val="para4"/>
      </w:pPr>
      <w:r>
        <w:t>Die Kammer Amsterdam hatte diese Schwierigkeiten mit den kleinen Schiffen wohl nicht, denn es sollten von den Schiffen in Amsterdam entsprechende Maße in Listen aufgenommen werden. Diese Listen waren dann die Grundlage für die Veränderungen beim Bau neuer Schiffe.</w:t>
      </w:r>
    </w:p>
    <w:p>
      <w:pPr>
        <w:pStyle w:val="para4"/>
      </w:pPr>
      <w:r>
        <w:t xml:space="preserve">Am 19.05.1741 unterzeichneten die Herren T. Du Bors, C. Braems, Leend de Wit, D. Goudberg. W. T. Block und </w:t>
      </w:r>
      <w:r>
        <w:rPr>
          <w:color w:val="ff0000"/>
          <w:u w:color="auto" w:val="single"/>
        </w:rPr>
        <w:t>Hendrik Baas ... ein Schreiben?</w:t>
      </w:r>
      <w:r/>
    </w:p>
    <w:p>
      <w:pPr>
        <w:pStyle w:val="para4"/>
      </w:pPr>
      <w:r>
        <w:t>Reglement, wo sich die zukünftigen Schiffbauer beim Bau der Charter 150 und 135 Fuß Schiffe zu halten hatten.</w:t>
      </w:r>
    </w:p>
    <w:p>
      <w:pPr>
        <w:pStyle w:val="para2"/>
      </w:pPr>
      <w:bookmarkStart w:id="380" w:name="_TOC000252"/>
      <w:r/>
      <w:bookmarkStart w:id="381" w:name="_TOC000230"/>
      <w:r/>
      <w:bookmarkStart w:id="382" w:name="_TOC000196"/>
      <w:r/>
      <w:bookmarkStart w:id="383" w:name="_TOC000152"/>
      <w:r/>
      <w:bookmarkStart w:id="384" w:name="_TOC000111"/>
      <w:r>
        <w:t>Charter des 150-Fuß-Schiffes</w:t>
      </w:r>
      <w:bookmarkEnd w:id="384"/>
      <w:r/>
      <w:bookmarkEnd w:id="383"/>
      <w:r/>
      <w:bookmarkEnd w:id="382"/>
      <w:r/>
      <w:bookmarkEnd w:id="381"/>
      <w:r/>
      <w:bookmarkEnd w:id="380"/>
      <w:r>
        <w:t>; OIC</w:t>
      </w:r>
    </w:p>
    <w:p>
      <w:r>
        <w:rPr>
          <w:noProof/>
        </w:rPr>
        <mc:AlternateContent>
          <mc:Choice Requires="wpg">
            <w:drawing>
              <wp:anchor distT="144145" distB="179705" distL="89535" distR="89535" simplePos="0" relativeHeight="251658316" behindDoc="0" locked="0" layoutInCell="0" hidden="0" allowOverlap="1">
                <wp:simplePos x="0" y="0"/>
                <wp:positionH relativeFrom="margin">
                  <wp:align>left</wp:align>
                </wp:positionH>
                <wp:positionV relativeFrom="margin">
                  <wp:posOffset>1511935</wp:posOffset>
                </wp:positionV>
                <wp:extent cx="6120130" cy="1941830"/>
                <wp:effectExtent l="0" t="0" r="0" b="0"/>
                <wp:wrapSquare wrapText="bothSides"/>
                <wp:docPr id="76" name="Gruppe27"/>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A/AgAAAKIAACAAAAAAAAAAAQAAAAEAAAAAAAAAAAAAAAEAAABNCQAApiUAAPILAAA5AAAANwIAALsNAAAoAAAACAAAAAEAAAABAAAA"/>
                          </a:ext>
                        </a:extLst>
                      </wpg:cNvGrpSpPr>
                      <wpg:grpSpPr>
                        <a:xfrm>
                          <a:off x="0" y="0"/>
                          <a:ext cx="6120130" cy="1941830"/>
                          <a:chOff x="0" y="0"/>
                          <a:chExt cx="6120130" cy="1941830"/>
                        </a:xfrm>
                      </wpg:grpSpPr>
                      <wps:wsp>
                        <wps:cNvPr id="77" name="Textbox 66"/>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pgoAAAAAAAA3AgAAuw0AACgAAAAIAAAAAQAAAAIAAAAwAAAAFAAAAAAAAAAAAP//AAABAAAA//8AAAEA"/>
                            </a:ext>
                          </a:extLst>
                        </wps:cNvSpPr>
                        <wps:spPr>
                          <a:xfrm>
                            <a:off x="0" y="0"/>
                            <a:ext cx="6120130" cy="173101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wps:txbx>
                        <wps:bodyPr spcFirstLastPara="1" vertOverflow="clip" horzOverflow="clip" upright="1">
                          <a:prstTxWarp prst="textNoShape">
                            <a:avLst/>
                          </a:prstTxWarp>
                          <a:spAutoFit/>
                        </wps:bodyPr>
                      </wps:wsp>
                      <wps:wsp>
                        <wps:cNvPr id="78" name="Textbox 67"/>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A3AgAAYRgAACgAAAAIAAAAAQAAAAIAAAAwAAAAFAAAAAAAAAAAAP//AAABAAAA//8AAAEA"/>
                            </a:ext>
                          </a:extLst>
                        </wps:cNvSpPr>
                        <wps:spPr>
                          <a:xfrm>
                            <a:off x="0" y="1731010"/>
                            <a:ext cx="612013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23</w:t>
                                <w:fldChar w:fldCharType="end"/>
                              </w:r>
                              <w:r>
                                <w:t>: Übersichtszeichnung des 150-Fuß-Schiffes.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119.05pt;mso-position-horizontal-relative:margin;mso-position-vertical-relative:margin;width:481.90pt;height:152.90pt;z-index:251658316;mso-wrap-distance-left:7.05pt;mso-wrap-distance-top:11.35pt;mso-wrap-distance-right:7.05pt;mso-wrap-distance-bottom:14.15pt" coordorigin="567,3515" coordsize="9638,3058">
                <v:shape id="Textbox 66" o:spid="_x0000_s1082" type="#_x0000_t202" style="position:absolute;left:567;top:3515;width:9638;height:2726"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v:textbox>
                </v:shape>
                <v:shape id="Textbox 67" o:spid="_x0000_s1083" type="#_x0000_t202" style="position:absolute;left:567;top:6241;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23</w:t>
                          <w:fldChar w:fldCharType="end"/>
                        </w:r>
                        <w:r>
                          <w:t>: Übersichtszeichnung des 150-Fuß-Schiffes.</w:t>
                        </w:r>
                      </w:p>
                    </w:txbxContent>
                  </v:textbox>
                </v:shape>
                <w10:wrap type="square" anchorx="margin" anchory="margin"/>
              </v:group>
            </w:pict>
          </mc:Fallback>
        </mc:AlternateContent>
      </w:r>
      <w:r/>
    </w:p>
    <w:p>
      <w:pPr>
        <w:pStyle w:val="para4"/>
      </w:pPr>
      <w:r>
        <w:t>Auf Spant N° 2</w:t>
      </w:r>
    </w:p>
    <w:p>
      <w:pPr>
        <w:pStyle w:val="para4"/>
      </w:pPr>
      <w:r>
        <w:t>In Höhe von</w:t>
        <w:tab/>
        <w:tab/>
        <w:t>2 Fuß</w:t>
        <w:tab/>
        <w:t>2 3/4 Daumen</w:t>
        <w:tab/>
        <w:tab/>
        <w:t>25 Fuß</w:t>
        <w:tab/>
        <w:tab/>
        <w:t>2 3/4 Daumen weit.</w:t>
      </w:r>
    </w:p>
    <w:p>
      <w:pPr>
        <w:pStyle w:val="para4"/>
        <w:ind w:left="1416" w:firstLine="708"/>
      </w:pPr>
      <w:r>
        <w:t>6 Fuß</w:t>
        <w:tab/>
        <w:t>8 1/4 Daumen</w:t>
        <w:tab/>
        <w:tab/>
        <w:t>35 Fuß</w:t>
        <w:tab/>
        <w:tab/>
        <w:t>0 Daumen weit.</w:t>
      </w:r>
    </w:p>
    <w:p>
      <w:pPr>
        <w:pStyle w:val="para4"/>
        <w:ind w:left="1416" w:firstLine="708"/>
      </w:pPr>
      <w:r>
        <w:t>16 Fuß</w:t>
        <w:tab/>
        <w:t>6 Daumen</w:t>
        <w:tab/>
        <w:tab/>
        <w:t>38 Fuß</w:t>
        <w:tab/>
        <w:tab/>
        <w:t>0 Daumen weit.</w:t>
      </w:r>
    </w:p>
    <w:p>
      <w:pPr>
        <w:pStyle w:val="para4"/>
      </w:pPr>
      <w:r>
        <w:rPr>
          <w:b/>
          <w:bCs/>
        </w:rPr>
        <w:t>Auf Spant N° 4</w:t>
      </w:r>
      <w:r/>
    </w:p>
    <w:p>
      <w:pPr>
        <w:pStyle w:val="para4"/>
      </w:pPr>
      <w:r>
        <w:t>In Höhe von</w:t>
        <w:tab/>
        <w:tab/>
        <w:t>0 Fuß</w:t>
        <w:tab/>
        <w:t>9 Daumen</w:t>
        <w:tab/>
        <w:tab/>
        <w:t>27 Fuß</w:t>
        <w:tab/>
        <w:tab/>
        <w:t>8 1/4 Daumen weit.</w:t>
      </w:r>
    </w:p>
    <w:p>
      <w:pPr>
        <w:pStyle w:val="para4"/>
        <w:ind w:left="1416" w:firstLine="708"/>
      </w:pPr>
      <w:r>
        <w:t>5 Fuß</w:t>
        <w:tab/>
        <w:t>8 1/4 Daumen</w:t>
        <w:tab/>
        <w:tab/>
        <w:t>37 Fuß</w:t>
        <w:tab/>
        <w:tab/>
        <w:t>0 Daumen weit.</w:t>
      </w:r>
    </w:p>
    <w:p>
      <w:pPr>
        <w:pStyle w:val="para4"/>
        <w:ind w:left="1416" w:firstLine="708"/>
      </w:pPr>
      <w:r>
        <w:t>16 Fuß</w:t>
        <w:tab/>
        <w:t>0 Daumen</w:t>
        <w:tab/>
        <w:tab/>
        <w:t>39 Fuß</w:t>
        <w:tab/>
        <w:tab/>
        <w:t>0 Daumen weit.</w:t>
      </w:r>
    </w:p>
    <w:p>
      <w:pPr>
        <w:pStyle w:val="para4"/>
      </w:pPr>
      <w:r>
        <w:rPr>
          <w:b/>
          <w:bCs/>
        </w:rPr>
        <w:t>Auf Spant N° 8</w:t>
      </w:r>
      <w:r/>
    </w:p>
    <w:p>
      <w:pPr>
        <w:pStyle w:val="para4"/>
      </w:pPr>
      <w:r>
        <w:t>In Höhe von</w:t>
        <w:tab/>
        <w:tab/>
        <w:t>5 Fuß</w:t>
        <w:tab/>
        <w:t>2 3/4 Daumen</w:t>
        <w:tab/>
        <w:tab/>
        <w:t>22 Fuß</w:t>
        <w:tab/>
        <w:tab/>
        <w:t>7 Daumen weit.</w:t>
      </w:r>
    </w:p>
    <w:p>
      <w:pPr>
        <w:pStyle w:val="para4"/>
        <w:ind w:left="1416" w:firstLine="708"/>
      </w:pPr>
      <w:r>
        <w:t>10 Fuß</w:t>
        <w:tab/>
        <w:t>3 1/2 Daumen</w:t>
        <w:tab/>
        <w:tab/>
        <w:t>32 Fuß</w:t>
        <w:tab/>
        <w:tab/>
        <w:t>6 Daumen weit.</w:t>
      </w:r>
    </w:p>
    <w:p>
      <w:pPr>
        <w:pStyle w:val="para4"/>
        <w:ind w:left="1416" w:firstLine="708"/>
      </w:pPr>
      <w:r>
        <w:t>20 Fuß</w:t>
        <w:tab/>
        <w:t>2 3/4 Daumen</w:t>
        <w:tab/>
        <w:tab/>
        <w:t>35 Fuß</w:t>
        <w:tab/>
        <w:tab/>
        <w:t>4 Daumen weit.</w:t>
      </w:r>
    </w:p>
    <w:p>
      <w:pPr>
        <w:pStyle w:val="para4"/>
        <w:spacing w:after="20"/>
        <w:rPr>
          <w:rFonts w:ascii="Comic Sans MS" w:hAnsi="Comic Sans MS" w:eastAsia="Comic Sans MS" w:cs="Comic Sans MS"/>
        </w:rPr>
      </w:pPr>
      <w:r>
        <w:rPr>
          <w:rFonts w:ascii="Comic Sans MS" w:hAnsi="Comic Sans MS" w:eastAsia="Comic Sans MS" w:cs="Comic Sans MS"/>
        </w:rPr>
      </w:r>
    </w:p>
    <w:p>
      <w:pPr>
        <w:pStyle w:val="para4"/>
      </w:pPr>
      <w:r>
        <w:t>Die Höhe des zweiten Decks oben wurde an Bord mit einer Höhe von</w:t>
        <w:tab/>
        <w:t>7 Fuß</w:t>
        <w:tab/>
        <w:t>1 Daumen gemessen. Dieses erfolgte bei der großen Luke.</w:t>
      </w:r>
    </w:p>
    <w:p>
      <w:pPr>
        <w:pStyle w:val="para4"/>
      </w:pPr>
      <w:r>
        <w:t>Die Back hatte an der Hinterkante eine Höhe von</w:t>
        <w:tab/>
        <w:tab/>
        <w:tab/>
        <w:tab/>
        <w:t>6 Fuß</w:t>
        <w:tab/>
        <w:t>2 Daumen.</w:t>
      </w:r>
    </w:p>
    <w:p>
      <w:pPr>
        <w:pStyle w:val="para4"/>
      </w:pPr>
      <w:r>
        <w:t>Das Halbdeck am Kardeel gemessen eine Höhe von</w:t>
        <w:tab/>
        <w:tab/>
        <w:tab/>
        <w:tab/>
        <w:t>6 Fuß</w:t>
        <w:tab/>
        <w:t>5 Daumen.</w:t>
      </w:r>
    </w:p>
    <w:p>
      <w:pPr>
        <w:pStyle w:val="para4"/>
      </w:pPr>
      <w:r>
        <w:t>Hinten eine Höhe von</w:t>
        <w:tab/>
        <w:tab/>
        <w:tab/>
        <w:tab/>
        <w:tab/>
        <w:tab/>
        <w:tab/>
        <w:t>7 Fuß</w:t>
        <w:tab/>
        <w:t>0 Daumen.</w:t>
      </w:r>
    </w:p>
    <w:p>
      <w:pPr>
        <w:pStyle w:val="para4"/>
      </w:pPr>
      <w:r>
        <w:t>Die Hütte vorne hoch</w:t>
        <w:tab/>
        <w:tab/>
        <w:tab/>
        <w:tab/>
        <w:tab/>
        <w:tab/>
        <w:tab/>
        <w:t>5 Fuß</w:t>
        <w:tab/>
        <w:t>0 Daumen.</w:t>
      </w:r>
    </w:p>
    <w:p>
      <w:pPr>
        <w:pStyle w:val="para4"/>
      </w:pPr>
      <w:r>
        <w:t>Hinten wie es sich ergibt.</w:t>
      </w:r>
    </w:p>
    <w:p>
      <w:pPr>
        <w:pStyle w:val="para4"/>
      </w:pPr>
      <w:r>
        <w:t>Das Sonnendeck vor dem Besanmast bis an die Großwanten hoch</w:t>
        <w:tab/>
        <w:tab/>
        <w:t>6 Fuß</w:t>
        <w:tab/>
        <w:t>0 Daumen.</w:t>
      </w:r>
    </w:p>
    <w:p>
      <w:pPr>
        <w:pStyle w:val="para4"/>
        <w:spacing w:after="20"/>
        <w:rPr>
          <w:rFonts w:ascii="Comic Sans MS" w:hAnsi="Comic Sans MS" w:eastAsia="Comic Sans MS" w:cs="Comic Sans MS"/>
        </w:rPr>
      </w:pPr>
      <w:r>
        <w:rPr>
          <w:rFonts w:ascii="Comic Sans MS" w:hAnsi="Comic Sans MS" w:eastAsia="Comic Sans MS" w:cs="Comic Sans MS"/>
        </w:rPr>
      </w:r>
    </w:p>
    <w:p>
      <w:pPr>
        <w:pStyle w:val="para2"/>
      </w:pPr>
      <w:bookmarkStart w:id="385" w:name="_TOC000253"/>
      <w:r/>
      <w:bookmarkStart w:id="386" w:name="_TOC000231"/>
      <w:r/>
      <w:bookmarkStart w:id="387" w:name="_TOC000197"/>
      <w:r/>
      <w:bookmarkStart w:id="388" w:name="_TOC000154"/>
      <w:r/>
      <w:bookmarkStart w:id="389" w:name="_TOC000112"/>
      <w:r>
        <w:t>Charter des 135-Fuß-Schiffes</w:t>
      </w:r>
      <w:bookmarkEnd w:id="389"/>
      <w:r/>
      <w:bookmarkEnd w:id="388"/>
      <w:r/>
      <w:bookmarkEnd w:id="387"/>
      <w:r/>
      <w:bookmarkEnd w:id="386"/>
      <w:r/>
      <w:bookmarkEnd w:id="385"/>
      <w:r>
        <w:t>; OIC</w:t>
      </w:r>
    </w:p>
    <w:p>
      <w:pPr>
        <w:pStyle w:val="para4"/>
      </w:pPr>
      <w:r>
        <w:t>Auf Spant N° 2</w:t>
      </w:r>
    </w:p>
    <w:p>
      <w:pPr>
        <w:pStyle w:val="para4"/>
      </w:pPr>
      <w:r>
        <w:t>In Höhe von</w:t>
        <w:tab/>
        <w:tab/>
        <w:t>2 Fuß</w:t>
        <w:tab/>
        <w:t>0 Daumen</w:t>
        <w:tab/>
        <w:tab/>
        <w:t>23 Fuß</w:t>
        <w:tab/>
        <w:tab/>
        <w:t>0 Daumen weit.</w:t>
      </w:r>
    </w:p>
    <w:p>
      <w:pPr>
        <w:pStyle w:val="para4"/>
        <w:ind w:left="1416" w:firstLine="708"/>
      </w:pPr>
      <w:r>
        <w:t>6 Fuß</w:t>
        <w:tab/>
        <w:t>4 Daumen</w:t>
        <w:tab/>
        <w:tab/>
        <w:t>32 Fuß</w:t>
        <w:tab/>
        <w:tab/>
        <w:t>5 1/2 Daumen weit.</w:t>
      </w:r>
    </w:p>
    <w:p>
      <w:pPr>
        <w:pStyle w:val="para4"/>
        <w:ind w:left="1416" w:firstLine="708"/>
      </w:pPr>
      <w:r>
        <w:rPr>
          <w:noProof/>
        </w:rPr>
        <mc:AlternateContent>
          <mc:Choice Requires="wpg">
            <w:drawing>
              <wp:anchor distT="144145" distB="179705" distL="89535" distR="89535" simplePos="0" relativeHeight="251658319" behindDoc="0" locked="0" layoutInCell="0" hidden="0" allowOverlap="1">
                <wp:simplePos x="0" y="0"/>
                <wp:positionH relativeFrom="margin">
                  <wp:align>left</wp:align>
                </wp:positionH>
                <wp:positionV relativeFrom="margin">
                  <wp:posOffset>863600</wp:posOffset>
                </wp:positionV>
                <wp:extent cx="6120130" cy="1941830"/>
                <wp:effectExtent l="0" t="0" r="0" b="0"/>
                <wp:wrapSquare wrapText="bothSides"/>
                <wp:docPr id="79" name="Gruppe28"/>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BZAgAAAKIAACAAAAAAAAAAAQAAAAEAAAAAAAAAAAAAAAEAAABQBQAApiUAAPILAAA6AAAApQYAAL4JAAAoAAAACAAAAAEAAAABAAAA"/>
                          </a:ext>
                        </a:extLst>
                      </wpg:cNvGrpSpPr>
                      <wpg:grpSpPr>
                        <a:xfrm>
                          <a:off x="0" y="0"/>
                          <a:ext cx="6120130" cy="1941830"/>
                          <a:chOff x="0" y="0"/>
                          <a:chExt cx="6120130" cy="1941830"/>
                        </a:xfrm>
                      </wpg:grpSpPr>
                      <wps:wsp>
                        <wps:cNvPr id="80" name="Textbox50"/>
                        <wps:cNvSpPr txBox="1">
                          <a:codePr string="" type="959652413" text="1"/>
                          <a:extLst>
                            <a:ext uri="smNativeData">
                              <sm:smNativeData xmlns:sm="smNativeData" val="SMDATA_15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pgoAAAAAAAClBgAAvgkAACgAAAAIAAAAAQAAAAIAAAAwAAAAFAAAAAAAAAAAAP//AAABAAAA//8AAAEA"/>
                            </a:ext>
                          </a:extLst>
                        </wps:cNvSpPr>
                        <wps:spPr>
                          <a:xfrm>
                            <a:off x="0" y="0"/>
                            <a:ext cx="6120130" cy="173101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wps:txbx>
                        <wps:bodyPr spcFirstLastPara="1" vertOverflow="clip" horzOverflow="clip" upright="1">
                          <a:prstTxWarp prst="textNoShape">
                            <a:avLst/>
                          </a:prstTxWarp>
                          <a:spAutoFit/>
                        </wps:bodyPr>
                      </wps:wsp>
                      <wps:wsp>
                        <wps:cNvPr id="81" name="Textbox51"/>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ClBgAAZBQAACgAAAAIAAAAAQAAAAIAAAAwAAAAFAAAAAAAAAAAAP//AAABAAAA//8AAAEA"/>
                            </a:ext>
                          </a:extLst>
                        </wps:cNvSpPr>
                        <wps:spPr>
                          <a:xfrm>
                            <a:off x="0" y="1731010"/>
                            <a:ext cx="612013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24</w:t>
                                <w:fldChar w:fldCharType="end"/>
                              </w:r>
                              <w:r>
                                <w:t>: Übersichtszeichnung des 135-Fuß-Schiffes.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68.00pt;mso-position-horizontal-relative:margin;mso-position-vertical-relative:margin;width:481.90pt;height:152.90pt;z-index:251658319;mso-wrap-distance-left:7.05pt;mso-wrap-distance-top:11.35pt;mso-wrap-distance-right:7.05pt;mso-wrap-distance-bottom:14.15pt" coordorigin="1701,2494" coordsize="9638,3058">
                <v:shape id="Textbox50" o:spid="_x0000_s1084" type="#_x0000_t202" style="position:absolute;left:1701;top:2494;width:9638;height:2726" stroked="f" filled="f" v:ext="SMDATA_14_tp7GZBMAAAAlAAAAEgAAAE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KYK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r>
                      </w:p>
                      <w:p>
                        <w:pPr>
                          <w:spacing/>
                          <w:jc w:val="center"/>
                          <w:rPr>
                            <w:b/>
                            <w:bCs/>
                            <w:sz w:val="24"/>
                            <w:szCs w:val="24"/>
                          </w:rPr>
                        </w:pPr>
                        <w:r>
                          <w:rPr>
                            <w:b/>
                            <w:bCs/>
                            <w:sz w:val="24"/>
                            <w:szCs w:val="24"/>
                          </w:rPr>
                          <w:t>Hier sollte eine Zeichnung des Schiffes eingestellt werden.</w:t>
                        </w:r>
                      </w:p>
                    </w:txbxContent>
                  </v:textbox>
                </v:shape>
                <v:shape id="Textbox51" o:spid="_x0000_s1085" type="#_x0000_t202" style="position:absolute;left:1701;top:5220;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ii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24</w:t>
                          <w:fldChar w:fldCharType="end"/>
                        </w:r>
                        <w:r>
                          <w:t>: Übersichtszeichnung des 135-Fuß-Schiffes.</w:t>
                        </w:r>
                      </w:p>
                    </w:txbxContent>
                  </v:textbox>
                </v:shape>
                <w10:wrap type="square" anchorx="margin" anchory="margin"/>
              </v:group>
            </w:pict>
          </mc:Fallback>
        </mc:AlternateContent>
      </w:r>
      <w:r>
        <w:t>15 Fuß</w:t>
        <w:tab/>
        <w:t>3 Daumen</w:t>
        <w:tab/>
        <w:tab/>
        <w:t>35 Fuß</w:t>
        <w:tab/>
        <w:tab/>
        <w:t>2 3/4 Daumen weit.</w:t>
      </w:r>
    </w:p>
    <w:p>
      <w:pPr>
        <w:pStyle w:val="para4"/>
      </w:pPr>
      <w:r>
        <w:rPr>
          <w:b/>
          <w:bCs/>
        </w:rPr>
        <w:t>Auf Spant N° 4</w:t>
      </w:r>
      <w:r/>
    </w:p>
    <w:p>
      <w:pPr>
        <w:pStyle w:val="para4"/>
      </w:pPr>
      <w:r>
        <w:t>In Höhe von</w:t>
        <w:tab/>
        <w:tab/>
        <w:t>0 Fuß</w:t>
        <w:tab/>
        <w:t>8 Daumen</w:t>
        <w:tab/>
        <w:tab/>
        <w:t>25 Fuß</w:t>
        <w:tab/>
        <w:tab/>
        <w:t>5 1/2 Daumen weit.</w:t>
      </w:r>
    </w:p>
    <w:p>
      <w:pPr>
        <w:pStyle w:val="para4"/>
        <w:ind w:left="1416" w:firstLine="708"/>
      </w:pPr>
      <w:r>
        <w:rPr>
          <w:noProof/>
        </w:rPr>
        <mc:AlternateContent>
          <mc:Choice Requires="wpg">
            <w:drawing>
              <wp:anchor distT="144145" distB="174625" distL="89535" distR="89535" simplePos="0" relativeHeight="251658322" behindDoc="0" locked="0" layoutInCell="0" hidden="0" allowOverlap="1">
                <wp:simplePos x="0" y="0"/>
                <wp:positionH relativeFrom="margin">
                  <wp:align>left</wp:align>
                </wp:positionH>
                <wp:positionV relativeFrom="paragraph">
                  <wp:posOffset>552450</wp:posOffset>
                </wp:positionV>
                <wp:extent cx="6120130" cy="863600"/>
                <wp:effectExtent l="0" t="0" r="0" b="0"/>
                <wp:wrapSquare wrapText="bothSides"/>
                <wp:docPr id="82" name="Gruppe29"/>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E0BAAAAkAAAAEgAAACQAAAASAAAAAAAAAAAAAAAAAAAABcAAAAUAAAAAAAAAAAAAAD/fwAA/38AAAACAAAJAAAABAAAAAAAAAAhAAAAQAAAADwAAABcAgAAAKIAACAAAAAAAAAAAQAAAAEAAAAAAAAAAAAAAAIAAABmAwAApiUAAFAFAAA6AAAApQYAAHMkAAAoAAAACAAAAAEAAAABAAAA"/>
                          </a:ext>
                        </a:extLst>
                      </wpg:cNvGrpSpPr>
                      <wpg:grpSpPr>
                        <a:xfrm>
                          <a:off x="0" y="0"/>
                          <a:ext cx="6120130" cy="863600"/>
                          <a:chOff x="0" y="0"/>
                          <a:chExt cx="6120130" cy="863600"/>
                        </a:xfrm>
                      </wpg:grpSpPr>
                      <wps:wsp>
                        <wps:cNvPr id="83" name="Textbox 64"/>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BAQAAAAAAAClBgAAcyQAACgAAAAIAAAAAQAAAAIAAAAwAAAAFAAAAAAAAAAAAP//AAABAAAA//8AAAEA"/>
                            </a:ext>
                          </a:extLst>
                        </wps:cNvSpPr>
                        <wps:spPr>
                          <a:xfrm>
                            <a:off x="0" y="0"/>
                            <a:ext cx="6120130" cy="652780"/>
                          </a:xfrm>
                          <a:prstGeom prst="rect">
                            <a:avLst/>
                          </a:prstGeom>
                          <a:noFill/>
                          <a:ln w="12700">
                            <a:noFill/>
                          </a:ln>
                        </wps:spPr>
                        <wps:txbx>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Rundhölzer-130-145.Pmdx</w:t>
                              </w:r>
                            </w:p>
                          </w:txbxContent>
                        </wps:txbx>
                        <wps:bodyPr spcFirstLastPara="1" vertOverflow="clip" horzOverflow="clip" upright="1">
                          <a:prstTxWarp prst="textNoShape">
                            <a:avLst/>
                          </a:prstTxWarp>
                          <a:spAutoFit/>
                        </wps:bodyPr>
                      </wps:wsp>
                      <wps:wsp>
                        <wps:cNvPr id="84" name="Textbox 65"/>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ClBgAAdygAACgAAAAIAAAAAQAAAAIAAAAwAAAAFAAAAAAAAAAAAP//AAABAAAA//8AAAEA"/>
                            </a:ext>
                          </a:extLst>
                        </wps:cNvSpPr>
                        <wps:spPr>
                          <a:xfrm>
                            <a:off x="0" y="652780"/>
                            <a:ext cx="6120130"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7</w:t>
                                <w:fldChar w:fldCharType="end"/>
                              </w:r>
                              <w:r>
                                <w:t>: Die Rundholzabmessungen der Schiffsgrößen 130 und 145 Fuß.</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43.50pt;mso-position-horizontal-relative:margin;width:481.90pt;height:68.00pt;z-index:251658322;mso-wrap-distance-left:7.05pt;mso-wrap-distance-top:11.35pt;mso-wrap-distance-right:7.05pt;mso-wrap-distance-bottom:13.75pt" coordorigin="1701,9331" coordsize="9638,1360">
                <v:shape id="Textbox 64" o:spid="_x0000_s1086" type="#_x0000_t202" style="position:absolute;left:1701;top:9331;width:9638;height:1028"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Rundhölzer-130-145.Pmdx</w:t>
                        </w:r>
                      </w:p>
                    </w:txbxContent>
                  </v:textbox>
                </v:shape>
                <v:shape id="Textbox 65" o:spid="_x0000_s1087" type="#_x0000_t202" style="position:absolute;left:1701;top:10359;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7</w:t>
                          <w:fldChar w:fldCharType="end"/>
                        </w:r>
                        <w:r>
                          <w:t>: Die Rundholzabmessungen der Schiffsgrößen 130 und 145 Fuß.</w:t>
                        </w:r>
                      </w:p>
                    </w:txbxContent>
                  </v:textbox>
                </v:shape>
                <w10:wrap type="square" anchorx="margin" anchory="text"/>
              </v:group>
            </w:pict>
          </mc:Fallback>
        </mc:AlternateContent>
      </w:r>
      <w:r>
        <w:t>5 Fuß</w:t>
        <w:tab/>
        <w:t>5 1/2 Daumen</w:t>
        <w:tab/>
        <w:tab/>
        <w:t>34 Fuß</w:t>
        <w:tab/>
        <w:tab/>
        <w:t>2 3/4 Daumen weit.</w:t>
      </w:r>
    </w:p>
    <w:p>
      <w:pPr>
        <w:pStyle w:val="para4"/>
        <w:ind w:left="1416" w:firstLine="708"/>
      </w:pPr>
      <w:r>
        <w:t>15 Fuß</w:t>
        <w:tab/>
        <w:t>0 Daumen</w:t>
        <w:tab/>
        <w:tab/>
        <w:t>36 Fuß</w:t>
        <w:tab/>
        <w:tab/>
        <w:t>0 Daumen weit.</w:t>
      </w:r>
    </w:p>
    <w:p>
      <w:pPr>
        <w:pStyle w:val="para4"/>
      </w:pPr>
      <w:r>
        <w:rPr>
          <w:b/>
          <w:bCs/>
        </w:rPr>
        <w:t>Auf Spant N° 8</w:t>
      </w:r>
      <w:r/>
    </w:p>
    <w:p>
      <w:pPr>
        <w:pStyle w:val="para4"/>
      </w:pPr>
      <w:r>
        <w:t>In Höhe von</w:t>
        <w:tab/>
        <w:tab/>
        <w:t>5 Fuß</w:t>
        <w:tab/>
        <w:t>0 Daumen</w:t>
        <w:tab/>
        <w:tab/>
        <w:t>19 Fuß</w:t>
        <w:tab/>
        <w:tab/>
        <w:t>0 Daumen weit.</w:t>
      </w:r>
    </w:p>
    <w:p>
      <w:pPr>
        <w:pStyle w:val="para4"/>
        <w:ind w:left="1416" w:firstLine="708"/>
      </w:pPr>
      <w:r>
        <w:t>9 Fuß</w:t>
        <w:tab/>
        <w:t>7 Daumen</w:t>
        <w:tab/>
        <w:tab/>
        <w:t>29 Fuß</w:t>
        <w:tab/>
        <w:tab/>
        <w:t>7 Daumen weit.</w:t>
      </w:r>
    </w:p>
    <w:p>
      <w:pPr>
        <w:pStyle w:val="para4"/>
        <w:ind w:left="1416" w:firstLine="708"/>
      </w:pPr>
      <w:r>
        <w:t>18 Fuß</w:t>
        <w:tab/>
        <w:t>5 1/2 Daumen</w:t>
        <w:tab/>
        <w:tab/>
        <w:t>33 Fuß</w:t>
        <w:tab/>
        <w:tab/>
        <w:t>0 Daumen weit.</w:t>
      </w:r>
    </w:p>
    <w:p>
      <w:pPr>
        <w:pStyle w:val="para4"/>
        <w:spacing w:after="20"/>
        <w:rPr>
          <w:rFonts w:ascii="Comic Sans MS" w:hAnsi="Comic Sans MS" w:eastAsia="Comic Sans MS" w:cs="Comic Sans MS"/>
        </w:rPr>
      </w:pPr>
      <w:r>
        <w:rPr>
          <w:rFonts w:ascii="Comic Sans MS" w:hAnsi="Comic Sans MS" w:eastAsia="Comic Sans MS" w:cs="Comic Sans MS"/>
        </w:rPr>
      </w:r>
    </w:p>
    <w:p>
      <w:pPr>
        <w:pStyle w:val="para4"/>
      </w:pPr>
      <w:r>
        <w:t>Die Höhe des zweiten Decks oben wurde an Bord mit einer Höhe von</w:t>
        <w:tab/>
        <w:t>6 Fuß</w:t>
        <w:tab/>
        <w:t>7 Daumen gemessen. Dieses erfolgte bei der großen Luke.</w:t>
      </w:r>
    </w:p>
    <w:p>
      <w:pPr>
        <w:pStyle w:val="para4"/>
      </w:pPr>
      <w:r>
        <w:t>Die Back hatte an der Hinterkante eine Höhe von</w:t>
        <w:tab/>
        <w:tab/>
        <w:tab/>
        <w:tab/>
        <w:t>6 Fuß</w:t>
        <w:tab/>
        <w:t>0 Daumen.</w:t>
      </w:r>
    </w:p>
    <w:p>
      <w:pPr>
        <w:pStyle w:val="para4"/>
      </w:pPr>
      <w:r>
        <w:t>Das Halbdeck am Kardeel gemessen eine Höhe von</w:t>
        <w:tab/>
        <w:tab/>
        <w:tab/>
        <w:t>6 Fuß</w:t>
        <w:tab/>
        <w:t>3 Daumen.</w:t>
      </w:r>
    </w:p>
    <w:p>
      <w:pPr>
        <w:pStyle w:val="para4"/>
      </w:pPr>
      <w:r>
        <w:t>Hinten eine Höhe von</w:t>
        <w:tab/>
        <w:tab/>
        <w:tab/>
        <w:tab/>
        <w:tab/>
        <w:tab/>
        <w:tab/>
        <w:t>6 Fuß</w:t>
        <w:tab/>
        <w:t>10 Daumen.</w:t>
      </w:r>
    </w:p>
    <w:p>
      <w:pPr>
        <w:pStyle w:val="para4"/>
      </w:pPr>
      <w:r>
        <w:t>Die Hütte vorne hoch</w:t>
        <w:tab/>
        <w:tab/>
        <w:tab/>
        <w:tab/>
        <w:tab/>
        <w:tab/>
        <w:tab/>
        <w:t>4 Fuß</w:t>
        <w:tab/>
        <w:t>10 Daumen.</w:t>
      </w:r>
    </w:p>
    <w:p>
      <w:pPr>
        <w:pStyle w:val="para4"/>
      </w:pPr>
      <w:r>
        <w:t>Hinten wie es sich ergibt.</w:t>
      </w:r>
    </w:p>
    <w:p>
      <w:pPr>
        <w:pStyle w:val="para4"/>
      </w:pPr>
      <w:r>
        <w:t>Das Sonnendeck vor dem Besanmast bis an die Großwanten hoch</w:t>
        <w:tab/>
        <w:tab/>
        <w:t>6 Fuß</w:t>
        <w:tab/>
        <w:t>0 Daumen.</w:t>
      </w:r>
    </w:p>
    <w:p>
      <w:pPr>
        <w:pStyle w:val="para4"/>
        <w:spacing w:after="20"/>
        <w:rPr>
          <w:rFonts w:ascii="Comic Sans MS" w:hAnsi="Comic Sans MS" w:eastAsia="Comic Sans MS" w:cs="Comic Sans MS"/>
        </w:rPr>
      </w:pPr>
      <w:r>
        <w:rPr>
          <w:rFonts w:ascii="Comic Sans MS" w:hAnsi="Comic Sans MS" w:eastAsia="Comic Sans MS" w:cs="Comic Sans MS"/>
        </w:rPr>
      </w:r>
    </w:p>
    <w:p>
      <w:pPr>
        <w:pStyle w:val="para2"/>
      </w:pPr>
      <w:bookmarkStart w:id="390" w:name="_TOC000254"/>
      <w:r/>
      <w:bookmarkStart w:id="391" w:name="_TOC000232"/>
      <w:r/>
      <w:bookmarkStart w:id="392" w:name="_TOC000198"/>
      <w:r/>
      <w:bookmarkStart w:id="393" w:name="_TOC000155"/>
      <w:r/>
      <w:bookmarkStart w:id="394" w:name="_TOC000113"/>
      <w:r>
        <w:t>Die geänderten Maße der Masten bzw. Rundhölzer</w:t>
      </w:r>
      <w:bookmarkEnd w:id="394"/>
      <w:r/>
      <w:bookmarkEnd w:id="393"/>
      <w:r/>
      <w:bookmarkEnd w:id="392"/>
      <w:r/>
      <w:bookmarkEnd w:id="391"/>
      <w:r/>
      <w:bookmarkEnd w:id="390"/>
      <w:r>
        <w:t>; OIC</w:t>
      </w:r>
    </w:p>
    <w:p>
      <w:pPr>
        <w:pStyle w:val="para2"/>
      </w:pPr>
      <w:bookmarkStart w:id="395" w:name="_TOC000264"/>
      <w:r>
        <w:t>Die geänderten Segelgrößen</w:t>
      </w:r>
      <w:bookmarkEnd w:id="395"/>
      <w:r>
        <w:t>; OIC</w:t>
      </w:r>
    </w:p>
    <w:p>
      <w:pPr>
        <w:pStyle w:val="para2"/>
      </w:pPr>
      <w:r>
        <w:rPr>
          <w:noProof/>
        </w:rPr>
        <mc:AlternateContent>
          <mc:Choice Requires="wpg">
            <w:drawing>
              <wp:anchor distT="144145" distB="179705" distL="89535" distR="89535" simplePos="0" relativeHeight="251658328" behindDoc="0" locked="0" layoutInCell="0" hidden="0" allowOverlap="1">
                <wp:simplePos x="0" y="0"/>
                <wp:positionH relativeFrom="margin">
                  <wp:align>left</wp:align>
                </wp:positionH>
                <wp:positionV relativeFrom="margin">
                  <wp:align>top</wp:align>
                </wp:positionV>
                <wp:extent cx="6120130" cy="863600"/>
                <wp:effectExtent l="0" t="0" r="0" b="0"/>
                <wp:wrapSquare wrapText="bothSides"/>
                <wp:docPr id="88" name="Gruppe31"/>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BtAgAAAKIAACAAAAAAAAAAAQAAAAEAAAAAAAAAAQAAAAEAAAAAAAAApiUAAFAFAAA7AAAANwIAAG4EAAAoAAAACAAAAAEAAAABAAAA"/>
                          </a:ext>
                        </a:extLst>
                      </wpg:cNvGrpSpPr>
                      <wpg:grpSpPr>
                        <a:xfrm>
                          <a:off x="0" y="0"/>
                          <a:ext cx="6120130" cy="863600"/>
                          <a:chOff x="0" y="0"/>
                          <a:chExt cx="6120130" cy="863600"/>
                        </a:xfrm>
                      </wpg:grpSpPr>
                      <wps:wsp>
                        <wps:cNvPr id="89" name="Textbox 60"/>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BAQAAAAAAAA3AgAAbgQAACgAAAAIAAAAAQAAAAIAAAAwAAAAFAAAAAAAAAAAAP//AAABAAAA//8AAAEA"/>
                            </a:ext>
                          </a:extLst>
                        </wps:cNvSpPr>
                        <wps:spPr>
                          <a:xfrm>
                            <a:off x="0" y="0"/>
                            <a:ext cx="6120130" cy="652780"/>
                          </a:xfrm>
                          <a:prstGeom prst="rect">
                            <a:avLst/>
                          </a:prstGeom>
                          <a:noFill/>
                          <a:ln w="12700">
                            <a:noFill/>
                          </a:ln>
                        </wps:spPr>
                        <wps:txbx>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Taustärken-130-145.Pmdx</w:t>
                              </w:r>
                            </w:p>
                          </w:txbxContent>
                        </wps:txbx>
                        <wps:bodyPr spcFirstLastPara="1" vertOverflow="clip" horzOverflow="clip" upright="1">
                          <a:prstTxWarp prst="textNoShape">
                            <a:avLst/>
                          </a:prstTxWarp>
                          <a:spAutoFit/>
                        </wps:bodyPr>
                      </wps:wsp>
                      <wps:wsp>
                        <wps:cNvPr id="90" name="Textbox 61"/>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A3AgAAcggAACgAAAAIAAAAAQAAAAIAAAAwAAAAFAAAAAAAAAAAAP//AAABAAAA//8AAAEA"/>
                            </a:ext>
                          </a:extLst>
                        </wps:cNvSpPr>
                        <wps:spPr>
                          <a:xfrm>
                            <a:off x="0" y="652780"/>
                            <a:ext cx="6120130"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8</w:t>
                                <w:fldChar w:fldCharType="end"/>
                              </w:r>
                              <w:r>
                                <w:t>: Die Taustärken der Schiffsgrößen 130 und 145 Fuß.</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0pt;height:68.00pt;z-index:251658328;mso-wrap-distance-left:7.05pt;mso-wrap-distance-top:11.35pt;mso-wrap-distance-right:7.05pt;mso-wrap-distance-bottom:14.15pt" coordorigin="567,1134" coordsize="9638,1360">
                <v:shape id="Textbox 60" o:spid="_x0000_s1088" type="#_x0000_t202" style="position:absolute;left:567;top:1134;width:9638;height:1028"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Taustärken-130-145.Pmdx</w:t>
                        </w:r>
                      </w:p>
                    </w:txbxContent>
                  </v:textbox>
                </v:shape>
                <v:shape id="Textbox 61" o:spid="_x0000_s1089" type="#_x0000_t202" style="position:absolute;left:567;top:2162;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8</w:t>
                          <w:fldChar w:fldCharType="end"/>
                        </w:r>
                        <w:r>
                          <w:t>: Die Taustärken der Schiffsgrößen 130 und 145 Fuß.</w:t>
                        </w:r>
                      </w:p>
                    </w:txbxContent>
                  </v:textbox>
                </v:shape>
                <w10:wrap type="square" anchorx="margin" anchory="margin"/>
              </v:group>
            </w:pict>
          </mc:Fallback>
        </mc:AlternateContent>
      </w:r>
      <w:bookmarkStart w:id="396" w:name="_TOC000255"/>
      <w:r/>
      <w:bookmarkStart w:id="397" w:name="_TOC000233"/>
      <w:r/>
      <w:bookmarkStart w:id="398" w:name="_TOC000199"/>
      <w:r/>
      <w:bookmarkStart w:id="399" w:name="_TOC000156"/>
      <w:r/>
      <w:bookmarkEnd w:id="399"/>
      <w:r/>
      <w:bookmarkEnd w:id="398"/>
      <w:r/>
      <w:bookmarkEnd w:id="397"/>
      <w:r/>
      <w:bookmarkEnd w:id="396"/>
      <w:r/>
      <w:bookmarkStart w:id="400" w:name="_TOC000256"/>
      <w:r/>
      <w:bookmarkStart w:id="401" w:name="_TOC000234"/>
      <w:r/>
      <w:bookmarkStart w:id="402" w:name="_TOC000200"/>
      <w:r/>
      <w:bookmarkStart w:id="403" w:name="_TOC000157"/>
      <w:r/>
      <w:bookmarkStart w:id="404" w:name="_TOC000115"/>
      <w:r>
        <w:t>Die geänderten Taustärken</w:t>
      </w:r>
      <w:bookmarkEnd w:id="404"/>
      <w:r/>
      <w:bookmarkEnd w:id="403"/>
      <w:r/>
      <w:bookmarkEnd w:id="402"/>
      <w:r/>
      <w:bookmarkEnd w:id="401"/>
      <w:r/>
      <w:bookmarkEnd w:id="400"/>
      <w:r>
        <w:t>; OIC</w:t>
      </w:r>
    </w:p>
    <w:p>
      <w:pPr>
        <w:pStyle w:val="para4"/>
        <w:ind w:firstLine="0"/>
        <w:spacing w:after="20"/>
      </w:pPr>
      <w:r/>
    </w:p>
    <w:p>
      <w:pPr>
        <w:pStyle w:val="para2"/>
      </w:pPr>
      <w:bookmarkStart w:id="405" w:name="_TOC000257"/>
      <w:r/>
      <w:bookmarkStart w:id="406" w:name="_TOC000235"/>
      <w:r/>
      <w:bookmarkStart w:id="407" w:name="_TOC000201"/>
      <w:r/>
      <w:bookmarkStart w:id="408" w:name="_TOC000158"/>
      <w:r/>
      <w:bookmarkStart w:id="409" w:name="_TOC000116"/>
      <w:r>
        <w:t>Konzept Charter 125 Fuß-Schiff</w:t>
      </w:r>
      <w:bookmarkEnd w:id="409"/>
      <w:r/>
      <w:bookmarkEnd w:id="408"/>
      <w:r/>
      <w:bookmarkEnd w:id="407"/>
      <w:r/>
      <w:bookmarkEnd w:id="406"/>
      <w:r/>
      <w:bookmarkEnd w:id="405"/>
      <w:r>
        <w:t>; OIC</w:t>
      </w:r>
    </w:p>
    <w:p>
      <w:pPr>
        <w:pStyle w:val="para4"/>
      </w:pPr>
      <w:r>
        <w:t>Das Schiff hatte die folgenden Hauptabmessungen: L=125, W=33, R=14 Fuß. Das Schiff bekam weder Halbdeck noch Backdeck. Ein Sonnendeck und eine Hütte. Auf dem oberen Deck wurde eine Kajüte gefordert, davor zwei Hütten für die Steuerleute.</w:t>
      </w:r>
    </w:p>
    <w:p>
      <w:pPr>
        <w:pStyle w:val="para4"/>
      </w:pPr>
      <w:r>
        <w:t>Auf Spant N° 2</w:t>
      </w:r>
    </w:p>
    <w:p>
      <w:pPr>
        <w:pStyle w:val="para4"/>
      </w:pPr>
      <w:r>
        <w:t>In Höhe von</w:t>
        <w:tab/>
        <w:tab/>
        <w:t>1 Fuß</w:t>
        <w:tab/>
        <w:t>8 1/2 Daumen</w:t>
        <w:tab/>
        <w:tab/>
        <w:t>21 Fuß</w:t>
        <w:tab/>
        <w:tab/>
        <w:t>0 Daumen weit.</w:t>
      </w:r>
    </w:p>
    <w:p>
      <w:pPr>
        <w:pStyle w:val="para4"/>
        <w:ind w:left="1416" w:firstLine="708"/>
      </w:pPr>
      <w:r>
        <w:t>5 Fuß</w:t>
        <w:tab/>
        <w:t>7 Daumen</w:t>
        <w:tab/>
        <w:tab/>
        <w:t>28 Fuß</w:t>
        <w:tab/>
        <w:tab/>
        <w:t>9 3/4 Daumen weit.</w:t>
      </w:r>
    </w:p>
    <w:p>
      <w:pPr>
        <w:pStyle w:val="para4"/>
        <w:ind w:left="1416" w:firstLine="708"/>
      </w:pPr>
      <w:r>
        <w:t>14 Fuß</w:t>
        <w:tab/>
        <w:t>2 Daumen</w:t>
        <w:tab/>
        <w:tab/>
        <w:t>31 Fuß</w:t>
        <w:tab/>
        <w:tab/>
        <w:t>3 1/2 Daumen weit.</w:t>
      </w:r>
    </w:p>
    <w:p>
      <w:pPr>
        <w:pStyle w:val="para4"/>
      </w:pPr>
      <w:r>
        <w:rPr>
          <w:b/>
          <w:bCs/>
        </w:rPr>
        <w:t>Auf Spant N° 4</w:t>
      </w:r>
      <w:r/>
    </w:p>
    <w:p>
      <w:pPr>
        <w:pStyle w:val="para4"/>
      </w:pPr>
      <w:r>
        <w:rPr>
          <w:noProof/>
        </w:rPr>
        <mc:AlternateContent>
          <mc:Choice Requires="wpg">
            <w:drawing>
              <wp:anchor distT="144145" distB="179705" distL="89535" distR="89535" simplePos="0" relativeHeight="251658331" behindDoc="0" locked="0" layoutInCell="0" hidden="0" allowOverlap="1">
                <wp:simplePos x="0" y="0"/>
                <wp:positionH relativeFrom="margin">
                  <wp:posOffset>1270</wp:posOffset>
                </wp:positionH>
                <wp:positionV relativeFrom="margin">
                  <wp:posOffset>7469505</wp:posOffset>
                </wp:positionV>
                <wp:extent cx="6118860" cy="1631950"/>
                <wp:effectExtent l="0" t="0" r="0" b="0"/>
                <wp:wrapSquare wrapText="bothSides"/>
                <wp:docPr id="91" name="Gruppe32"/>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E0BAAAAkAAAAEgAAACQAAAASAAAAAAAAAAAAAAAAAAAABcAAAAUAAAAAAAAAAAAAAD/fwAA/38AAAACAAAJAAAABAAAAAAAAAAhAAAAQAAAADwAAAB2AgAAAKIAACAAAAAAAAAAAAAAAAEAAAACAAAAAAAAAAEAAADzLQAApCUAAAoKAAA7AAAAOQIAAGEyAAAoAAAACAAAAAEAAAABAAAA"/>
                          </a:ext>
                        </a:extLst>
                      </wpg:cNvGrpSpPr>
                      <wpg:grpSpPr>
                        <a:xfrm>
                          <a:off x="0" y="0"/>
                          <a:ext cx="6118860" cy="1631950"/>
                          <a:chOff x="0" y="0"/>
                          <a:chExt cx="6118860" cy="1631950"/>
                        </a:xfrm>
                      </wpg:grpSpPr>
                      <wps:wsp>
                        <wps:cNvPr id="92" name="Textbox54"/>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4I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kJQAAvggAAAAAAAA5AgAAYTIAACgAAAAIAAAAAQAAAAIAAAAwAAAAFAAAAAAAAAAAAP//AAABAAAA//8AAAEA"/>
                            </a:ext>
                          </a:extLst>
                        </wps:cNvSpPr>
                        <wps:spPr>
                          <a:xfrm>
                            <a:off x="0" y="0"/>
                            <a:ext cx="6118860" cy="1421130"/>
                          </a:xfrm>
                          <a:prstGeom prst="rect">
                            <a:avLst/>
                          </a:prstGeom>
                          <a:noFill/>
                          <a:ln w="12700">
                            <a:noFill/>
                          </a:ln>
                        </wps:spPr>
                        <wps:txbx>
                          <w:txbxContent>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t>Muss noch erstellt werden</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125-Fuß-Schiff</w:t>
                              </w:r>
                            </w:p>
                          </w:txbxContent>
                        </wps:txbx>
                        <wps:bodyPr spcFirstLastPara="1" vertOverflow="clip" horzOverflow="clip" upright="1">
                          <a:prstTxWarp prst="textNoShape">
                            <a:avLst/>
                          </a:prstTxWarp>
                          <a:spAutoFit/>
                        </wps:bodyPr>
                      </wps:wsp>
                      <wps:wsp>
                        <wps:cNvPr id="93" name="Textbox55"/>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kJQAATAEAAAAAAAA5AgAAHzsAACgAAAAIAAAAAQAAAAIAAAAwAAAAFAAAAAAAAAAAAP//AAABAAAA//8AAAEA"/>
                            </a:ext>
                          </a:extLst>
                        </wps:cNvSpPr>
                        <wps:spPr>
                          <a:xfrm>
                            <a:off x="0" y="1421130"/>
                            <a:ext cx="6118860" cy="210820"/>
                          </a:xfrm>
                          <a:prstGeom prst="rect">
                            <a:avLst/>
                          </a:prstGeom>
                          <a:noFill/>
                          <a:ln w="12700">
                            <a:noFill/>
                          </a:ln>
                        </wps:spPr>
                        <wps:txbx>
                          <w:txbxContent>
                            <w:p>
                              <w:pPr>
                                <w:pStyle w:val="para18"/>
                              </w:pPr>
                              <w:r>
                                <w:t xml:space="preserve">Abbildung </w:t>
                              </w:r>
                              <w:r>
                                <w:fldChar w:fldCharType="begin"/>
                                <w:instrText xml:space="preserve"> SEQ "Abbildung" \* Arabic </w:instrText>
                                <w:fldChar w:fldCharType="separate"/>
                                <w:t>25</w:t>
                                <w:fldChar w:fldCharType="end"/>
                              </w:r>
                              <w:r>
                                <w:t>: Übersichtszeichnung des 125-Fuß-Schiffes.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0.10pt;margin-top:588.15pt;mso-position-horizontal-relative:margin;mso-position-vertical-relative:margin;width:481.80pt;height:128.50pt;z-index:251658331;mso-wrap-distance-left:7.05pt;mso-wrap-distance-top:11.35pt;mso-wrap-distance-right:7.05pt;mso-wrap-distance-bottom:14.15pt" coordorigin="569,12897" coordsize="9636,2570">
                <v:shape id="Textbox54" o:spid="_x0000_s1090" type="#_x0000_t202" style="position:absolute;left:569;top:12897;width:9636;height:2238"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L4I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r>
                      </w:p>
                      <w:p>
                        <w:pPr>
                          <w:spacing/>
                          <w:jc w:val="center"/>
                          <w:rPr>
                            <w:b/>
                            <w:bCs/>
                            <w:sz w:val="24"/>
                            <w:szCs w:val="24"/>
                          </w:rPr>
                        </w:pPr>
                        <w:r>
                          <w:rPr>
                            <w:b/>
                            <w:bCs/>
                            <w:sz w:val="24"/>
                            <w:szCs w:val="24"/>
                          </w:rPr>
                          <w:t>Abbildung/Zeichnung</w:t>
                        </w:r>
                      </w:p>
                      <w:p>
                        <w:pPr>
                          <w:spacing/>
                          <w:jc w:val="center"/>
                          <w:rPr>
                            <w:b/>
                            <w:bCs/>
                            <w:sz w:val="24"/>
                            <w:szCs w:val="24"/>
                          </w:rPr>
                        </w:pPr>
                        <w:r>
                          <w:rPr>
                            <w:b/>
                            <w:bCs/>
                            <w:sz w:val="24"/>
                            <w:szCs w:val="24"/>
                          </w:rPr>
                          <w:t>Muss noch erstellt werden</w:t>
                        </w:r>
                      </w:p>
                      <w:p>
                        <w:pPr>
                          <w:spacing/>
                          <w:jc w:val="center"/>
                          <w:rPr>
                            <w:b/>
                            <w:bCs/>
                            <w:sz w:val="24"/>
                            <w:szCs w:val="24"/>
                          </w:rPr>
                        </w:pPr>
                        <w:r>
                          <w:rPr>
                            <w:b/>
                            <w:bCs/>
                            <w:sz w:val="24"/>
                            <w:szCs w:val="24"/>
                          </w:rPr>
                        </w:r>
                      </w:p>
                      <w:p>
                        <w:pPr>
                          <w:spacing/>
                          <w:jc w:val="center"/>
                          <w:rPr>
                            <w:b/>
                            <w:bCs/>
                            <w:sz w:val="24"/>
                            <w:szCs w:val="24"/>
                          </w:rPr>
                        </w:pPr>
                        <w:r>
                          <w:rPr>
                            <w:b/>
                            <w:bCs/>
                            <w:sz w:val="24"/>
                            <w:szCs w:val="24"/>
                          </w:rPr>
                          <w:t>MYCLOUD\M\Manuskripte\Arbeiten-an-Bestecken\Abbildungen\</w:t>
                        </w:r>
                      </w:p>
                      <w:p>
                        <w:pPr>
                          <w:spacing/>
                          <w:jc w:val="center"/>
                          <w:rPr>
                            <w:b/>
                            <w:bCs/>
                            <w:sz w:val="24"/>
                            <w:szCs w:val="24"/>
                          </w:rPr>
                        </w:pPr>
                        <w:r>
                          <w:rPr>
                            <w:b/>
                            <w:bCs/>
                            <w:sz w:val="24"/>
                            <w:szCs w:val="24"/>
                          </w:rPr>
                          <w:t>125-Fuß-Schiff</w:t>
                        </w:r>
                      </w:p>
                    </w:txbxContent>
                  </v:textbox>
                </v:shape>
                <v:shape id="Textbox55" o:spid="_x0000_s1091" type="#_x0000_t202" style="position:absolute;left:569;top:15135;width:9636;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C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Abbildung </w:t>
                        </w:r>
                        <w:r>
                          <w:fldChar w:fldCharType="begin"/>
                          <w:instrText xml:space="preserve"> SEQ "Abbildung" \* Arabic </w:instrText>
                          <w:fldChar w:fldCharType="separate"/>
                          <w:t>25</w:t>
                          <w:fldChar w:fldCharType="end"/>
                        </w:r>
                        <w:r>
                          <w:t>: Übersichtszeichnung des 125-Fuß-Schiffes.</w:t>
                        </w:r>
                      </w:p>
                    </w:txbxContent>
                  </v:textbox>
                </v:shape>
                <w10:wrap type="square" anchorx="margin" anchory="margin"/>
              </v:group>
            </w:pict>
          </mc:Fallback>
        </mc:AlternateContent>
      </w:r>
      <w:r>
        <w:t>In Höhe von</w:t>
        <w:tab/>
        <w:tab/>
        <w:t>0 Fuß</w:t>
        <w:tab/>
        <w:t>6 Daumen</w:t>
        <w:tab/>
        <w:tab/>
        <w:t>23 Fuß</w:t>
        <w:tab/>
        <w:tab/>
        <w:t>0 Daumen weit.</w:t>
      </w:r>
    </w:p>
    <w:p>
      <w:pPr>
        <w:pStyle w:val="para4"/>
        <w:ind w:left="1416" w:firstLine="708"/>
      </w:pPr>
      <w:r>
        <w:t>4 Fuß</w:t>
        <w:tab/>
        <w:t>9 3/4 Daumen</w:t>
        <w:tab/>
        <w:tab/>
        <w:t>31 Fuß</w:t>
        <w:tab/>
        <w:tab/>
        <w:t>4 Daumen weit.</w:t>
      </w:r>
    </w:p>
    <w:p>
      <w:pPr>
        <w:pStyle w:val="para4"/>
        <w:ind w:left="1416" w:firstLine="708"/>
      </w:pPr>
      <w:r>
        <w:t>14 Fuß</w:t>
        <w:tab/>
        <w:t>0 Daumen</w:t>
        <w:tab/>
        <w:tab/>
        <w:t>33 Fuß</w:t>
        <w:tab/>
        <w:tab/>
        <w:t>0 Daumen weit.</w:t>
      </w:r>
    </w:p>
    <w:p>
      <w:pPr>
        <w:pStyle w:val="para4"/>
      </w:pPr>
      <w:r>
        <w:rPr>
          <w:b/>
          <w:bCs/>
        </w:rPr>
        <w:t>Auf Spant N° 8</w:t>
      </w:r>
      <w:r/>
    </w:p>
    <w:p>
      <w:pPr>
        <w:pStyle w:val="para4"/>
      </w:pPr>
      <w:r>
        <w:t>In Höhe von</w:t>
        <w:tab/>
        <w:tab/>
        <w:t>4 Fuß</w:t>
        <w:tab/>
        <w:t>5 Daumen</w:t>
        <w:tab/>
        <w:tab/>
        <w:t>18 Fuß</w:t>
        <w:tab/>
        <w:tab/>
        <w:t>0 Daumen weit.</w:t>
      </w:r>
    </w:p>
    <w:p>
      <w:pPr>
        <w:pStyle w:val="para4"/>
        <w:ind w:left="1416" w:firstLine="708"/>
      </w:pPr>
      <w:r>
        <w:rPr>
          <w:noProof/>
        </w:rPr>
        <mc:AlternateContent>
          <mc:Choice Requires="wpg">
            <w:drawing>
              <wp:anchor distT="144145" distB="179705" distL="89535" distR="89535" simplePos="0" relativeHeight="251658325" behindDoc="0" locked="0" layoutInCell="0" hidden="0" allowOverlap="1">
                <wp:simplePos x="0" y="0"/>
                <wp:positionH relativeFrom="margin">
                  <wp:align>left</wp:align>
                </wp:positionH>
                <wp:positionV relativeFrom="paragraph">
                  <wp:posOffset>629920</wp:posOffset>
                </wp:positionV>
                <wp:extent cx="6120130" cy="863600"/>
                <wp:effectExtent l="0" t="0" r="0" b="0"/>
                <wp:wrapSquare wrapText="bothSides"/>
                <wp:docPr id="85" name="Gruppe30"/>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B7AgAAAKIAACAAAAAAAAAAAQAAAAEAAAAAAAAAAAAAAAIAAADgAwAApiUAAFAFAAA7AAAANwIAABYqAAAoAAAACAAAAAEAAAABAAAA"/>
                          </a:ext>
                        </a:extLst>
                      </wpg:cNvGrpSpPr>
                      <wpg:grpSpPr>
                        <a:xfrm>
                          <a:off x="0" y="0"/>
                          <a:ext cx="6120130" cy="863600"/>
                          <a:chOff x="0" y="0"/>
                          <a:chExt cx="6120130" cy="863600"/>
                        </a:xfrm>
                      </wpg:grpSpPr>
                      <wps:wsp>
                        <wps:cNvPr id="86" name="Textbox 62"/>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BAQAAAAAAAA3AgAAFioAACgAAAAIAAAAAQAAAAIAAAAwAAAAFAAAAAAAAAAAAP//AAABAAAA//8AAAEA"/>
                            </a:ext>
                          </a:extLst>
                        </wps:cNvSpPr>
                        <wps:spPr>
                          <a:xfrm>
                            <a:off x="0" y="0"/>
                            <a:ext cx="6120130" cy="652780"/>
                          </a:xfrm>
                          <a:prstGeom prst="rect">
                            <a:avLst/>
                          </a:prstGeom>
                          <a:noFill/>
                          <a:ln w="12700">
                            <a:noFill/>
                          </a:ln>
                        </wps:spPr>
                        <wps:txbx>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Segel-130-145.Pmdx</w:t>
                              </w:r>
                            </w:p>
                          </w:txbxContent>
                        </wps:txbx>
                        <wps:bodyPr spcFirstLastPara="1" vertOverflow="clip" horzOverflow="clip" upright="1">
                          <a:prstTxWarp prst="textNoShape">
                            <a:avLst/>
                          </a:prstTxWarp>
                          <a:spAutoFit/>
                        </wps:bodyPr>
                      </wps:wsp>
                      <wps:wsp>
                        <wps:cNvPr id="87" name="Textbox 63"/>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A3AgAAGi4AACgAAAAIAAAAAQAAAAIAAAAwAAAAFAAAAAAAAAAAAP//AAABAAAA//8AAAEA"/>
                            </a:ext>
                          </a:extLst>
                        </wps:cNvSpPr>
                        <wps:spPr>
                          <a:xfrm>
                            <a:off x="0" y="652780"/>
                            <a:ext cx="6120130"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9</w:t>
                                <w:fldChar w:fldCharType="end"/>
                              </w:r>
                              <w:r>
                                <w:t>: Die Segelabmessungen der Schiffsgrößen 130 und 145 Fuß.</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argin-top:49.60pt;mso-position-horizontal-relative:margin;width:481.90pt;height:68.00pt;z-index:251658325;mso-wrap-distance-left:7.05pt;mso-wrap-distance-top:11.35pt;mso-wrap-distance-right:7.05pt;mso-wrap-distance-bottom:14.15pt" coordorigin="567,10774" coordsize="9638,1360">
                <v:shape id="Textbox 62" o:spid="_x0000_s1092" type="#_x0000_t202" style="position:absolute;left:567;top:10774;width:9638;height:1028"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Segel-130-145.Pmdx</w:t>
                        </w:r>
                      </w:p>
                    </w:txbxContent>
                  </v:textbox>
                </v:shape>
                <v:shape id="Textbox 63" o:spid="_x0000_s1093" type="#_x0000_t202" style="position:absolute;left:567;top:11802;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9</w:t>
                          <w:fldChar w:fldCharType="end"/>
                        </w:r>
                        <w:r>
                          <w:t>: Die Segelabmessungen der Schiffsgrößen 130 und 145 Fuß.</w:t>
                        </w:r>
                      </w:p>
                    </w:txbxContent>
                  </v:textbox>
                </v:shape>
                <w10:wrap type="square" anchorx="margin" anchory="text"/>
              </v:group>
            </w:pict>
          </mc:Fallback>
        </mc:AlternateContent>
      </w:r>
      <w:r>
        <w:t>8 Fuß</w:t>
        <w:tab/>
        <w:t>6 1/4 Daumen</w:t>
        <w:tab/>
        <w:tab/>
        <w:t>26 Fuß</w:t>
        <w:tab/>
        <w:tab/>
        <w:t>0 Daumen weit.</w:t>
      </w:r>
    </w:p>
    <w:p>
      <w:pPr>
        <w:pStyle w:val="para4"/>
        <w:ind w:left="1416" w:firstLine="708"/>
      </w:pPr>
      <w:r>
        <w:t>17 Fuß</w:t>
        <w:tab/>
        <w:t>1 Daumen</w:t>
        <w:tab/>
        <w:tab/>
        <w:t>30 Fuß</w:t>
        <w:tab/>
        <w:tab/>
        <w:t>0 Daumen weit.</w:t>
      </w:r>
    </w:p>
    <w:p>
      <w:pPr>
        <w:pStyle w:val="para4"/>
        <w:spacing w:after="20"/>
        <w:rPr>
          <w:rFonts w:ascii="Comic Sans MS" w:hAnsi="Comic Sans MS" w:eastAsia="Comic Sans MS" w:cs="Comic Sans MS"/>
        </w:rPr>
      </w:pPr>
      <w:r>
        <w:rPr>
          <w:rFonts w:ascii="Comic Sans MS" w:hAnsi="Comic Sans MS" w:eastAsia="Comic Sans MS" w:cs="Comic Sans MS"/>
        </w:rPr>
      </w:r>
    </w:p>
    <w:p>
      <w:pPr>
        <w:pStyle w:val="para4"/>
      </w:pPr>
      <w:r>
        <w:t>Die Höhe des zweiten Decks oben wurde an Bord mit einer Höhe von</w:t>
        <w:tab/>
        <w:t>6 Fuß</w:t>
        <w:tab/>
        <w:t>0 Daumen gemessen. Dieses erfolgte bei der großen Luke.</w:t>
      </w:r>
    </w:p>
    <w:p>
      <w:pPr>
        <w:pStyle w:val="para4"/>
      </w:pPr>
      <w:r>
        <w:t>Die Hütte vorne hoch</w:t>
        <w:tab/>
        <w:tab/>
        <w:tab/>
        <w:tab/>
        <w:tab/>
        <w:tab/>
        <w:tab/>
        <w:t>5 1/2 Fuß.</w:t>
      </w:r>
    </w:p>
    <w:p>
      <w:pPr>
        <w:pStyle w:val="para4"/>
      </w:pPr>
      <w:r>
        <w:t>Das Sonnendeck vor dem Besanmast bis an die Großwanten hoch</w:t>
        <w:tab/>
        <w:tab/>
        <w:t>6 Fuß</w:t>
        <w:tab/>
        <w:t>0 Daumen.</w:t>
      </w:r>
    </w:p>
    <w:p>
      <w:pPr>
        <w:pStyle w:val="para2"/>
      </w:pPr>
      <w:bookmarkStart w:id="410" w:name="_TOC000258"/>
      <w:r/>
      <w:bookmarkStart w:id="411" w:name="_TOC000236"/>
      <w:r/>
      <w:bookmarkStart w:id="412" w:name="_TOC000202"/>
      <w:r/>
      <w:bookmarkStart w:id="413" w:name="_TOC000159"/>
      <w:r/>
      <w:bookmarkStart w:id="414" w:name="_TOC000117"/>
      <w:r>
        <w:t>Die geänderten Maße der Masten bzw. Rundhölzer</w:t>
      </w:r>
      <w:bookmarkEnd w:id="414"/>
      <w:r/>
      <w:bookmarkEnd w:id="413"/>
      <w:r/>
      <w:bookmarkEnd w:id="412"/>
      <w:r/>
      <w:bookmarkEnd w:id="411"/>
      <w:r/>
      <w:bookmarkEnd w:id="410"/>
      <w:r>
        <w:t>; OIC</w:t>
      </w:r>
    </w:p>
    <w:p>
      <w:r/>
    </w:p>
    <w:p>
      <w:pPr>
        <w:pStyle w:val="para4"/>
      </w:pPr>
      <w:r>
        <w:t>Die Segel wurden den Rahen angepasst. Vorbild sollte das 135-Fuß-Schiff sein. Das laufende und stehende Gut wurde ebenfalls weitgehend übernommen.</w:t>
      </w:r>
    </w:p>
    <w:p>
      <w:pPr>
        <w:pStyle w:val="para4"/>
      </w:pPr>
      <w:r>
        <w:t>Einzig die Wanten vom Groß- und Fockmast</w:t>
        <w:tab/>
        <w:tab/>
        <w:tab/>
        <w:t>6 Daumen</w:t>
      </w:r>
    </w:p>
    <w:p>
      <w:pPr>
        <w:pStyle w:val="para4"/>
      </w:pPr>
      <w:r>
        <w:t>Das große Stag</w:t>
        <w:tab/>
        <w:tab/>
        <w:tab/>
        <w:tab/>
        <w:tab/>
        <w:tab/>
        <w:t>12 Daumen</w:t>
      </w:r>
    </w:p>
    <w:p>
      <w:pPr>
        <w:pStyle w:val="para4"/>
      </w:pPr>
      <w:r>
        <w:t>Das Fockstag</w:t>
        <w:tab/>
        <w:tab/>
        <w:tab/>
        <w:tab/>
        <w:tab/>
        <w:tab/>
        <w:t>10 Daumen</w:t>
      </w:r>
    </w:p>
    <w:p>
      <w:pPr>
        <w:pStyle w:val="para4"/>
      </w:pPr>
      <w:r>
        <w:t>Die Wanten für den Besanmast und der großen Stenge</w:t>
        <w:tab/>
        <w:t>4 Daumen</w:t>
      </w:r>
    </w:p>
    <w:p>
      <w:pPr>
        <w:pStyle w:val="para4"/>
      </w:pPr>
      <w:r>
        <w:t>Die Wanten der Vorstenge</w:t>
        <w:tab/>
        <w:tab/>
        <w:tab/>
        <w:tab/>
        <w:tab/>
        <w:t>3 1/2 Daumen</w:t>
      </w:r>
    </w:p>
    <w:p>
      <w:pPr>
        <w:pStyle w:val="para4"/>
      </w:pPr>
      <w:r>
        <w:t>Die Anker sollten einheitlich 2000 Pfund betragen, die schweren Taue 14 Daumen, 125 Vadem.</w:t>
      </w:r>
    </w:p>
    <w:p>
      <w:r>
        <w:rPr>
          <w:noProof/>
        </w:rPr>
        <mc:AlternateContent>
          <mc:Choice Requires="wpg">
            <w:drawing>
              <wp:anchor distT="144145" distB="179705" distL="89535" distR="89535" simplePos="0" relativeHeight="251658334" behindDoc="0" locked="0" layoutInCell="0" hidden="0" allowOverlap="1">
                <wp:simplePos x="0" y="0"/>
                <wp:positionH relativeFrom="margin">
                  <wp:posOffset>18415</wp:posOffset>
                </wp:positionH>
                <wp:positionV relativeFrom="margin">
                  <wp:align>bottom</wp:align>
                  <wp:posOffset2>1916430</wp:posOffset2>
                </wp:positionV>
                <wp:extent cx="6120130" cy="863600"/>
                <wp:effectExtent l="0" t="0" r="0" b="0"/>
                <wp:wrapSquare wrapText="bothSides"/>
                <wp:docPr id="94" name="Gruppe33"/>
                <wp:cNvGraphicFramePr/>
                <a:graphic xmlns:a="http://schemas.openxmlformats.org/drawingml/2006/main">
                  <a:graphicData uri="http://schemas.microsoft.com/office/word/2010/wordprocessingGroup">
                    <wpg:wgp>
                      <wpg:cNvGrpSpPr>
                        <a:codePr string="" type="32" text="0"/>
                        <a:extLst>
                          <a:ext uri="smNativeData">
                            <sm:smNativeData xmlns:sm="smNativeData" val="SMDATA_5_tp7GZBMAAAAlAAAAAQAAAA0BAAAAkAAAAEgAAACQAAAASAAAAAAAAAAAAAAAAAAAABcAAAAUAAAAAAAAAAAAAAD/fwAA/38AAAACAAAJAAAABAAAAAAAAAAhAAAAQAAAADwAAACKAgAAAKIAACAAAAAAAAAAAAAAAAEAAAAdAAAAAwAAAAEAAADKCwAApiUAAFAFAAA8AAAAwgYAAD8sAAAoAAAACAAAAAEAAAABAAAA"/>
                          </a:ext>
                        </a:extLst>
                      </wpg:cNvGrpSpPr>
                      <wpg:grpSpPr>
                        <a:xfrm>
                          <a:off x="0" y="0"/>
                          <a:ext cx="6120130" cy="863600"/>
                          <a:chOff x="0" y="0"/>
                          <a:chExt cx="6120130" cy="863600"/>
                        </a:xfrm>
                      </wpg:grpSpPr>
                      <wps:wsp>
                        <wps:cNvPr id="95" name="Textbox52"/>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BAQAAAAAAADCBgAAPywAACgAAAAIAAAAAQAAAAIAAAAwAAAAFAAAAAAAAAAAAP//AAABAAAA//8AAAEA"/>
                            </a:ext>
                          </a:extLst>
                        </wps:cNvSpPr>
                        <wps:spPr>
                          <a:xfrm>
                            <a:off x="0" y="0"/>
                            <a:ext cx="6120130" cy="652780"/>
                          </a:xfrm>
                          <a:prstGeom prst="rect">
                            <a:avLst/>
                          </a:prstGeom>
                          <a:noFill/>
                          <a:ln w="12700">
                            <a:noFill/>
                          </a:ln>
                        </wps:spPr>
                        <wps:txbx>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Rundhölzer-125-Fuß-Schiff.Pmdx</w:t>
                              </w:r>
                            </w:p>
                          </w:txbxContent>
                        </wps:txbx>
                        <wps:bodyPr spcFirstLastPara="1" vertOverflow="clip" horzOverflow="clip" upright="1">
                          <a:prstTxWarp prst="textNoShape">
                            <a:avLst/>
                          </a:prstTxWarp>
                          <a:spAutoFit/>
                        </wps:bodyPr>
                      </wps:wsp>
                      <wps:wsp>
                        <wps:cNvPr id="96" name="Textbox53"/>
                        <wps:cNvSpPr txBox="1">
                          <a:codePr string="" type="959652413" text="1"/>
                          <a:extLst>
                            <a:ext uri="smNativeData">
                              <sm:smNativeData xmlns:sm="smNativeData" val="SMDATA_15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TAEAAAAAAADCBgAAQzAAACgAAAAIAAAAAQAAAAIAAAAwAAAAFAAAAAAAAAAAAP//AAABAAAA//8AAAEA"/>
                            </a:ext>
                          </a:extLst>
                        </wps:cNvSpPr>
                        <wps:spPr>
                          <a:xfrm>
                            <a:off x="0" y="652780"/>
                            <a:ext cx="6120130" cy="210820"/>
                          </a:xfrm>
                          <a:prstGeom prst="rect">
                            <a:avLst/>
                          </a:prstGeom>
                          <a:noFill/>
                          <a:ln w="12700">
                            <a:noFill/>
                          </a:ln>
                        </wps:spPr>
                        <wps:txbx>
                          <w:txbxContent>
                            <w:p>
                              <w:pPr>
                                <w:pStyle w:val="para18"/>
                              </w:pPr>
                              <w:r>
                                <w:t xml:space="preserve">Tabelle </w:t>
                              </w:r>
                              <w:r>
                                <w:fldChar w:fldCharType="begin"/>
                                <w:instrText xml:space="preserve"> SEQ "Tabelle" \* Arabic </w:instrText>
                                <w:fldChar w:fldCharType="separate"/>
                                <w:t>10</w:t>
                                <w:fldChar w:fldCharType="end"/>
                              </w:r>
                              <w:r>
                                <w:t>: Die Rundholzabmessungen der Schiffsgröße 125 Fuß.</w:t>
                              </w:r>
                            </w:p>
                          </w:txbxContent>
                        </wps:txbx>
                        <wps:bodyPr spcFirstLastPara="1" vertOverflow="clip" horzOverflow="clip" upright="1">
                          <a:prstTxWarp prst="textNoShape">
                            <a:avLst/>
                          </a:prstTxWarp>
                          <a:spAutoFit/>
                        </wps:bodyPr>
                      </wps:wsp>
                    </wpg:wgp>
                  </a:graphicData>
                </a:graphic>
              </wp:anchor>
            </w:drawing>
          </mc:Choice>
          <mc:Fallback>
            <w:pict>
              <v:group style="position:absolute;margin-left:1.45pt;mso-position-vertical:bottom;mso-position-horizontal-relative:margin;mso-position-vertical-relative:margin;width:481.90pt;height:68.00pt;z-index:251658334;mso-wrap-distance-left:7.05pt;mso-wrap-distance-top:11.35pt;mso-wrap-distance-right:7.05pt;mso-wrap-distance-bottom:14.15pt" coordorigin="1730,11327" coordsize="9638,1360">
                <v:shape id="Textbox52" o:spid="_x0000_s1094" type="#_x0000_t202" style="position:absolute;left:1730;top:11327;width:9638;height:1028" stroked="f" filled="f" v:ext="SMDATA_14_tp7GZBMAAAAlAAAAEgAAAA0BAAAAkAAAAEgAAACQAAAASAAAAAAAAAAAAAAAAAAAAAEAAABQAAAAAAAAAAAA4D8AAAAAAADgPwAAAAAAAOA/AAAAAAAA4D8AAAAAAADgPwAAAAAAAOA/AAAAAAAA4D8AAAAAAADgPwAAAAAAAOA/AAAAAAAA4D8CAAAAjAAAAAAAAAAAAAAA////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QE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spacing/>
                          <w:jc w:val="center"/>
                          <w:rPr>
                            <w:b/>
                            <w:bCs/>
                            <w:sz w:val="24"/>
                            <w:szCs w:val="24"/>
                          </w:rPr>
                        </w:pPr>
                        <w:r>
                          <w:rPr>
                            <w:b/>
                            <w:bCs/>
                            <w:sz w:val="24"/>
                            <w:szCs w:val="24"/>
                          </w:rPr>
                          <w:t>Tabelle</w:t>
                        </w:r>
                      </w:p>
                      <w:p>
                        <w:pPr>
                          <w:spacing/>
                          <w:jc w:val="center"/>
                          <w:rPr>
                            <w:b/>
                            <w:bCs/>
                            <w:sz w:val="24"/>
                            <w:szCs w:val="24"/>
                          </w:rPr>
                        </w:pPr>
                        <w:r>
                          <w:rPr>
                            <w:b/>
                            <w:bCs/>
                            <w:sz w:val="24"/>
                            <w:szCs w:val="24"/>
                          </w:rPr>
                          <w:t>MYCLOUD\M\Manuskripte\Arbeiten-an-Bestecken\Tabellen\???????</w:t>
                        </w:r>
                      </w:p>
                      <w:p>
                        <w:pPr>
                          <w:spacing/>
                          <w:jc w:val="center"/>
                          <w:rPr>
                            <w:b/>
                            <w:bCs/>
                            <w:sz w:val="24"/>
                            <w:szCs w:val="24"/>
                          </w:rPr>
                        </w:pPr>
                        <w:r>
                          <w:rPr>
                            <w:b/>
                            <w:bCs/>
                            <w:sz w:val="24"/>
                            <w:szCs w:val="24"/>
                          </w:rPr>
                          <w:t>Rundhölzer-125-Fuß-Schiff.Pmdx</w:t>
                        </w:r>
                      </w:p>
                    </w:txbxContent>
                  </v:textbox>
                </v:shape>
                <v:shape id="Textbox53" o:spid="_x0000_s1095" type="#_x0000_t202" style="position:absolute;left:1730;top:12355;width:9638;height:332" stroked="f" filled="f" v:ext="SMDATA_14_tp7GZ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z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8"/>
                        </w:pPr>
                        <w:r>
                          <w:t xml:space="preserve">Tabelle </w:t>
                        </w:r>
                        <w:r>
                          <w:fldChar w:fldCharType="begin"/>
                          <w:instrText xml:space="preserve"> SEQ "Tabelle" \* Arabic </w:instrText>
                          <w:fldChar w:fldCharType="separate"/>
                          <w:t>10</w:t>
                          <w:fldChar w:fldCharType="end"/>
                        </w:r>
                        <w:r>
                          <w:t>: Die Rundholzabmessungen der Schiffsgröße 125 Fuß.</w:t>
                        </w:r>
                      </w:p>
                    </w:txbxContent>
                  </v:textbox>
                </v:shape>
                <w10:wrap type="square" anchorx="margin" anchory="margin"/>
              </v:group>
            </w:pict>
          </mc:Fallback>
        </mc:AlternateContent>
      </w:r>
      <w:r/>
    </w:p>
    <w:p>
      <w:pPr>
        <w:pStyle w:val="para1"/>
      </w:pPr>
      <w:r>
        <w:br w:type="page"/>
      </w:r>
      <w:bookmarkStart w:id="415" w:name="_TOC000065"/>
      <w:r/>
      <w:bookmarkEnd w:id="415"/>
      <w:r>
        <w:t>Literaturverzeichnis</w:t>
      </w:r>
    </w:p>
    <w:p>
      <w:pPr>
        <w:pStyle w:val="para14"/>
      </w:pPr>
      <w:r>
        <w:fldChar w:fldCharType="begin"/>
      </w:r>
      <w:r>
        <w:instrText xml:space="preserve"> TMBIBLIOGRAPHYTABLE </w:instrText>
      </w:r>
      <w:r>
        <w:fldChar w:fldCharType="separate"/>
      </w:r>
      <w:r>
        <w:rPr>
          <w:sz w:val="20"/>
        </w:rPr>
        <w:t>Allard Carel: Nieuwe hollandse Scheeps-bouw, Waar in vertoont word een vollmaakt Schip: Met alle des zelfs uiterlyke deelen, Met een verklaaring der naamen van dien; als mede van alle de Touwen, Zylen etc.: Carel Allard: Amsterdam: 1695</w:t>
      </w:r>
    </w:p>
    <w:p>
      <w:pPr>
        <w:pStyle w:val="para14"/>
      </w:pPr>
      <w:r>
        <w:rPr>
          <w:sz w:val="20"/>
        </w:rPr>
        <w:t>Bijl Mz., A.: De Nederlandse Convooidienst 1300-1800: De maritieme bescherming van koopvaardij en zeevisserij tegen piraten en oorlogsgevaar in het verleden: Martinus Nijhoff: 'S Gravenhage: 1951</w:t>
      </w:r>
    </w:p>
    <w:p>
      <w:pPr>
        <w:pStyle w:val="para14"/>
      </w:pPr>
      <w:r>
        <w:rPr>
          <w:sz w:val="20"/>
        </w:rPr>
        <w:t>Boven, Craddy; Hoving, Ab: Scheepskamelen &amp; Waterschepen: 'Eene ellendige talmerij, doch lofflijk middel': Walburg Pers: Zutphen: 2009</w:t>
      </w:r>
    </w:p>
    <w:p>
      <w:pPr>
        <w:pStyle w:val="para14"/>
      </w:pPr>
      <w:r>
        <w:rPr>
          <w:sz w:val="20"/>
        </w:rPr>
        <w:t>Bruijn, Jaap R.: Varend verleden: de nederlandse oorlogsvloot in de zeventiende en achtiende eeuw: Uitgeverij Balans: Meppel: 1998</w:t>
      </w:r>
    </w:p>
    <w:p>
      <w:pPr>
        <w:pStyle w:val="para14"/>
      </w:pPr>
      <w:r>
        <w:rPr>
          <w:sz w:val="20"/>
        </w:rPr>
        <w:t>Bruns, Werner: Sovereign of the Seas: Versuch einer Annäherung: WeyersDruck GmbH: Brilon: 2008</w:t>
      </w:r>
    </w:p>
    <w:p>
      <w:pPr>
        <w:pStyle w:val="para14"/>
      </w:pPr>
      <w:r>
        <w:rPr>
          <w:sz w:val="20"/>
        </w:rPr>
        <w:t>Cederlund, Carl Olof; Hocker Fred: Vasa I: The Archaeology of a Schwedish Warship of 1628: National Maritime Museum of Sweden: Schweden: 2006</w:t>
      </w:r>
    </w:p>
    <w:p>
      <w:pPr>
        <w:pStyle w:val="para14"/>
      </w:pPr>
      <w:r>
        <w:rPr>
          <w:sz w:val="20"/>
        </w:rPr>
        <w:t>Chapman, Frederik Hendrik af: Architectura Navalis Mercatoria: -: VEB Hinstorff Verlag: Rostock: 1768</w:t>
      </w:r>
    </w:p>
    <w:p>
      <w:pPr>
        <w:pStyle w:val="para14"/>
      </w:pPr>
      <w:r>
        <w:rPr>
          <w:sz w:val="20"/>
        </w:rPr>
        <w:t>Crone, G.C.E: Onze schepen in de Gouden eeuw: -: P.N. van Kampen &amp; Zoon N.V.: Amsterdam: 1939</w:t>
      </w:r>
    </w:p>
    <w:p>
      <w:pPr>
        <w:pStyle w:val="para14"/>
      </w:pPr>
      <w:r>
        <w:rPr>
          <w:sz w:val="20"/>
        </w:rPr>
        <w:t>De Groot, Irene en Voorstman, Robert: Zeilschepen: Prenten van de Nederlandse meesters van de sestiende tot de negentiende eeuw: Cary Schwatz: Maarssen: 1980</w:t>
      </w:r>
    </w:p>
    <w:p>
      <w:pPr>
        <w:pStyle w:val="para14"/>
      </w:pPr>
      <w:r>
        <w:rPr>
          <w:sz w:val="20"/>
        </w:rPr>
        <w:t>De Jong, Michiel: 'Staat van Oorlog': Wapenbedrijf en militaire hervorming in de Republiek der Verenigde Nederlanden, 1585-1621: Uitgeverij Verloren: Hilversum: 2005</w:t>
      </w:r>
    </w:p>
    <w:p>
      <w:pPr>
        <w:pStyle w:val="para14"/>
      </w:pPr>
      <w:r>
        <w:rPr>
          <w:sz w:val="20"/>
        </w:rPr>
        <w:t>Dr. Doedens, Anne: Witte de With 1599-1658: Wereldwijde strijd op zee in de Gouden Eeuw: Verloren: Hilversum: 2008</w:t>
      </w:r>
    </w:p>
    <w:p>
      <w:pPr>
        <w:pStyle w:val="para14"/>
      </w:pPr>
      <w:r>
        <w:rPr>
          <w:sz w:val="20"/>
        </w:rPr>
        <w:t>Dr. Elias, Johan E.: De Vlootbouw in Nederland: In de eerste helft der 17e eeuw 1596 - 1655: N.V. Noord-Hollandsche Uitgeversmaatschappij: Amsterdam: 1933</w:t>
      </w:r>
    </w:p>
    <w:p>
      <w:pPr>
        <w:pStyle w:val="para14"/>
      </w:pPr>
      <w:r>
        <w:rPr>
          <w:sz w:val="20"/>
        </w:rPr>
        <w:t>Heinsius, Paul: Das Schiff der hansischen Frühzeit: -: Böhlau Verlag: Köln, Wien: 1986</w:t>
      </w:r>
    </w:p>
    <w:p>
      <w:pPr>
        <w:pStyle w:val="para14"/>
      </w:pPr>
      <w:r>
        <w:rPr>
          <w:sz w:val="20"/>
        </w:rPr>
        <w:t>Hoving, Ab, Lemmers, A.A.: In tekening gebracht: De achttiende-eeuwse scheepsbouwers en hun ontwerpmethoden: De Bataafsche Leeuw: Amsterdam: 2001</w:t>
      </w:r>
    </w:p>
    <w:p>
      <w:pPr>
        <w:pStyle w:val="para14"/>
      </w:pPr>
      <w:r>
        <w:rPr>
          <w:sz w:val="20"/>
        </w:rPr>
        <w:t>Mander, Carel van: Das Leben der niederländischen und deutschen Maler (von 1400 bis ca. 1615): : Wernersche Verlagsgesellschaft: Worms: 1991</w:t>
      </w:r>
    </w:p>
    <w:p>
      <w:pPr>
        <w:pStyle w:val="para14"/>
      </w:pPr>
      <w:r>
        <w:rPr>
          <w:sz w:val="20"/>
        </w:rPr>
        <w:t>Nationaal Archief Den Haag: -: : -: Den Haag: -</w:t>
      </w:r>
    </w:p>
    <w:p>
      <w:pPr>
        <w:pStyle w:val="para14"/>
      </w:pPr>
      <w:r>
        <w:rPr>
          <w:sz w:val="20"/>
        </w:rPr>
        <w:t>Diverse: Oosthoek's Encyclopædie: : N.V. A. Oosthoek's uitgevers Maatschapij: Utrecht: 1947</w:t>
      </w:r>
    </w:p>
    <w:p>
      <w:pPr>
        <w:pStyle w:val="para14"/>
      </w:pPr>
      <w:r>
        <w:rPr>
          <w:sz w:val="20"/>
        </w:rPr>
        <w:t>Orlers J.J. &amp; Haestens H.v.: Den nassavschen Lauren-Crans: -: Van Hoeve: Amsterdam: 1610</w:t>
      </w:r>
    </w:p>
    <w:p>
      <w:pPr>
        <w:pStyle w:val="para14"/>
      </w:pPr>
      <w:r>
        <w:rPr>
          <w:sz w:val="20"/>
        </w:rPr>
        <w:t>Rålamb, ake Classon: Skeps Byggerij: eller Adelig Öfnings Tionde Tom: -: Stockholm: 1691</w:t>
      </w:r>
    </w:p>
    <w:p>
      <w:pPr>
        <w:pStyle w:val="para14"/>
      </w:pPr>
      <w:r>
        <w:rPr>
          <w:sz w:val="20"/>
        </w:rPr>
        <w:t>Dip.-Ing. Senner, Adolf: Fachkunde für Schreiner: : Verlag Willing &amp; Co., Wuppertal-Barmen: Wuppertal: 1963</w:t>
      </w:r>
    </w:p>
    <w:p>
      <w:pPr>
        <w:pStyle w:val="para14"/>
      </w:pPr>
      <w:r>
        <w:rPr>
          <w:sz w:val="20"/>
        </w:rPr>
        <w:t>Sigmond, J.P.: Zeemacht: in Holland en Zeeland in de zestiende eeuw: Verloren: Hilversum: 2013</w:t>
      </w:r>
    </w:p>
    <w:p>
      <w:pPr>
        <w:pStyle w:val="para14"/>
      </w:pPr>
      <w:r>
        <w:rPr>
          <w:sz w:val="20"/>
        </w:rPr>
        <w:t>Sleeswyk, Andr‚ Wegener: De Gouden Eeuw van: Het Fluitschip: Uitgeverij Van Wijnen: Franeker: 2003</w:t>
      </w:r>
    </w:p>
    <w:p>
      <w:pPr>
        <w:pStyle w:val="para14"/>
      </w:pPr>
      <w:r>
        <w:rPr>
          <w:sz w:val="20"/>
        </w:rPr>
        <w:t>Udemans, Willem Junior: Korte Verhandeling van den nederlandschen Scheepsbouw: zo in theorie, als in praktyk, meetkunstig vertoont.: Pieter Gillissen, Isaak Triion: Middelburg, Amsterdam: 1757</w:t>
      </w:r>
    </w:p>
    <w:p>
      <w:pPr>
        <w:pStyle w:val="para14"/>
      </w:pPr>
      <w:r>
        <w:rPr>
          <w:sz w:val="20"/>
        </w:rPr>
        <w:t xml:space="preserve">Ulrich Werner: Vroege oorlodsscheepsbouw in de Republiek, 2017: : : : </w:t>
      </w:r>
    </w:p>
    <w:p>
      <w:pPr>
        <w:pStyle w:val="para14"/>
      </w:pPr>
      <w:r>
        <w:rPr>
          <w:sz w:val="20"/>
        </w:rPr>
        <w:t xml:space="preserve">Ulrich, Werner: Frühe Konstruktionswerkzeuge, 2018; nicht veröffentlicht.: : : : </w:t>
      </w:r>
    </w:p>
    <w:p>
      <w:pPr>
        <w:pStyle w:val="para14"/>
      </w:pPr>
      <w:r>
        <w:rPr>
          <w:sz w:val="20"/>
        </w:rPr>
        <w:t xml:space="preserve">Ulrich Werner: Der portugiesische Schiffbau im 16. Jahrhundert, 2019; nicht veröffentlicht.: : : : </w:t>
      </w:r>
    </w:p>
    <w:p>
      <w:pPr>
        <w:pStyle w:val="para14"/>
      </w:pPr>
      <w:r>
        <w:rPr>
          <w:sz w:val="20"/>
        </w:rPr>
        <w:t xml:space="preserve">Ulrich, Werner: Konstruktions - Anweisung von 1703, 2020: : : : </w:t>
      </w:r>
    </w:p>
    <w:p>
      <w:pPr>
        <w:pStyle w:val="para14"/>
      </w:pPr>
      <w:r>
        <w:rPr>
          <w:sz w:val="20"/>
        </w:rPr>
        <w:t xml:space="preserve">Ulrich Werner: Versuch einer Annäherung an ein venezianisches Entwurfssystem aus dem 16. Jahrhundert, 2018; nicht veröffentlicht.: : : : </w:t>
      </w:r>
    </w:p>
    <w:p>
      <w:pPr>
        <w:pStyle w:val="para14"/>
      </w:pPr>
      <w:r>
        <w:rPr>
          <w:sz w:val="20"/>
        </w:rPr>
        <w:t>Drs. Den Boon, C.A.: Van Dale: Groot Woordenboek der Nederlandse Taal: Van Dale Lexicografie: Utrecht, Antwerpen: 1992</w:t>
      </w:r>
    </w:p>
    <w:p>
      <w:pPr>
        <w:pStyle w:val="para14"/>
      </w:pPr>
      <w:r>
        <w:rPr>
          <w:sz w:val="20"/>
        </w:rPr>
        <w:t>Van Dam, Pieter: Beschrijvinge van de Oostindische Compagnie 1639-1701: Deel 1.1, GS 63: : Amsterdam: 1701</w:t>
      </w:r>
    </w:p>
    <w:p>
      <w:pPr>
        <w:pStyle w:val="para14"/>
      </w:pPr>
      <w:r>
        <w:rPr>
          <w:sz w:val="20"/>
        </w:rPr>
        <w:t>Van Yk, Cornelis: De Nederlandsche Scheeps-Bouw-Konst Open gestelt: Naar wat Regel, of Evenredenheyd, in Nederland meest alle Scheepen werden gebouwt; mitsgaders Masten, Zeylen, Ankers, en Touwen, enz. daar aan gepast: Andries Voorstad: Delft: 1697</w:t>
      </w:r>
    </w:p>
    <w:p>
      <w:pPr>
        <w:pStyle w:val="para14"/>
      </w:pPr>
      <w:r>
        <w:rPr>
          <w:sz w:val="20"/>
        </w:rPr>
        <w:t>Witsen, Nicolaes: Aeloude en hedendaegsche scheeps-bouw en bestier: Waer in wijtloopigh wert verhandelt, de wijze van Scheeps-timmeren, by Grieken en Romeyen: Scheeps-oeffeningen, Strijden, Tucht, Straffe, Wetten en gewoonten.: Casparrus Commelijn; Broer en Jan Appelaer, Boekverkopers: Amsterdam: 1671</w:t>
      </w:r>
    </w:p>
    <w:p>
      <w:pPr>
        <w:pStyle w:val="para14"/>
      </w:pPr>
      <w:r>
        <w:rPr>
          <w:sz w:val="20"/>
        </w:rPr>
        <w:t>Zandvliet, Kees: Maurits Prins van Oranje: : Wanders uitgevers: Zwolle: 2000</w:t>
      </w:r>
    </w:p>
    <w:p>
      <w:r>
        <w:fldChar w:fldCharType="end"/>
      </w:r>
      <w:r/>
    </w:p>
    <w:p>
      <w:pPr>
        <w:sectPr>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9"/>
          <w:footerReference w:type="default" r:id="rId10"/>
          <w:type w:val="continuous"/>
          <w:pgSz w:h="16839" w:w="11907"/>
          <w:pgMar w:left="1701" w:top="1134" w:right="567" w:bottom="1134" w:header="567" w:footer="567"/>
          <w:paperSrc w:first="0" w:other="0" a="0" b="0"/>
          <w:pgNumType w:fmt="decimal"/>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pPr>
    </w:p>
    <w:p>
      <w:pPr>
        <w:pStyle w:val="para15"/>
      </w:pPr>
      <w:r>
        <w:br w:type="page"/>
      </w:r>
      <w:r>
        <w:t>Stichwortverzeichnis</w:t>
      </w:r>
    </w:p>
    <w:p>
      <w:pPr>
        <w:pStyle w:val="para16"/>
      </w:pPr>
      <w:r>
        <w:fldChar w:fldCharType="begin"/>
      </w:r>
      <w:r>
        <w:instrText xml:space="preserve"> INDEX \e "	" \h "A" </w:instrText>
      </w:r>
      <w:r>
        <w:fldChar w:fldCharType="separate"/>
      </w:r>
      <w:r>
        <w:t>B</w:t>
      </w:r>
    </w:p>
    <w:p>
      <w:pPr>
        <w:pStyle w:val="para17"/>
      </w:pPr>
      <w:r>
        <w:t>Bauaufsicht</w:t>
        <w:tab/>
        <w:t>40</w:t>
      </w:r>
    </w:p>
    <w:p>
      <w:pPr>
        <w:pStyle w:val="para17"/>
      </w:pPr>
      <w:r>
        <w:t>Brederode</w:t>
        <w:tab/>
        <w:t>40, 41</w:t>
      </w:r>
    </w:p>
    <w:p>
      <w:pPr>
        <w:pStyle w:val="para16"/>
      </w:pPr>
      <w:r>
        <w:t>E</w:t>
      </w:r>
    </w:p>
    <w:p>
      <w:pPr>
        <w:pStyle w:val="para17"/>
      </w:pPr>
      <w:r>
        <w:t>Eendracht</w:t>
        <w:tab/>
        <w:t>25</w:t>
      </w:r>
    </w:p>
    <w:p>
      <w:pPr>
        <w:pStyle w:val="para16"/>
      </w:pPr>
      <w:r>
        <w:t>G</w:t>
      </w:r>
    </w:p>
    <w:p>
      <w:pPr>
        <w:pStyle w:val="para17"/>
      </w:pPr>
      <w:r>
        <w:t>Groot Holland</w:t>
        <w:tab/>
        <w:t>25</w:t>
      </w:r>
    </w:p>
    <w:p>
      <w:pPr>
        <w:pStyle w:val="para16"/>
      </w:pPr>
      <w:r>
        <w:t>H</w:t>
      </w:r>
    </w:p>
    <w:p>
      <w:pPr>
        <w:pStyle w:val="para17"/>
      </w:pPr>
      <w:r>
        <w:t>Hackeborde</w:t>
        <w:tab/>
        <w:t>24</w:t>
      </w:r>
    </w:p>
    <w:p>
      <w:pPr>
        <w:pStyle w:val="para17"/>
      </w:pPr>
      <w:r>
        <w:t>Hamburger Planken</w:t>
        <w:tab/>
        <w:t>40</w:t>
      </w:r>
    </w:p>
    <w:p>
      <w:pPr>
        <w:pStyle w:val="para16"/>
      </w:pPr>
      <w:r>
        <w:t>J</w:t>
      </w:r>
    </w:p>
    <w:p>
      <w:pPr>
        <w:pStyle w:val="para17"/>
      </w:pPr>
      <w:r>
        <w:t>Jan Salomon van der Tempel</w:t>
        <w:tab/>
        <w:t>40</w:t>
      </w:r>
    </w:p>
    <w:p>
      <w:pPr>
        <w:pStyle w:val="para16"/>
      </w:pPr>
      <w:r>
        <w:t>K</w:t>
      </w:r>
    </w:p>
    <w:p>
      <w:pPr>
        <w:pStyle w:val="para17"/>
      </w:pPr>
      <w:r>
        <w:t>Kuhbrücke</w:t>
        <w:tab/>
        <w:t>17</w:t>
      </w:r>
    </w:p>
    <w:p>
      <w:pPr>
        <w:pStyle w:val="para16"/>
      </w:pPr>
      <w:r>
        <w:t>S</w:t>
      </w:r>
    </w:p>
    <w:p>
      <w:pPr>
        <w:pStyle w:val="para17"/>
      </w:pPr>
      <w:r>
        <w:t>Smitsemer</w:t>
        <w:tab/>
        <w:t>40</w:t>
      </w:r>
    </w:p>
    <w:p>
      <w:pPr>
        <w:pStyle w:val="para16"/>
      </w:pPr>
      <w:r>
        <w:t>V</w:t>
      </w:r>
    </w:p>
    <w:p>
      <w:pPr>
        <w:pStyle w:val="para17"/>
      </w:pPr>
      <w:r>
        <w:t>Vasa</w:t>
        <w:tab/>
        <w:t>25</w:t>
      </w:r>
    </w:p>
    <w:p>
      <w:pPr>
        <w:pStyle w:val="para9"/>
      </w:pPr>
      <w:r>
        <w:fldChar w:fldCharType="end"/>
      </w:r>
      <w:r/>
    </w:p>
    <w:p>
      <w:r/>
    </w:p>
    <w:sectPr>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type w:val="continuous"/>
      <w:pgSz w:h="16839" w:w="11907"/>
      <w:pgMar w:left="1701" w:top="1134" w:right="567" w:bottom="1134"/>
      <w:paperSrc w:first="0" w:other="0" a="0" b="0"/>
      <w:pgNumType w:fmt="decimal"/>
      <w:cols w:num="2" w:equalWidth="1" w:space="340" w:sep="1">
        <w:columnSep w:val="single" w:sz="0" w:space="0" w:color="000000" tmln="1, 0, 0, 0, 0"/>
      </w:cols>
      <w:tmGutter w:val="1"/>
      <w:mirrorMargins w:val="1"/>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Calibri">
    <w:panose1 w:val="020F0502020204030204"/>
    <w:charset w:val="00"/>
    <w:family w:val="swiss"/>
    <w:pitch w:val="default"/>
  </w:font>
  <w:font w:name="Comic Sans MS">
    <w:panose1 w:val="030F0702030302020204"/>
    <w:charset w:val="00"/>
    <w:family w:val="script"/>
    <w:pitch w:val="default"/>
  </w:font>
  <w:font w:name="Lucida Sans Unicode">
    <w:panose1 w:val="020B0602030504020204"/>
    <w:charset w:val="00"/>
    <w:family w:val="swiss"/>
    <w:pitch w:val="default"/>
  </w:font>
  <w:font w:name="Tahoma">
    <w:panose1 w:val="020B060403050404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20"/>
      <w:spacing/>
      <w:jc w:val="center"/>
    </w:pPr>
    <w:r>
      <w:fldChar w:fldCharType="begin"/>
      <w:instrText xml:space="preserve"> PAGE </w:instrText>
      <w:fldChar w:fldCharType="separate"/>
      <w:t>7</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33">
    <w:p>
      <w:tmFrameSectPr/>
      <w:pPr>
        <w:pStyle w:val="para10"/>
      </w:pPr>
      <w:r>
        <w:rPr>
          <w:rStyle w:val="char1"/>
        </w:rPr>
      </w:r>
      <w:r>
        <w:rPr>
          <w:rStyle w:val="char1"/>
        </w:rPr>
        <w:footnoteRef/>
      </w:r>
      <w:r>
        <w:tab/>
        <w:t>Resol. Holland 22 Nov./ 31 Dec. 1600.</w:t>
      </w:r>
    </w:p>
  </w:footnote>
  <w:footnote w:id="34">
    <w:p>
      <w:tmFrameSectPr/>
      <w:pPr>
        <w:pStyle w:val="para10"/>
      </w:pPr>
      <w:r>
        <w:rPr>
          <w:rStyle w:val="char1"/>
        </w:rPr>
      </w:r>
      <w:r>
        <w:rPr>
          <w:rStyle w:val="char1"/>
        </w:rPr>
        <w:footnoteRef/>
      </w:r>
      <w:r>
        <w:tab/>
      </w:r>
      <w:r>
        <w:fldChar w:fldCharType="begin"/>
        <w:instrText xml:space="preserve"> TMBIBLIOGRAPHY «Elias 1933» </w:instrText>
        <w:fldChar w:fldCharType="separate"/>
        <w:t>[Elias 1933]</w:t>
        <w:fldChar w:fldCharType="end"/>
      </w:r>
      <w:r>
        <w:t xml:space="preserve">, Seite 18, </w:t>
      </w:r>
      <w:r>
        <w:rPr>
          <w:i/>
          <w:iCs/>
        </w:rPr>
        <w:t>“... Dus zijn wij te dien aanzien enckel op gissingen aangeweesen.“</w:t>
      </w:r>
      <w:r>
        <w:br w:type="textWrapping"/>
        <w:t>Fußnote 3;</w:t>
        <w:br w:type="textWrapping"/>
      </w:r>
      <w:r>
        <w:rPr>
          <w:i/>
          <w:iCs/>
          <w:lang w:val="nl-nl" w:eastAsia="nl-nl" w:bidi="nl-nl"/>
        </w:rPr>
        <w:t>“... Omtrent de afmetingen van de oorlogschepen van het type-1600 vond ik alleen opgegeven, dat van de 5 door de Admiraliteit van ’t Noorderkwartier als háár aandeel in dezen vlootbouw aanbestede eenheden er één 26 en drie 26 voet wijd moesten zijn. De lengte, waar het juist op aan komt, word niet vermeld.“</w:t>
      </w:r>
      <w:r/>
    </w:p>
  </w:footnote>
  <w:footnote w:id="35">
    <w:p>
      <w:tmFrameSectPr/>
      <w:pPr>
        <w:pStyle w:val="para10"/>
      </w:pPr>
      <w:r>
        <w:rPr>
          <w:rStyle w:val="char1"/>
        </w:rPr>
      </w:r>
      <w:r>
        <w:rPr>
          <w:rStyle w:val="char1"/>
        </w:rPr>
        <w:footnoteRef/>
      </w:r>
      <w:r>
        <w:tab/>
      </w:r>
      <w:r>
        <w:fldChar w:fldCharType="begin"/>
        <w:instrText xml:space="preserve"> TMBIBLIOGRAPHY «Elias 1933» </w:instrText>
        <w:fldChar w:fldCharType="separate"/>
        <w:t>[Elias 1933]</w:t>
        <w:fldChar w:fldCharType="end"/>
      </w:r>
      <w:r>
        <w:t>, Seite 18, Fußnote 4;</w:t>
        <w:br w:type="textWrapping"/>
      </w:r>
      <w:r>
        <w:rPr>
          <w:i/>
          <w:iCs/>
        </w:rPr>
        <w:t>„Lijste der Schepen van oorloge“ 11 Jan. 1621; Liassen Adm. R.A. St. G. 5469.</w:t>
      </w:r>
      <w:r/>
    </w:p>
  </w:footnote>
  <w:footnote w:id="36">
    <w:p>
      <w:tmFrameSectPr/>
      <w:pPr>
        <w:pStyle w:val="para10"/>
      </w:pPr>
      <w:r>
        <w:rPr>
          <w:rStyle w:val="char1"/>
        </w:rPr>
      </w:r>
      <w:r>
        <w:rPr>
          <w:rStyle w:val="char1"/>
        </w:rPr>
        <w:footnoteRef/>
      </w:r>
      <w:r>
        <w:tab/>
      </w:r>
      <w:r>
        <w:fldChar w:fldCharType="begin"/>
        <w:instrText xml:space="preserve"> TMBIBLIOGRAPHY «Elias 1933» </w:instrText>
        <w:fldChar w:fldCharType="separate"/>
        <w:t>[Elias 1933]</w:t>
        <w:fldChar w:fldCharType="end"/>
      </w:r>
      <w:r>
        <w:t>, Seite 18, Fußnote 6;</w:t>
        <w:br w:type="textWrapping"/>
        <w:t>Resol. St. Gen. 22 Okt. 1602.</w:t>
      </w:r>
    </w:p>
  </w:footnote>
  <w:footnote w:id="37">
    <w:p>
      <w:tmFrameSectPr/>
      <w:pPr>
        <w:pStyle w:val="para10"/>
      </w:pPr>
      <w:r>
        <w:rPr>
          <w:rStyle w:val="char1"/>
        </w:rPr>
      </w:r>
      <w:r>
        <w:rPr>
          <w:rStyle w:val="char1"/>
        </w:rPr>
        <w:footnoteRef/>
      </w:r>
      <w:r>
        <w:tab/>
      </w:r>
      <w:r>
        <w:fldChar w:fldCharType="begin"/>
        <w:instrText xml:space="preserve"> TMBIBLIOGRAPHY «Elias 1933» </w:instrText>
        <w:fldChar w:fldCharType="separate"/>
        <w:t>[Elias 1933]</w:t>
        <w:fldChar w:fldCharType="end"/>
      </w:r>
      <w:r>
        <w:t>, Seite 18; Resol Holland 30. Dec. 1600.</w:t>
      </w:r>
    </w:p>
  </w:footnote>
  <w:footnote w:id="38">
    <w:p>
      <w:tmFrameSectPr/>
      <w:pPr>
        <w:pStyle w:val="para10"/>
      </w:pPr>
      <w:r>
        <w:rPr>
          <w:rStyle w:val="char1"/>
        </w:rPr>
      </w:r>
      <w:r>
        <w:rPr>
          <w:rStyle w:val="char1"/>
        </w:rPr>
        <w:footnoteRef/>
      </w:r>
      <w:r>
        <w:tab/>
      </w:r>
      <w:r>
        <w:fldChar w:fldCharType="begin"/>
        <w:instrText xml:space="preserve"> TMBIBLIOGRAPHY «Elias 1933» </w:instrText>
        <w:fldChar w:fldCharType="separate"/>
        <w:t>[Elias 1933]</w:t>
        <w:fldChar w:fldCharType="end"/>
      </w:r>
      <w:r>
        <w:t>, Seite 16, Fußnote 4; Resol. St. Gen. 15 Oct. en 14 Nov. 1606.</w:t>
      </w:r>
    </w:p>
  </w:footnote>
  <w:footnote w:id="39">
    <w:p>
      <w:tmFrameSectPr/>
      <w:pPr>
        <w:pStyle w:val="para10"/>
      </w:pPr>
      <w:r>
        <w:rPr>
          <w:rStyle w:val="char1"/>
        </w:rPr>
      </w:r>
      <w:r>
        <w:rPr>
          <w:rStyle w:val="char1"/>
        </w:rPr>
        <w:footnoteRef/>
      </w:r>
      <w:r>
        <w:tab/>
      </w:r>
      <w:r>
        <w:fldChar w:fldCharType="begin"/>
        <w:instrText xml:space="preserve"> TMBIBLIOGRAPHY «Bijl 1951» </w:instrText>
        <w:fldChar w:fldCharType="separate"/>
        <w:t>[Bijl 1951]</w:t>
        <w:fldChar w:fldCharType="end"/>
      </w:r>
      <w:r>
        <w:t>, Seite 25.</w:t>
      </w:r>
    </w:p>
  </w:footnote>
  <w:footnote w:id="40">
    <w:p>
      <w:tmFrameSectPr/>
      <w:pPr>
        <w:pStyle w:val="para10"/>
      </w:pPr>
      <w:r>
        <w:rPr>
          <w:rStyle w:val="char1"/>
        </w:rPr>
      </w:r>
      <w:r>
        <w:rPr>
          <w:rStyle w:val="char1"/>
        </w:rPr>
        <w:footnoteRef/>
      </w:r>
      <w:r>
        <w:tab/>
      </w:r>
      <w:r>
        <w:fldChar w:fldCharType="begin"/>
        <w:instrText xml:space="preserve"> TMBIBLIOGRAPHY «De Groot 1980» </w:instrText>
        <w:fldChar w:fldCharType="separate"/>
        <w:t>[De Groot 1980]</w:t>
        <w:fldChar w:fldCharType="end"/>
      </w:r>
      <w:r>
        <w:t>, Seite 48, Abbildung 18; Cornelis Liefrinck.</w:t>
      </w:r>
    </w:p>
  </w:footnote>
  <w:footnote w:id="52">
    <w:p>
      <w:tmFrameSectPr/>
      <w:pPr>
        <w:pStyle w:val="para10"/>
      </w:pPr>
      <w:r>
        <w:rPr>
          <w:rStyle w:val="char1"/>
        </w:rPr>
      </w:r>
      <w:r>
        <w:rPr>
          <w:rStyle w:val="char1"/>
        </w:rPr>
        <w:footnoteRef/>
      </w:r>
      <w:r>
        <w:tab/>
      </w:r>
      <w:r>
        <w:rPr>
          <w:b/>
          <w:bCs/>
          <w:color w:val="ff0000"/>
        </w:rPr>
        <w:t>Hier bitte die Quelle im Museum angeben!</w:t>
      </w:r>
      <w:r/>
    </w:p>
  </w:footnote>
  <w:footnote w:id="54">
    <w:p>
      <w:tmFrameSectPr/>
      <w:pPr>
        <w:pStyle w:val="para10"/>
      </w:pPr>
      <w:r>
        <w:rPr>
          <w:rStyle w:val="char1"/>
        </w:rPr>
      </w:r>
      <w:r>
        <w:rPr>
          <w:rStyle w:val="char1"/>
        </w:rPr>
        <w:footnoteRef/>
      </w:r>
      <w:r>
        <w:t xml:space="preserve"> </w:t>
        <w:tab/>
      </w:r>
      <w:r>
        <w:fldChar w:fldCharType="begin"/>
        <w:instrText xml:space="preserve"> TMBIBLIOGRAPHY «Heinsius 1986» </w:instrText>
        <w:fldChar w:fldCharType="separate"/>
        <w:t>[Heinsius 1986]</w:t>
        <w:fldChar w:fldCharType="end"/>
      </w:r>
      <w:r>
        <w:t>, Seite 82 ff.</w:t>
      </w:r>
    </w:p>
  </w:footnote>
  <w:footnote w:id="55">
    <w:p>
      <w:tmFrameSectPr/>
      <w:pPr>
        <w:pStyle w:val="para10"/>
      </w:pPr>
      <w:r>
        <w:rPr>
          <w:rStyle w:val="char1"/>
        </w:rPr>
      </w:r>
      <w:r>
        <w:rPr>
          <w:rStyle w:val="char1"/>
        </w:rPr>
        <w:footnoteRef/>
      </w:r>
      <w:r>
        <w:t xml:space="preserve"> </w:t>
        <w:tab/>
      </w:r>
      <w:r>
        <w:fldChar w:fldCharType="begin"/>
        <w:instrText xml:space="preserve"> TMBIBLIOGRAPHY «Crone 1939» </w:instrText>
        <w:fldChar w:fldCharType="separate"/>
        <w:t>[Crone 1939]</w:t>
        <w:fldChar w:fldCharType="end"/>
      </w:r>
      <w:r>
        <w:t>, Seite 72.</w:t>
      </w:r>
    </w:p>
  </w:footnote>
  <w:footnote w:id="56">
    <w:p>
      <w:pPr>
        <w:pStyle w:val="para10"/>
      </w:pPr>
      <w:r>
        <w:rPr>
          <w:rStyle w:val="char1"/>
        </w:rPr>
      </w:r>
      <w:r>
        <w:rPr>
          <w:rStyle w:val="char1"/>
        </w:rPr>
        <w:footnoteRef/>
      </w:r>
      <w:r>
        <w:t xml:space="preserve"> </w:t>
        <w:tab/>
      </w:r>
      <w:r>
        <w:fldChar w:fldCharType="begin"/>
        <w:instrText xml:space="preserve"> TMBIBLIOGRAPHY «Oosthoek's 1947» </w:instrText>
        <w:fldChar w:fldCharType="separate"/>
        <w:t>[Oosthoek's 1947]</w:t>
        <w:fldChar w:fldCharType="end"/>
      </w:r>
      <w:r>
        <w:t>; Band 13, Seite 719.</w:t>
        <w:br w:type="textWrapping"/>
        <w:t>Thomas Simpson, Eng. Wiskonstige, geb. 1710, ovel. 1761, een wever, …</w:t>
        <w:br w:type="textWrapping"/>
        <w:t>Regel van S. In 1743 publiceerde S. een middel om een bepaalde integraal te benaderen.</w:t>
      </w:r>
    </w:p>
  </w:footnote>
  <w:footnote w:id="57">
    <w:p>
      <w:pPr>
        <w:pStyle w:val="para10"/>
      </w:pPr>
      <w:r>
        <w:rPr>
          <w:rStyle w:val="char1"/>
        </w:rPr>
      </w:r>
      <w:r>
        <w:rPr>
          <w:rStyle w:val="char1"/>
        </w:rPr>
        <w:footnoteRef/>
      </w:r>
      <w:r>
        <w:t xml:space="preserve"> </w:t>
        <w:tab/>
        <w:t>Het Scheepvaart Museum Amsterdam, Inv. Nr.: MG-0132.</w:t>
        <w:br w:type="textWrapping"/>
        <w:t>„Middelen om uit te vinden de ware ladinge der Scheepen na hare groote“</w:t>
      </w:r>
    </w:p>
  </w:footnote>
  <w:footnote w:id="58">
    <w:p>
      <w:pPr>
        <w:pStyle w:val="para10"/>
      </w:pPr>
      <w:r>
        <w:rPr>
          <w:rStyle w:val="char1"/>
        </w:rPr>
      </w:r>
      <w:r>
        <w:rPr>
          <w:rStyle w:val="char1"/>
        </w:rPr>
        <w:footnoteRef/>
      </w:r>
      <w:r>
        <w:t xml:space="preserve"> </w:t>
        <w:tab/>
        <w:t>Nationaal Archief Den Haag, 1.04.02- 47, Seite 0219.</w:t>
      </w:r>
    </w:p>
  </w:footnote>
  <w:footnote w:id="79">
    <w:p>
      <w:tmFrameSectPr/>
      <w:pPr>
        <w:pStyle w:val="para10"/>
      </w:pPr>
      <w:r>
        <w:rPr>
          <w:rStyle w:val="char1"/>
        </w:rPr>
      </w:r>
      <w:r>
        <w:rPr>
          <w:rStyle w:val="char1"/>
        </w:rPr>
        <w:footnoteRef/>
      </w:r>
      <w:r>
        <w:tab/>
      </w:r>
      <w:r>
        <w:fldChar w:fldCharType="begin"/>
        <w:instrText xml:space="preserve"> TMBIBLIOGRAPHY «Elias 1933» </w:instrText>
        <w:fldChar w:fldCharType="separate"/>
        <w:t>[Elias 1933]</w:t>
        <w:fldChar w:fldCharType="end"/>
      </w:r>
      <w:r>
        <w:t>, Seite 61.</w:t>
      </w:r>
    </w:p>
  </w:footnote>
  <w:footnote w:id="80">
    <w:p>
      <w:tmFrameSectPr/>
      <w:pPr>
        <w:pStyle w:val="para10"/>
      </w:pPr>
      <w:r>
        <w:rPr>
          <w:rStyle w:val="char1"/>
        </w:rPr>
      </w:r>
      <w:r>
        <w:rPr>
          <w:rStyle w:val="char1"/>
        </w:rPr>
        <w:footnoteRef/>
      </w:r>
      <w:r>
        <w:t xml:space="preserve"> </w:t>
        <w:tab/>
      </w:r>
      <w:r>
        <w:fldChar w:fldCharType="begin"/>
        <w:instrText xml:space="preserve"> TMBIBLIOGRAPHY «Elias 1933» </w:instrText>
        <w:fldChar w:fldCharType="separate"/>
        <w:t>[Elias 1933]</w:t>
        <w:fldChar w:fldCharType="end"/>
      </w:r>
      <w:r>
        <w:t>, Seite 60 ff.</w:t>
      </w:r>
    </w:p>
  </w:footnote>
  <w:footnote w:id="81">
    <w:p>
      <w:tmFrameSectPr/>
      <w:pPr>
        <w:pStyle w:val="para10"/>
      </w:pPr>
      <w:r>
        <w:rPr>
          <w:rStyle w:val="char1"/>
        </w:rPr>
      </w:r>
      <w:r>
        <w:rPr>
          <w:rStyle w:val="char1"/>
        </w:rPr>
        <w:footnoteRef/>
      </w:r>
      <w:r>
        <w:t xml:space="preserve"> </w:t>
        <w:tab/>
      </w:r>
      <w:r>
        <w:rPr>
          <w:szCs w:val="20"/>
          <w:lang w:val="nl-nl"/>
        </w:rPr>
      </w:r>
      <w:r>
        <w:rPr>
          <w:szCs w:val="20"/>
          <w:lang w:val="nl-nl"/>
        </w:rPr>
        <w:fldChar w:fldCharType="begin"/>
        <w:instrText xml:space="preserve"> TMBIBLIOGRAPHY «NL-HaNA» </w:instrText>
        <w:fldChar w:fldCharType="separate"/>
        <w:t>[NL-HaNA]</w:t>
        <w:fldChar w:fldCharType="end"/>
      </w:r>
      <w:r>
        <w:rPr>
          <w:szCs w:val="20"/>
          <w:lang w:val="nl-nl"/>
        </w:rPr>
        <w:t>, Nationaal Archief, Den Haag, Staten-Generaal, Zugangsnummer 1.01.02, Inventarnummer 5548, 26.02.1652,</w:t>
        <w:br w:type="textWrapping"/>
      </w:r>
      <w:r>
        <w:rPr>
          <w:i/>
          <w:iCs/>
          <w:szCs w:val="20"/>
          <w:lang w:val="nl-nl"/>
        </w:rPr>
        <w:t>„Lyste vande Schepen …</w:t>
        <w:br w:type="textWrapping"/>
        <w:t>gemeten alle met maes voeten 12 duym voorde voet ...“</w:t>
      </w:r>
      <w:r>
        <w:rPr>
          <w:szCs w:val="20"/>
          <w:lang w:val="nl-nl"/>
        </w:rPr>
        <w:br w:type="textWrapping"/>
        <w:t>Die Maßangaben beziehen sich in dieser Schiffsliste bei der Brederode auf das Rotterdamer Maßsystem. Ein Rotterdamer Fuß entsprach 312 mm.</w:t>
        <w:br w:type="textWrapping"/>
        <w:t>Demnach war sie wesentlich größer, als bisher in der entsprechenden Fachliteratur dargestellt wurde. 132 Fuß Schiffslänge waren hier 41184 mm, mit 32 Fuß 4 Daumen haben wir 10088 mm für die Schiffsweite und die Raumtiefe von 13 Fuß hatte dann eine Höhe von 4056 mm.</w:t>
        <w:br w:type="textWrapping"/>
        <w:t>[NL-HaNA], Staten-Generaal, 1.01.02, Inv. Nr. 12561.126, 23.07.1653.</w:t>
        <w:br w:type="textWrapping"/>
      </w:r>
      <w:r>
        <w:rPr>
          <w:i/>
          <w:iCs/>
          <w:szCs w:val="20"/>
          <w:lang w:val="nl-nl"/>
        </w:rPr>
        <w:t>„Admiraliteyt Rotterdam</w:t>
        <w:br w:type="textWrapping"/>
        <w:t>Brederode, lang 146 voeten, wyt 36, hol 13 ½ en boven 7 voeten ...“</w:t>
        <w:br w:type="textWrapping"/>
      </w:r>
      <w:r>
        <w:rPr>
          <w:szCs w:val="20"/>
          <w:lang w:val="nl-nl"/>
        </w:rPr>
        <w:t>Die Länge wäre demnach 41318 mm und somit 200 mm länger als noch 1652. Die Schiffsweite betrug 10188 mm, die Raumtiefe hatte 3821 mm und die Kuhbrücke lag 1981 mm über dem Überlauf.</w:t>
        <w:br w:type="textWrapping"/>
        <w:t>Die Brederode wird in dieser Schiffsliste erstmals im Amsterdamer Maß angegeben. Es bleibt die Ausnahme, da in allen weiteren Schiffslisten wieder das Rotterdamer Maß eingesetzt wurde.</w:t>
        <w:br w:type="textWrapping"/>
        <w:t>[NL-HaNA], Staten-Generaal, 1.01.02, Inv. Nr. 5563, 13.04.1655,</w:t>
        <w:br w:type="textWrapping"/>
      </w:r>
      <w:r>
        <w:rPr>
          <w:i/>
          <w:iCs/>
          <w:szCs w:val="20"/>
          <w:lang w:val="nl-nl"/>
        </w:rPr>
        <w:t>„Staet en Monture in groote van de Schepen …</w:t>
        <w:br w:type="textWrapping"/>
        <w:t>Schip Brederoode, gebout inden Jahre 1644, lanck over Steven 132 voeten, wyt op zyn uytwateringx 32 1/3 voet, hol 13 voeten, alle maes voeten ...“</w:t>
      </w:r>
      <w:r>
        <w:rPr>
          <w:szCs w:val="20"/>
          <w:lang w:val="nl-nl"/>
        </w:rPr>
        <w:br w:type="textWrapping"/>
        <w:t>Es taucht zwangsläufig die Frage auf, wie es sich mit der Aemilia verhalten hatte. Sie war ja das direkte Vorgängerschiff. Die Brederode soll nach dem Besteck der Aemilia gebaut worden sein.</w:t>
      </w:r>
      <w:r/>
    </w:p>
  </w:footnote>
  <w:footnote w:id="98">
    <w:p>
      <w:tmFrameSectPr/>
      <w:pPr>
        <w:pStyle w:val="para10"/>
      </w:pPr>
      <w:r>
        <w:rPr>
          <w:rStyle w:val="char1"/>
        </w:rPr>
      </w:r>
      <w:r>
        <w:rPr>
          <w:rStyle w:val="char1"/>
        </w:rPr>
        <w:footnoteRef/>
      </w:r>
      <w:r>
        <w:tab/>
      </w:r>
      <w:r>
        <w:fldChar w:fldCharType="begin"/>
        <w:instrText xml:space="preserve"> TMBIBLIOGRAPHY «Zandvliet 2000» </w:instrText>
        <w:fldChar w:fldCharType="separate"/>
        <w:t>[Zandvliet 2000]</w:t>
        <w:fldChar w:fldCharType="end"/>
      </w:r>
    </w:p>
  </w:footnote>
  <w:footnote w:id="99">
    <w:p>
      <w:tmFrameSectPr/>
      <w:pPr>
        <w:pStyle w:val="para10"/>
      </w:pPr>
      <w:r>
        <w:rPr>
          <w:rStyle w:val="char1"/>
        </w:rPr>
      </w:r>
      <w:r>
        <w:rPr>
          <w:rStyle w:val="char1"/>
        </w:rPr>
        <w:footnoteRef/>
      </w:r>
      <w:r>
        <w:tab/>
      </w:r>
      <w:r>
        <w:fldChar w:fldCharType="begin"/>
        <w:instrText xml:space="preserve"> TMBIBLIOGRAPHY «Zandvliet 2000» </w:instrText>
        <w:fldChar w:fldCharType="separate"/>
        <w:t>[Zandvliet 2000]</w:t>
        <w:fldChar w:fldCharType="end"/>
      </w:r>
      <w:r>
        <w:t xml:space="preserve">, </w:t>
      </w:r>
      <w:r>
        <w:fldChar w:fldCharType="begin"/>
        <w:instrText xml:space="preserve"> TMBIBLIOGRAPHY «Sigmond 2013» </w:instrText>
        <w:fldChar w:fldCharType="separate"/>
        <w:t>[Sigmond 2013]</w:t>
        <w:fldChar w:fldCharType="end"/>
      </w:r>
      <w:r>
        <w:t xml:space="preserve">, </w:t>
      </w:r>
      <w:r>
        <w:fldChar w:fldCharType="begin"/>
        <w:instrText xml:space="preserve"> TMBIBLIOGRAPHY «De Jong 2005» </w:instrText>
        <w:fldChar w:fldCharType="separate"/>
        <w:t>[De Jong 2005]</w:t>
        <w:fldChar w:fldCharType="end"/>
      </w:r>
      <w:r>
        <w:t xml:space="preserve">, </w:t>
      </w:r>
      <w:r>
        <w:fldChar w:fldCharType="begin"/>
        <w:instrText xml:space="preserve"> TMBIBLIOGRAPHY «Orlers 1610» </w:instrText>
        <w:fldChar w:fldCharType="separate"/>
        <w:t>[Orlers 1610]</w:t>
        <w:fldChar w:fldCharType="end"/>
      </w:r>
    </w:p>
  </w:footnote>
  <w:footnote w:id="100">
    <w:p>
      <w:tmFrameSectPr/>
      <w:pPr>
        <w:pStyle w:val="para10"/>
      </w:pPr>
      <w:r>
        <w:rPr>
          <w:rStyle w:val="char1"/>
        </w:rPr>
      </w:r>
      <w:r>
        <w:rPr>
          <w:rStyle w:val="char1"/>
        </w:rPr>
        <w:footnoteRef/>
      </w:r>
      <w:r>
        <w:tab/>
      </w:r>
      <w:r>
        <w:fldChar w:fldCharType="begin"/>
        <w:instrText xml:space="preserve"> TMBIBLIOGRAPHY «Sleeswyk 2003» </w:instrText>
        <w:fldChar w:fldCharType="separate"/>
        <w:t>[Sleeswyk 2003]</w:t>
        <w:fldChar w:fldCharType="end"/>
      </w:r>
    </w:p>
  </w:footnote>
  <w:footnote w:id="118">
    <w:p>
      <w:tmFrameSectPr/>
      <w:pPr>
        <w:pStyle w:val="para10"/>
      </w:pPr>
      <w:r>
        <w:rPr>
          <w:rStyle w:val="char1"/>
        </w:rPr>
      </w:r>
      <w:r>
        <w:rPr>
          <w:rStyle w:val="char1"/>
        </w:rPr>
        <w:footnoteRef/>
      </w:r>
      <w:r>
        <w:tab/>
        <w:t>Nationaal Archief Den Haag, Zugang 1.01.02, Inv. Nr. 5551 P1070517.JPG.</w:t>
        <w:br w:type="textWrapping"/>
        <w:t>Transkription siehe Bd. III, Zusätze Bestecke, Seite 60ff.</w:t>
      </w:r>
    </w:p>
  </w:footnote>
  <w:footnote w:id="121">
    <w:p>
      <w:tmFrameSectPr/>
      <w:pPr>
        <w:pStyle w:val="para10"/>
      </w:pPr>
      <w:r>
        <w:rPr>
          <w:rStyle w:val="char1"/>
        </w:rPr>
      </w:r>
      <w:r>
        <w:rPr>
          <w:rStyle w:val="char1"/>
        </w:rPr>
        <w:footnoteRef/>
      </w:r>
      <w:r>
        <w:tab/>
      </w:r>
      <w:r>
        <w:fldChar w:fldCharType="begin"/>
        <w:instrText xml:space="preserve"> TMBIBLIOGRAPHY «Ulrich W 2017» </w:instrText>
        <w:fldChar w:fldCharType="separate"/>
        <w:t>[Ulrich W 2017]</w:t>
        <w:fldChar w:fldCharType="end"/>
      </w:r>
      <w:r>
        <w:t xml:space="preserve">; </w:t>
      </w:r>
      <w:r>
        <w:fldChar w:fldCharType="begin"/>
        <w:instrText xml:space="preserve"> TMBIBLIOGRAPHY «Ulrich W 2018» </w:instrText>
        <w:fldChar w:fldCharType="separate"/>
        <w:t>[Ulrich W 2018]</w:t>
        <w:fldChar w:fldCharType="end"/>
      </w:r>
      <w:r>
        <w:t xml:space="preserve">; </w:t>
      </w:r>
      <w:r>
        <w:fldChar w:fldCharType="begin"/>
        <w:instrText xml:space="preserve"> TMBIBLIOGRAPHY «Ulrich We 2018» </w:instrText>
        <w:fldChar w:fldCharType="separate"/>
        <w:t>[Ulrich We 2018]</w:t>
        <w:fldChar w:fldCharType="end"/>
      </w:r>
      <w:r>
        <w:t xml:space="preserve">; </w:t>
      </w:r>
      <w:r>
        <w:fldChar w:fldCharType="begin"/>
        <w:instrText xml:space="preserve"> TMBIBLIOGRAPHY «Ulrich W 2019» </w:instrText>
        <w:fldChar w:fldCharType="separate"/>
        <w:t>[Ulrich W 2019]</w:t>
        <w:fldChar w:fldCharType="end"/>
      </w:r>
      <w:r>
        <w:t xml:space="preserve">; </w:t>
      </w:r>
      <w:r>
        <w:fldChar w:fldCharType="begin"/>
        <w:instrText xml:space="preserve"> TMBIBLIOGRAPHY «Bruns 2008» </w:instrText>
        <w:fldChar w:fldCharType="separate"/>
        <w:t>[Bruns 2008]</w:t>
        <w:fldChar w:fldCharType="end"/>
      </w:r>
      <w:r>
        <w:t>, Seite 167 ff.</w:t>
      </w:r>
    </w:p>
  </w:footnote>
  <w:footnote w:id="122">
    <w:p>
      <w:tmFrameSectPr/>
      <w:pPr>
        <w:pStyle w:val="para10"/>
      </w:pPr>
      <w:r>
        <w:rPr>
          <w:rStyle w:val="char1"/>
        </w:rPr>
      </w:r>
      <w:r>
        <w:rPr>
          <w:rStyle w:val="char1"/>
        </w:rPr>
        <w:footnoteRef/>
      </w:r>
      <w:r>
        <w:t xml:space="preserve"> </w:t>
        <w:tab/>
        <w:t>Britisch Museum, Inv. Nr.: SL, 5214.69. Breughel soll dieses Blatt um 1637 gezeichnet haben.</w:t>
      </w:r>
    </w:p>
  </w:footnote>
  <w:footnote w:id="123">
    <w:p>
      <w:tmFrameSectPr/>
      <w:pPr>
        <w:pStyle w:val="para10"/>
      </w:pPr>
      <w:r>
        <w:rPr>
          <w:rStyle w:val="char1"/>
        </w:rPr>
      </w:r>
      <w:r>
        <w:rPr>
          <w:rStyle w:val="char1"/>
        </w:rPr>
        <w:footnoteRef/>
      </w:r>
      <w:r>
        <w:t xml:space="preserve"> </w:t>
        <w:tab/>
      </w:r>
      <w:r>
        <w:fldChar w:fldCharType="begin"/>
        <w:instrText xml:space="preserve"> TMBIBLIOGRAPHY «Mander 1617» </w:instrText>
        <w:fldChar w:fldCharType="separate"/>
        <w:t>[Mander 1617]</w:t>
        <w:fldChar w:fldCharType="end"/>
      </w:r>
      <w:r>
        <w:t>, Seite 152 ff.</w:t>
      </w:r>
    </w:p>
  </w:footnote>
  <w:footnote w:id="124">
    <w:p>
      <w:tmFrameSectPr/>
      <w:pPr>
        <w:pStyle w:val="para10"/>
      </w:pPr>
      <w:r>
        <w:rPr>
          <w:rStyle w:val="char1"/>
        </w:rPr>
      </w:r>
      <w:r>
        <w:rPr>
          <w:rStyle w:val="char1"/>
        </w:rPr>
        <w:footnoteRef/>
      </w:r>
      <w:r>
        <w:t xml:space="preserve"> </w:t>
        <w:tab/>
      </w:r>
      <w:r>
        <w:fldChar w:fldCharType="begin"/>
        <w:instrText xml:space="preserve"> TMBIBLIOGRAPHY «Oosthoek's 1947» </w:instrText>
        <w:fldChar w:fldCharType="separate"/>
        <w:t>[Oosthoek's 1947]</w:t>
        <w:fldChar w:fldCharType="end"/>
      </w:r>
    </w:p>
  </w:footnote>
  <w:footnote w:id="129">
    <w:p>
      <w:tmFrameSectPr/>
      <w:pPr>
        <w:pStyle w:val="para10"/>
      </w:pPr>
      <w:r>
        <w:rPr>
          <w:rStyle w:val="char1"/>
        </w:rPr>
      </w:r>
      <w:r>
        <w:rPr>
          <w:rStyle w:val="char1"/>
        </w:rPr>
        <w:footnoteRef/>
      </w:r>
      <w:r>
        <w:tab/>
      </w:r>
      <w:r>
        <w:fldChar w:fldCharType="begin"/>
        <w:instrText xml:space="preserve"> TMBIBLIOGRAPHY «Van Dam 1701» </w:instrText>
        <w:fldChar w:fldCharType="separate"/>
        <w:t>[Van Dam 1701]</w:t>
        <w:fldChar w:fldCharType="end"/>
      </w:r>
      <w:r>
        <w:t>, Deel 1.1, GS 63.</w:t>
      </w:r>
    </w:p>
  </w:footnote>
  <w:footnote w:id="132">
    <w:p>
      <w:tmFrameSectPr/>
      <w:pPr>
        <w:pStyle w:val="para10"/>
      </w:pPr>
      <w:r>
        <w:rPr>
          <w:rStyle w:val="char1"/>
        </w:rPr>
      </w:r>
      <w:r>
        <w:rPr>
          <w:rStyle w:val="char1"/>
        </w:rPr>
        <w:footnoteRef/>
      </w:r>
      <w:r>
        <w:tab/>
      </w:r>
      <w:r>
        <w:fldChar w:fldCharType="begin"/>
        <w:instrText xml:space="preserve"> TMBIBLIOGRAPHY «Witsen 1671» </w:instrText>
        <w:fldChar w:fldCharType="separate"/>
        <w:t>[Witsen 1671]</w:t>
        <w:fldChar w:fldCharType="end"/>
      </w:r>
      <w:r>
        <w:t xml:space="preserve">, </w:t>
      </w:r>
      <w:r>
        <w:fldChar w:fldCharType="begin"/>
        <w:instrText xml:space="preserve"> TMBIBLIOGRAPHY «Van Yk 1697» </w:instrText>
        <w:fldChar w:fldCharType="separate"/>
        <w:t>[Van Yk 1697]</w:t>
        <w:fldChar w:fldCharType="end"/>
      </w:r>
      <w:r>
        <w:t>.</w:t>
      </w:r>
    </w:p>
  </w:footnote>
  <w:footnote w:id="133">
    <w:p>
      <w:tmFrameSectPr/>
      <w:pPr>
        <w:pStyle w:val="para10"/>
      </w:pPr>
      <w:r>
        <w:rPr>
          <w:rStyle w:val="char1"/>
        </w:rPr>
      </w:r>
      <w:r>
        <w:rPr>
          <w:rStyle w:val="char1"/>
        </w:rPr>
        <w:footnoteRef/>
      </w:r>
      <w:r>
        <w:tab/>
      </w:r>
      <w:r>
        <w:fldChar w:fldCharType="begin"/>
        <w:instrText xml:space="preserve"> TMBIBLIOGRAPHY «Hoving 2001» </w:instrText>
        <w:fldChar w:fldCharType="separate"/>
        <w:t>[Hoving 2001]</w:t>
        <w:fldChar w:fldCharType="end"/>
      </w:r>
    </w:p>
  </w:footnote>
  <w:footnote w:id="134">
    <w:p>
      <w:tmFrameSectPr/>
      <w:pPr>
        <w:pStyle w:val="para10"/>
      </w:pPr>
      <w:r>
        <w:rPr>
          <w:rStyle w:val="char1"/>
        </w:rPr>
      </w:r>
      <w:r>
        <w:rPr>
          <w:rStyle w:val="char1"/>
        </w:rPr>
        <w:footnoteRef/>
      </w:r>
      <w:r>
        <w:tab/>
      </w:r>
      <w:r>
        <w:fldChar w:fldCharType="begin"/>
        <w:instrText xml:space="preserve"> TMBIBLIOGRAPHY «Rålamb 1691» </w:instrText>
        <w:fldChar w:fldCharType="separate"/>
        <w:t>[Rålamb 1691]</w:t>
        <w:fldChar w:fldCharType="end"/>
      </w:r>
    </w:p>
  </w:footnote>
  <w:footnote w:id="135">
    <w:p>
      <w:tmFrameSectPr/>
      <w:pPr>
        <w:pStyle w:val="para10"/>
      </w:pPr>
      <w:r>
        <w:rPr>
          <w:rStyle w:val="char1"/>
        </w:rPr>
      </w:r>
      <w:r>
        <w:rPr>
          <w:rStyle w:val="char1"/>
        </w:rPr>
        <w:footnoteRef/>
      </w:r>
      <w:r>
        <w:tab/>
      </w:r>
      <w:r>
        <w:fldChar w:fldCharType="begin"/>
        <w:instrText xml:space="preserve"> TMBIBLIOGRAPHY «Chapman 1768» </w:instrText>
        <w:fldChar w:fldCharType="separate"/>
        <w:t>[Chapman 1768]</w:t>
        <w:fldChar w:fldCharType="end"/>
      </w:r>
    </w:p>
  </w:footnote>
  <w:footnote w:id="150">
    <w:p>
      <w:tmFrameSectPr/>
      <w:pPr>
        <w:pStyle w:val="para10"/>
      </w:pPr>
      <w:r>
        <w:rPr>
          <w:rStyle w:val="char1"/>
        </w:rPr>
      </w:r>
      <w:r>
        <w:rPr>
          <w:rStyle w:val="char1"/>
        </w:rPr>
        <w:footnoteRef/>
      </w:r>
      <w:r>
        <w:tab/>
        <w:t xml:space="preserve">Nationaal Archief Den Haag; Zugang 1.10.91, Inv. Nr. 8. P1090971.JPG </w:t>
      </w:r>
      <w:r>
        <w:rPr>
          <w:b/>
          <w:bCs/>
          <w:color w:val="ff0000"/>
        </w:rPr>
        <w:t>(2)</w:t>
      </w:r>
      <w:r>
        <w:t>. Siehe auch Bestecke Band 2, Seite 30ff. Die Transkription muss noch überarbeitet werden.</w:t>
      </w:r>
    </w:p>
  </w:footnote>
  <w:footnote w:id="152">
    <w:p>
      <w:tmFrameSectPr/>
      <w:pPr>
        <w:pStyle w:val="para10"/>
      </w:pPr>
      <w:r>
        <w:rPr>
          <w:rStyle w:val="char1"/>
        </w:rPr>
      </w:r>
      <w:r>
        <w:rPr>
          <w:rStyle w:val="char1"/>
        </w:rPr>
        <w:footnoteRef/>
      </w:r>
      <w:r>
        <w:tab/>
      </w:r>
      <w:r>
        <w:fldChar w:fldCharType="begin"/>
        <w:instrText xml:space="preserve"> TMBIBLIOGRAPHY «Van Dale 1992» </w:instrText>
        <w:fldChar w:fldCharType="separate"/>
        <w:t>[Van Dale 1992]</w:t>
        <w:fldChar w:fldCharType="end"/>
      </w:r>
      <w:r>
        <w:t>, Bd. 2, Seite 1391.</w:t>
      </w:r>
    </w:p>
  </w:footnote>
  <w:footnote w:id="154">
    <w:p>
      <w:tmFrameSectPr/>
      <w:pPr>
        <w:pStyle w:val="para10"/>
      </w:pPr>
      <w:r>
        <w:rPr>
          <w:rStyle w:val="char1"/>
        </w:rPr>
      </w:r>
      <w:r>
        <w:rPr>
          <w:rStyle w:val="char1"/>
        </w:rPr>
        <w:footnoteRef/>
      </w:r>
      <w:r>
        <w:tab/>
        <w:t xml:space="preserve">Siehe auch das Besteck P1260116.JPG </w:t>
      </w:r>
      <w:r>
        <w:rPr>
          <w:b/>
          <w:bCs/>
          <w:color w:val="ff0000"/>
        </w:rPr>
        <w:t>(2)</w:t>
      </w:r>
      <w:r>
        <w:t>. Die Kopie dessen befindet sich im Ordner 04, Register 23.</w:t>
        <w:br w:type="textWrapping"/>
        <w:t>Inv. Nr.: Landschaftsbibliothek Aurich: R 408 (43).</w:t>
      </w:r>
    </w:p>
  </w:footnote>
  <w:footnote w:id="155">
    <w:p>
      <w:tmFrameSectPr/>
      <w:pPr>
        <w:pStyle w:val="para10"/>
      </w:pPr>
      <w:r>
        <w:rPr>
          <w:rStyle w:val="char1"/>
        </w:rPr>
      </w:r>
      <w:r>
        <w:rPr>
          <w:rStyle w:val="char1"/>
        </w:rPr>
        <w:footnoteRef/>
      </w:r>
      <w:r>
        <w:tab/>
        <w:t xml:space="preserve">Siehe auch das Besteck P1260279.JPG </w:t>
      </w:r>
      <w:r>
        <w:rPr>
          <w:b/>
          <w:bCs/>
          <w:color w:val="ff0000"/>
        </w:rPr>
        <w:t>(1)</w:t>
      </w:r>
      <w:r>
        <w:t>. Die Kopie dessen befindet sich im Ordner 04, Register 22.</w:t>
        <w:br w:type="textWrapping"/>
        <w:t>Inv. Nr.: Landschaftsbibliothek Aurich: R 408 (7).</w:t>
      </w:r>
    </w:p>
  </w:footnote>
  <w:footnote w:id="159">
    <w:p>
      <w:tmFrameSectPr/>
      <w:pPr>
        <w:pStyle w:val="para10"/>
      </w:pPr>
      <w:r>
        <w:rPr>
          <w:rStyle w:val="char1"/>
        </w:rPr>
      </w:r>
      <w:r>
        <w:rPr>
          <w:rStyle w:val="char1"/>
        </w:rPr>
        <w:footnoteRef/>
      </w:r>
      <w:r>
        <w:t xml:space="preserve"> </w:t>
        <w:tab/>
        <w:t>Das Original des Bestecks befindet sich im:</w:t>
        <w:br w:type="textWrapping"/>
        <w:t>Staatsarchiv Dahlem, Berlin. EM 127a Nr. 4 fol. Die Kopie des Originals befindet sich im Ordner 01, Register 13.</w:t>
      </w:r>
    </w:p>
  </w:footnote>
  <w:footnote w:id="161">
    <w:p>
      <w:tmFrameSectPr/>
      <w:pPr>
        <w:pStyle w:val="para10"/>
      </w:pPr>
      <w:r>
        <w:rPr>
          <w:rStyle w:val="char1"/>
        </w:rPr>
      </w:r>
      <w:r>
        <w:rPr>
          <w:rStyle w:val="char1"/>
        </w:rPr>
        <w:footnoteRef/>
      </w:r>
      <w:r>
        <w:t xml:space="preserve"> </w:t>
        <w:tab/>
        <w:t xml:space="preserve">Siehe auch das Besteck NL-MdbZA_468_29_142.JPG. Die Kopie dessen befindet sich im Ordner 06, Register 20 </w:t>
      </w:r>
      <w:r>
        <w:rPr>
          <w:b/>
          <w:bCs/>
          <w:color w:val="ff0000"/>
        </w:rPr>
        <w:t>(4)</w:t>
      </w:r>
      <w:r>
        <w:t>.</w:t>
        <w:br w:type="textWrapping"/>
        <w:t xml:space="preserve">Inv. Nr.: Landschaftsbibliothek Aurich: </w:t>
      </w:r>
      <w:r>
        <w:rPr>
          <w:color w:val="ff0000"/>
        </w:rPr>
        <w:t>R .... (...). Noch nicht vergeben.</w:t>
      </w:r>
      <w:r/>
    </w:p>
  </w:footnote>
  <w:footnote w:id="163">
    <w:p>
      <w:tmFrameSectPr/>
      <w:pPr>
        <w:pStyle w:val="para10"/>
      </w:pPr>
      <w:r>
        <w:rPr>
          <w:rStyle w:val="char1"/>
        </w:rPr>
      </w:r>
      <w:r>
        <w:rPr>
          <w:rStyle w:val="char1"/>
        </w:rPr>
        <w:footnoteRef/>
      </w:r>
      <w:r>
        <w:tab/>
        <w:t xml:space="preserve">Zeeuws Archief Middelburg, Zugang 508, Inv. Nr. 8164; </w:t>
      </w:r>
      <w:r>
        <w:rPr>
          <w:b/>
          <w:bCs/>
          <w:color w:val="ff0000"/>
        </w:rPr>
        <w:t>(32)</w:t>
      </w:r>
      <w:r>
        <w:t>. Die Kopie (P1240581.JPG) dessen befindet sich im Ordner 04, Register 30.</w:t>
        <w:br w:type="textWrapping"/>
        <w:t>Inv. Nr.: Landschaftsbibliothek Aurich: R 408 (1).</w:t>
      </w:r>
    </w:p>
  </w:footnote>
  <w:footnote w:id="164">
    <w:p>
      <w:tmFrameSectPr/>
      <w:pPr>
        <w:pStyle w:val="para10"/>
      </w:pPr>
      <w:r>
        <w:rPr>
          <w:rStyle w:val="char1"/>
        </w:rPr>
      </w:r>
      <w:r>
        <w:rPr>
          <w:rStyle w:val="char1"/>
        </w:rPr>
        <w:footnoteRef/>
      </w:r>
      <w:r>
        <w:tab/>
        <w:t>Nationaal Archief Den Haag, Zugang 1.01.02, Inv. Nr. 5564. Beide Schiffe wurden nach dem vorliegenden Besteck gebaut, die Eendracht 1653/54, die Groot Holland 1654/55. Die Kopie (B150_NOR.JPG) dessen befindet sich im Ordner 09, Register 6.</w:t>
      </w:r>
    </w:p>
  </w:footnote>
  <w:footnote w:id="165">
    <w:p>
      <w:tmFrameSectPr/>
      <w:pPr>
        <w:pStyle w:val="para10"/>
      </w:pPr>
      <w:r>
        <w:rPr>
          <w:rStyle w:val="char1"/>
        </w:rPr>
      </w:r>
      <w:r>
        <w:rPr>
          <w:rStyle w:val="char1"/>
        </w:rPr>
        <w:footnoteRef/>
      </w:r>
      <w:r>
        <w:tab/>
      </w:r>
      <w:r>
        <w:fldChar w:fldCharType="begin"/>
        <w:instrText xml:space="preserve"> TMBIBLIOGRAPHY «Cederlund 2006» </w:instrText>
        <w:fldChar w:fldCharType="separate"/>
        <w:t>[Cederlund 2006]</w:t>
        <w:fldChar w:fldCharType="end"/>
      </w:r>
      <w:r>
        <w:t>, Seite 281, Fig. 9-14.</w:t>
      </w:r>
    </w:p>
  </w:footnote>
  <w:footnote w:id="174">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Nationaal Archief, Den Haag, Admiraliteitscolleges XXXIX Van der Hoop, Zugangsnummer 1.01.47.29, Inventarnummer 2, 1652.</w:t>
        <w:br w:type="textWrapping"/>
      </w:r>
      <w:r>
        <w:rPr>
          <w:i/>
          <w:iCs/>
        </w:rPr>
        <w:t>„Aanbouw van Schepen, ten spoedigste te bouwen 58 Schepen by de admiraliteyten … van 134 voet lang 32 v. wyt, 13 a 14 hol, 7 ½ onder t´ Verdeck ...“</w:t>
      </w:r>
      <w:r>
        <w:br w:type="textWrapping"/>
        <w:t>In den Resolutionen der Staten van Holland, Band 1652, Seite 349 ff., 16. August befindet sich eine detaillierte Aufstellung der Einzelposten dieser Kostenermittlung.</w:t>
      </w:r>
    </w:p>
  </w:footnote>
  <w:footnote w:id="175">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Nationaal Archief, Den Haag, Admiraliteitscolleges XXXI Bisdom, Zugangsnummer 1.01.47.21, Inv. 76.</w:t>
      </w:r>
    </w:p>
  </w:footnote>
  <w:footnote w:id="176">
    <w:p>
      <w:tmFrameSectPr/>
      <w:pPr>
        <w:pStyle w:val="para10"/>
      </w:pPr>
      <w:r>
        <w:rPr>
          <w:rStyle w:val="char1"/>
        </w:rPr>
      </w:r>
      <w:r>
        <w:rPr>
          <w:rStyle w:val="char1"/>
        </w:rPr>
        <w:footnoteRef/>
      </w:r>
      <w:r>
        <w:t xml:space="preserve"> </w:t>
        <w:tab/>
        <w:t>Resolutien van de Staten van Holland ende West-Vrieslandt, Band 1652, 22.10.1652, Seite 502.</w:t>
        <w:br w:type="textWrapping"/>
        <w:t>Eingesehen im Westfries Archief, Hoorn.</w:t>
      </w:r>
    </w:p>
  </w:footnote>
  <w:footnote w:id="177">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5552, 27.11.1652.</w:t>
      </w:r>
    </w:p>
  </w:footnote>
  <w:footnote w:id="178">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2684, 27.11.1652:</w:t>
        <w:br w:type="textWrapping"/>
      </w:r>
      <w:r>
        <w:rPr>
          <w:i/>
          <w:iCs/>
        </w:rPr>
        <w:t>„... Op het rapport vande Heeren Huygens en andere haer Ho: Mo: Gedep. gebesoigneert hebbende noopende den aenbouw van schepen, ende overgeleverende de bestecken by eenige meesters Timmerluyden ten dien eynde geconcipeert; Is na delibiratie goetgevonden en. verstaen, dat de voorst. Bestecken Coptelen aen de respective Collegien ter Admt. toe gesonden sullen worden, ende aen deselve genotificeert, hoe dat haer Ho: Mo: geresolveert hebben te doen petitionneren en promptelyck furneren aen merckelycke Somme van penningen tot verval van d' Equipagie van dertich Capitale Schepen, en die te reparieren over de respective Collegien, als namentlyck vyff tot bestuer van t' Collegie ter Admt. op de Maeze, een van de Charter lanck 150. voeten, twee lanck 140. ende twee lanck 134. voeten, Gelycke vyff tot bestuer van. respective Collegien in Zeelandt, Noorderquat., en Vrieslant, En gelycke dubbelt getal tot bestuer van het Collegie residerende tot Amsterdam, met serieuse recommandatie dat deselve op het alderspoedichste den aenbouw van hun aenpaert int' werck willen stellen, 't zy ten deel door haer eygen meesters Timmerluyden ofte geheelyck by publicqe aenbestedingh van het hol en yserwerck volgens de Geconcipiceerde bestecken, aen andere Meester timmerluyden, en tot dien eynde aensiens brieffs alomme billietten doen affigeren, omme acht dagen daervaen de bestedingh te doen, op dat de aennemers noch voorde aenstaende Vorst haer selve van hout, er andere Materialien daertoe dienende, mogen ...“</w:t>
      </w:r>
      <w:r/>
    </w:p>
  </w:footnote>
  <w:footnote w:id="179">
    <w:p>
      <w:tmFrameSectPr/>
      <w:pPr>
        <w:pStyle w:val="para10"/>
      </w:pPr>
      <w:r>
        <w:rPr>
          <w:rStyle w:val="char1"/>
        </w:rPr>
      </w:r>
      <w:r>
        <w:rPr>
          <w:rStyle w:val="char1"/>
        </w:rPr>
        <w:footnoteRef/>
      </w:r>
      <w:r>
        <w:t xml:space="preserve"> </w:t>
        <w:tab/>
      </w:r>
      <w:r>
        <w:fldChar w:fldCharType="begin"/>
        <w:instrText xml:space="preserve"> TMBIBLIOGRAPHY «Boven 2009» </w:instrText>
        <w:fldChar w:fldCharType="separate"/>
        <w:t>[Boven 2009]</w:t>
        <w:fldChar w:fldCharType="end"/>
      </w:r>
      <w:r>
        <w:t>, diese hilfreiche Erfindung wurde erstmals um 1690 sichtbar.</w:t>
      </w:r>
    </w:p>
  </w:footnote>
  <w:footnote w:id="180">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5551, 17.12.1652.</w:t>
        <w:br w:type="textWrapping"/>
        <w:t>Inv. Nr. 5554, Bericht der Abgeordneten der Generalstaaten vom 03.04.1653.</w:t>
      </w:r>
    </w:p>
  </w:footnote>
  <w:footnote w:id="181">
    <w:p>
      <w:tmFrameSectPr/>
      <w:pPr>
        <w:pStyle w:val="para10"/>
      </w:pPr>
      <w:r>
        <w:rPr>
          <w:rStyle w:val="char1"/>
        </w:rPr>
      </w:r>
      <w:r>
        <w:rPr>
          <w:rStyle w:val="char1"/>
        </w:rPr>
        <w:footnoteRef/>
      </w:r>
      <w:r>
        <w:t xml:space="preserve"> </w:t>
        <w:tab/>
        <w:t>Siehe drittes Kapitel, Einschätzung eines Fachmanns.</w:t>
      </w:r>
    </w:p>
  </w:footnote>
  <w:footnote w:id="182">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na 1572, 3.01.04.01, Inv. Nr. 5309, 22.01.1653.</w:t>
        <w:br w:type="textWrapping"/>
        <w:t>Auch hier ging es um die kleinen 130-Fuß-Kriegsschiffe. Sie sollten in diesem Schreiben eine Schiffsweite von nur 31 Fuß bekommen.</w:t>
      </w:r>
    </w:p>
  </w:footnote>
  <w:footnote w:id="183">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na 1572, 3.01.04.01, Inv. Nr. 5309, 28.01.1653.</w:t>
        <w:br w:type="textWrapping"/>
      </w:r>
      <w:r>
        <w:rPr>
          <w:i/>
          <w:iCs/>
        </w:rPr>
        <w:t>„... soo omme de verdeelinge vande selve over de respective Collegien ter Admiraliteit gevoechlycker te vinden alsmede om verscheyden andere consideratien goetgevonden was haer Ho: Mo: van advis te dienen, dat boven ende behalven de twee Schepen van 140. voeten lengte, tot Amstelredam op stapel staende, het eene by 't Collegie ter Admirl. tot Rotterdam voorgenomen te bouwen van 150 voeten lengte, mede naer 't bericht twelckmen dienaengaende heeft ontfangen soude connen, oock nae 't oordeel vande opgemelte haer Ho: Mo: gedeputeerden soude behooren gebracht te worden opde voorst. lengte van 140 voeten, ende dat wyders aengebouwt souden dienen te worden acht schepen van 136 voeten langh 34 voeten wyt, dertien ende drie quart voeten daer boven, mitsgaders noch het getal van twintich Schepen yder ter lengte van 130 voeten, wyte van 32 voeten, holte van dertien voeten ende 7 voeten daerboven, ...“</w:t>
      </w:r>
      <w:r/>
    </w:p>
  </w:footnote>
  <w:footnote w:id="184">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Mikrofilm 2685, Seite 116, 08.02.1653.</w:t>
      </w:r>
    </w:p>
  </w:footnote>
  <w:footnote w:id="185">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3214.</w:t>
      </w:r>
    </w:p>
  </w:footnote>
  <w:footnote w:id="186">
    <w:p>
      <w:tmFrameSectPr/>
      <w:pPr>
        <w:pStyle w:val="para10"/>
      </w:pPr>
      <w:r>
        <w:rPr>
          <w:rStyle w:val="char1"/>
        </w:rPr>
      </w:r>
      <w:r>
        <w:rPr>
          <w:rStyle w:val="char1"/>
        </w:rPr>
        <w:footnoteRef/>
      </w:r>
      <w:r>
        <w:t xml:space="preserve"> </w:t>
        <w:tab/>
        <w:t>Schon in dieser Resolution wird die Forderung erhoben, die Kuhbrücke des großen Schiffes 8 Fuß oberhalb des Überlaufs anzuordnen. Eine bis zu diesem Zeitpunkt nicht bekannte Deckshöhe. Sie wurde aber von den Schiffbauern nicht umgesetzt, da die Angabe des Bestecks maßgebend war.</w:t>
      </w:r>
    </w:p>
  </w:footnote>
  <w:footnote w:id="187">
    <w:p>
      <w:tmFrameSectPr/>
      <w:pPr>
        <w:pStyle w:val="para10"/>
      </w:pPr>
      <w:r>
        <w:rPr>
          <w:rStyle w:val="char1"/>
        </w:rPr>
      </w:r>
      <w:r>
        <w:rPr>
          <w:rStyle w:val="char1"/>
        </w:rPr>
        <w:footnoteRef/>
      </w:r>
      <w:r>
        <w:t xml:space="preserve"> </w:t>
        <w:tab/>
        <w:t>Resolutien van de Staten van Holland ende West-Vrieslandt, Band 1653, 28.02.1653, Seite 75.</w:t>
      </w:r>
    </w:p>
  </w:footnote>
  <w:footnote w:id="188">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169, 22.02.1653.</w:t>
        <w:br w:type="textWrapping"/>
      </w:r>
      <w:r>
        <w:rPr>
          <w:i/>
          <w:iCs/>
        </w:rPr>
        <w:t>„... dat de Schepen, aldaer gestellt zynde op 32 voeten wyt, ende 7 boven t' hol, zyn gevoecht op 33 ende 7 ¼ respective, ...“</w:t>
      </w:r>
      <w:r/>
    </w:p>
  </w:footnote>
  <w:footnote w:id="189">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169, 24.02.1653.</w:t>
        <w:br w:type="textWrapping"/>
        <w:t>Es handelte sich wahrscheinlich um Johan de Witt (1625-1672), gebürtig aus Dordrecht und erster Beamter der Provinz Holland. Er war die treibende Kraft im Lande und setzte sich immer wieder persönlich für die Belange der Marine ein. Sein Bruder Cornelis de Witt (1623-1672) war 1667 maßgeblich an der Vernichtung der englischen Kriegsschiffe in Chatham beteiligt. Beide wurden am 20.08.1672 auf grausame Weise ermordet.</w:t>
      </w:r>
    </w:p>
  </w:footnote>
  <w:footnote w:id="190">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1572-1795, Zugangsnummer 3.01.04.01, Inv. Nr. 86, 26.02.1653, Seite 69.</w:t>
      </w:r>
    </w:p>
  </w:footnote>
  <w:footnote w:id="206">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5552, 14.01.1653; Inv. Nr. 4565, Seite 22 - Secrete Resolutie, 22.01.1653.</w:t>
      </w:r>
    </w:p>
  </w:footnote>
  <w:footnote w:id="207">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5552, 14.01.1653.</w:t>
      </w:r>
    </w:p>
  </w:footnote>
  <w:footnote w:id="208">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van Holland na 1572, 3.01.04.01, Inv. Nr. 5309, 24.03.1653.</w:t>
        <w:br w:type="textWrapping"/>
      </w:r>
      <w:r>
        <w:rPr>
          <w:i/>
          <w:iCs/>
        </w:rPr>
        <w:t>„Zeesaecken versoeck Tromp groot schip by Jan Salomons te bouwen</w:t>
        <w:br w:type="textWrapping"/>
        <w:t>Is gelesen een memorie vande Lt. Admirael Tromp, versoeckende dat haer Ed: Groot Mo: de goede handt daer aen souden belyeven te houden ten eynde het grootse vande bewuste vyff Schepen van Oorloge de Raeden ter Admiralyteit tot Rotterdam aenbevolen t' esquiperen, in aller yl mochten werden voltrocken by M. Johan Salomons oppertimmerman vant' Collegie ter Admiraliteut voorst oock daernevens gehoort de lecture van twee distincte Briefen by de opgemelte Raeden over t' voorst subject aen haer Ed: Hooch Mo: geschreven van dates den 20den ende 21den deser loopende Maendt respective. Waer op gedelibereet synde is goedt gevonden, ende verstaen, dat ter Generaliteit desaecke daer henen sal worden gedirigeert, ten eynde de meergem: Raeden mach worden aengeschreven dat sylst t' voorst Schip alsnoch ten spoedichsten volgens, ende in conformite van voorgaende haer Ho: Mo: resolutie van date den 15den deser loopende maendt, publycquilyck sullen hebben te besteden, soo nochtans dat den aenbouw vandien geschiede onder d' opsicht van M. Jan Salomons voornemens, ende dat derhalven t' selve ook by de conditien vande bestedinge expresselyck sal worden gestipuleert.“</w:t>
      </w:r>
      <w:r/>
    </w:p>
  </w:footnote>
  <w:footnote w:id="209">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5563, 01.01.1655.</w:t>
      </w:r>
    </w:p>
  </w:footnote>
  <w:footnote w:id="210">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5554, 03.04.1653.</w:t>
      </w:r>
    </w:p>
  </w:footnote>
  <w:footnote w:id="211">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5553, 06.03.1653.</w:t>
      </w:r>
    </w:p>
  </w:footnote>
  <w:footnote w:id="212">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5556, 02.07.1653.</w:t>
      </w:r>
    </w:p>
  </w:footnote>
  <w:footnote w:id="213">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5556, 07.07.1653.</w:t>
      </w:r>
    </w:p>
  </w:footnote>
  <w:footnote w:id="214">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5556, 25.07.1653.</w:t>
      </w:r>
    </w:p>
  </w:footnote>
  <w:footnote w:id="215">
    <w:p>
      <w:tmFrameSectPr/>
      <w:pPr>
        <w:pStyle w:val="para10"/>
      </w:pPr>
      <w:r>
        <w:rPr>
          <w:rStyle w:val="char1"/>
        </w:rPr>
      </w:r>
      <w:r>
        <w:rPr>
          <w:rStyle w:val="char1"/>
        </w:rPr>
        <w:footnoteRef/>
      </w:r>
      <w:r>
        <w:t xml:space="preserve"> </w:t>
        <w:tab/>
        <w:t>Resolutien van de Staten van Holland en West-Vrieslandt, Band 1653, 03.04.1653, Seite 170.</w:t>
        <w:br w:type="textWrapping"/>
      </w:r>
      <w:r>
        <w:rPr>
          <w:i/>
          <w:iCs/>
        </w:rPr>
        <w:t>„... Is ter Vergaderinge gelesen de Missive van de Raeden ter Admiraliteyt tot Amsterdam, gheschreven aen haer Hoogh Mog, den ses en twintighsten der voorlede maendt [26.03.1653], daer by de selve serieuselijck recommanderen het aenbouwen van noch dertigh nieuwe Schepen van Oologe. ...“</w:t>
      </w:r>
      <w:r/>
    </w:p>
  </w:footnote>
  <w:footnote w:id="231">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5559, 10.12.1653.</w:t>
      </w:r>
    </w:p>
  </w:footnote>
  <w:footnote w:id="232">
    <w:p>
      <w:tmFrameSectPr/>
      <w:pPr>
        <w:pStyle w:val="para10"/>
        <w:hyphenationLines w:val="1"/>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xml:space="preserve">, </w:t>
      </w:r>
      <w:r>
        <w:rPr>
          <w:rFonts w:ascii="Times New Roman" w:hAnsi="Times New Roman" w:eastAsia="Lucida Sans Unicode" w:cs="Tahoma"/>
          <w:szCs w:val="20"/>
        </w:rPr>
        <w:t>Staten-Generaal, 1.01.02, Inv. Nr. 5560.</w:t>
      </w:r>
      <w:r/>
    </w:p>
  </w:footnote>
  <w:footnote w:id="233">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Mikrofilm 170, 24.12.1653. Seite 547.</w:t>
        <w:br w:type="textWrapping"/>
      </w:r>
      <w:r>
        <w:rPr>
          <w:i/>
          <w:iCs/>
        </w:rPr>
        <w:t>„... Oock goetgevonden, dat men tegens naeden middagh alhier sal bescheden den vice Admirael de With ende Capt. Verhaeft, mitsgaders den m. Schiptimmerluyden Wittert, Jacob Adriens, ende Simon Cornelsz als meed den Architeck Dirck Davidsz om te hooren der selve consideratien op voorgaende bestecken vande bewuste nieuwe gebouwde Schepen ...“</w:t>
      </w:r>
      <w:r/>
    </w:p>
  </w:footnote>
  <w:footnote w:id="234">
    <w:p>
      <w:tmFrameSectPr/>
      <w:pPr>
        <w:pStyle w:val="para10"/>
      </w:pPr>
      <w:r>
        <w:rPr>
          <w:rStyle w:val="char1"/>
        </w:rPr>
      </w:r>
      <w:r>
        <w:rPr>
          <w:rStyle w:val="char1"/>
        </w:rPr>
        <w:footnoteRef/>
      </w:r>
      <w:r>
        <w:t xml:space="preserve"> </w:t>
        <w:tab/>
      </w:r>
      <w:r>
        <w:fldChar w:fldCharType="begin"/>
        <w:instrText xml:space="preserve"> TMBIBLIOGRAPHY «Doedens 2008» </w:instrText>
        <w:fldChar w:fldCharType="separate"/>
        <w:t>[Doedens 2008]</w:t>
        <w:fldChar w:fldCharType="end"/>
      </w:r>
      <w:r>
        <w:t>, Seite 204 f.</w:t>
      </w:r>
    </w:p>
  </w:footnote>
  <w:footnote w:id="235">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5560, 27.12.1653.</w:t>
      </w:r>
    </w:p>
  </w:footnote>
  <w:footnote w:id="236">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5557, 04.08.1654.</w:t>
      </w:r>
    </w:p>
  </w:footnote>
  <w:footnote w:id="248">
    <w:p>
      <w:tmFrameSectPr/>
      <w:pPr>
        <w:pStyle w:val="para10"/>
      </w:pPr>
      <w:r>
        <w:rPr>
          <w:rStyle w:val="char1"/>
        </w:rPr>
      </w:r>
      <w:r>
        <w:rPr>
          <w:rStyle w:val="char1"/>
        </w:rPr>
        <w:footnoteRef/>
      </w:r>
      <w:r>
        <w:t xml:space="preserve"> </w:t>
        <w:tab/>
        <w:t>Siehe auch Second Dutch War, Letters and Papers, MS. 1666, Seite 349 ff.</w:t>
        <w:br w:type="textWrapping"/>
        <w:t>Het Scheepvaart Museum Amsterdam, Inv. Nr. BI 695 I. Hier gibt es Hinweise auf das Flottenbauprogramm dieser Jahre. Ein Besteck eines 165-Fuß-Kriegsschiffes zeigt, dass große Schiffe gebaut werden sollten.</w:t>
      </w:r>
    </w:p>
  </w:footnote>
  <w:footnote w:id="249">
    <w:p>
      <w:tmFrameSectPr/>
      <w:pPr>
        <w:pStyle w:val="para10"/>
      </w:pPr>
      <w:r>
        <w:rPr>
          <w:rStyle w:val="char1"/>
        </w:rPr>
      </w:r>
      <w:r>
        <w:rPr>
          <w:rStyle w:val="char1"/>
        </w:rPr>
        <w:footnoteRef/>
      </w:r>
      <w:r>
        <w:t xml:space="preserve"> </w:t>
        <w:tab/>
      </w:r>
      <w:r>
        <w:fldChar w:fldCharType="begin"/>
        <w:instrText xml:space="preserve"> TMBIBLIOGRAPHY «Bruijn 1998» </w:instrText>
        <w:fldChar w:fldCharType="separate"/>
        <w:t>[Bruijn 1998]</w:t>
        <w:fldChar w:fldCharType="end"/>
      </w:r>
      <w:r>
        <w:t>, Seite 101.</w:t>
      </w:r>
    </w:p>
  </w:footnote>
  <w:footnote w:id="250">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XXXIX Bisdom, 1.01.47.21, Inv. Nr. 10, Teil 1, Seite 1 und 2, 21.12.1689.</w:t>
      </w:r>
    </w:p>
  </w:footnote>
  <w:footnote w:id="251">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Zugangsnummer 1.01.46. Inv. Nr. 3256.</w:t>
      </w:r>
    </w:p>
  </w:footnote>
  <w:footnote w:id="252">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1.01.46, Inv. Nr. 3256, 07.10.1701.</w:t>
      </w:r>
    </w:p>
  </w:footnote>
  <w:footnote w:id="253">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Admiraliteitscolleges XXXIX Bisdom, 1.01.47.21, Inv. Nr. 10, Teil 1, Seite 280, April 1697.</w:t>
      </w:r>
    </w:p>
  </w:footnote>
  <w:footnote w:id="255">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5590, 09.01.1666.</w:t>
      </w:r>
    </w:p>
  </w:footnote>
  <w:footnote w:id="256">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5590, 10.02.1666.</w:t>
      </w:r>
    </w:p>
  </w:footnote>
  <w:footnote w:id="257">
    <w:p>
      <w:tmFrameSectPr/>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Staten-Generaal, 1.01.02, Inv. Nr. 9247, 17.03.1666.</w:t>
      </w:r>
    </w:p>
  </w:footnote>
  <w:footnote w:id="261">
    <w:p>
      <w:tmFrameSectPr/>
      <w:pPr>
        <w:pStyle w:val="para10"/>
      </w:pPr>
      <w:r>
        <w:rPr>
          <w:rStyle w:val="char1"/>
        </w:rPr>
      </w:r>
      <w:r>
        <w:rPr>
          <w:rStyle w:val="char1"/>
        </w:rPr>
        <w:footnoteRef/>
      </w:r>
      <w:r>
        <w:t xml:space="preserve"> </w:t>
        <w:tab/>
        <w:t>Nationaal Archief Den Haag, Zugang 1.01.02, Inv. Nr. 5558 P1070908.JPG.</w:t>
        <w:br w:type="textWrapping"/>
        <w:t>Transkription siehe Bd. III, Zusätze Bestecke, Seite 63ff.</w:t>
      </w:r>
    </w:p>
  </w:footnote>
  <w:footnote w:id="264">
    <w:p>
      <w:pPr>
        <w:pStyle w:val="para10"/>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Staten Generaal, NL-HaNA_1.01.02_3910, Seite 596, 597.</w:t>
      </w:r>
    </w:p>
  </w:footnote>
  <w:footnote w:id="269">
    <w:p>
      <w:tmFrameSectPr/>
      <w:pPr>
        <w:pStyle w:val="para10"/>
      </w:pPr>
      <w:r>
        <w:rPr>
          <w:rStyle w:val="char1"/>
        </w:rPr>
      </w:r>
      <w:r>
        <w:rPr>
          <w:rStyle w:val="char1"/>
        </w:rPr>
        <w:footnoteRef/>
      </w:r>
      <w:r>
        <w:t xml:space="preserve"> </w:t>
        <w:tab/>
      </w:r>
      <w:r>
        <w:fldChar w:fldCharType="begin"/>
        <w:instrText xml:space="preserve"> TMBIBLIOGRAPHY «Senner 1963» </w:instrText>
        <w:fldChar w:fldCharType="separate"/>
        <w:t>[Senner 1963]</w:t>
        <w:fldChar w:fldCharType="end"/>
      </w:r>
    </w:p>
  </w:footnote>
  <w:footnote w:id="271">
    <w:p>
      <w:tmFrameSectPr/>
      <w:pPr>
        <w:pStyle w:val="para10"/>
      </w:pPr>
      <w:r>
        <w:rPr>
          <w:rStyle w:val="char1"/>
        </w:rPr>
      </w:r>
      <w:r>
        <w:rPr>
          <w:rStyle w:val="char1"/>
        </w:rPr>
        <w:footnoteRef/>
      </w:r>
      <w:r>
        <w:t xml:space="preserve"> </w:t>
        <w:tab/>
      </w:r>
      <w:r>
        <w:fldChar w:fldCharType="begin"/>
        <w:instrText xml:space="preserve"> TMBIBLIOGRAPHY «Allard 1695» </w:instrText>
        <w:fldChar w:fldCharType="separate"/>
        <w:t>[Allard 1695]</w:t>
        <w:fldChar w:fldCharType="end"/>
      </w:r>
      <w:r>
        <w:t>.</w:t>
      </w:r>
    </w:p>
  </w:footnote>
  <w:footnote w:id="279">
    <w:p>
      <w:tmFrameSectPr/>
      <w:pPr>
        <w:pStyle w:val="para10"/>
      </w:pPr>
      <w:r>
        <w:rPr>
          <w:rStyle w:val="char1"/>
        </w:rPr>
      </w:r>
      <w:r>
        <w:rPr>
          <w:rStyle w:val="char1"/>
        </w:rPr>
        <w:footnoteRef/>
      </w:r>
      <w:r>
        <w:t xml:space="preserve"> </w:t>
        <w:tab/>
      </w:r>
      <w:r>
        <w:fldChar w:fldCharType="begin"/>
        <w:instrText xml:space="preserve"> TMBIBLIOGRAPHY «Udemans 1757» </w:instrText>
        <w:fldChar w:fldCharType="separate"/>
        <w:t>[Udemans 1757]</w:t>
        <w:fldChar w:fldCharType="end"/>
      </w:r>
      <w:r>
        <w:t>.</w:t>
      </w:r>
    </w:p>
  </w:footnote>
  <w:footnote w:id="290">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«Witsen 1671» </w:instrText>
        <w:fldChar w:fldCharType="separate"/>
        <w:t>[Witsen 1671]</w:t>
        <w:fldChar w:fldCharType="end"/>
      </w:r>
      <w:r>
        <w:t>, Seite 113:</w:t>
        <w:br w:type="textWrapping"/>
      </w:r>
      <w:r>
        <w:rPr>
          <w:i/>
          <w:iCs/>
          <w:lang w:val="nl-nl" w:eastAsia="nl-nl" w:bidi="nl-nl"/>
        </w:rPr>
        <w:t>„... Volght een generaele Certer, of liever Taefel, waer uit men zien kan alle grootheden van de voornaemste scheeps-deelen, die men in het bouwen noodigst heft te weten, en zulks van schepen langh over steven van 60 voeten af, tot 200 voeten toe, proportioneel by een gestelt, by wijlen de vermaerde Scheepsbouw-meester, Jan Dirrikze Grebber. ...“</w:t>
      </w:r>
      <w:r/>
    </w:p>
  </w:footnote>
  <w:footnote w:id="296">
    <w:p>
      <w:tmFrameSectPr/>
      <w:pPr>
        <w:pStyle w:val="para10"/>
      </w:pPr>
      <w:r>
        <w:rPr>
          <w:rStyle w:val="char1"/>
        </w:rPr>
      </w:r>
      <w:r>
        <w:rPr>
          <w:rStyle w:val="char1"/>
        </w:rPr>
        <w:footnoteRef/>
      </w:r>
      <w:r>
        <w:t xml:space="preserve"> </w:t>
        <w:tab/>
      </w:r>
      <w:r>
        <w:rPr>
          <w:lang w:val="nl-nl" w:eastAsia="nl-nl" w:bidi="nl-nl"/>
        </w:rPr>
        <w:t>Nationaal Archief Den Haag, Zugang 1.05.01.02, Inv. Nr.: 78, Seite 138 ff.</w:t>
        <w:br w:type="textWrapping"/>
        <w:t>Inventaris van het archief de Tweede West-Indische Compagnie (WIC), (1624) 1674-1791.</w:t>
      </w:r>
      <w:r>
        <w:br w:type="textWrapping"/>
        <w:t xml:space="preserve">Die Transkription liegt in der Arbeit </w:t>
      </w:r>
      <w:r>
        <w:fldChar w:fldCharType="begin"/>
        <w:instrText xml:space="preserve"> TMBIBLIOGRAPHY «Ulrich W 2020» </w:instrText>
        <w:fldChar w:fldCharType="separate"/>
        <w:t>[Ulrich W 2020]</w:t>
        <w:fldChar w:fldCharType="end"/>
      </w:r>
      <w:r>
        <w:t xml:space="preserve"> vor.</w:t>
      </w:r>
    </w:p>
  </w:footnote>
  <w:footnote w:id="297">
    <w:p>
      <w:tmFrameSectPr/>
      <w:pPr>
        <w:pStyle w:val="para10"/>
      </w:pPr>
      <w:r>
        <w:rPr>
          <w:rStyle w:val="char1"/>
        </w:rPr>
      </w:r>
      <w:r>
        <w:rPr>
          <w:rStyle w:val="char1"/>
        </w:rPr>
        <w:footnoteRef/>
      </w:r>
      <w:r>
        <w:t xml:space="preserve"> </w:t>
        <w:tab/>
        <w:t>Der Unterlage kann leider nicht entnommen werden, ob es sich bei der Besprechung um 3D-Modelle aus Holz handelte. Es könnte sich auch um Zeichnungen gehandelt haben. Oder es ging halt nur um die in dem Bericht aufgeführten Aufmaße des Schiffes.</w:t>
      </w:r>
    </w:p>
  </w:footnote>
  <w:footnote w:id="299">
    <w:p>
      <w:tmFrameSectPr/>
      <w:pPr>
        <w:pStyle w:val="para10"/>
      </w:pPr>
      <w:r>
        <w:rPr>
          <w:rStyle w:val="char1"/>
          <w:rFonts w:eastAsia="Comic Sans MS" w:cs="Comic Sans MS"/>
        </w:rPr>
      </w:r>
      <w:r>
        <w:rPr>
          <w:rStyle w:val="char1"/>
          <w:rFonts w:eastAsia="Comic Sans MS" w:cs="Comic Sans MS"/>
        </w:rPr>
        <w:footnoteRef/>
      </w:r>
      <w:r>
        <w:tab/>
        <w:t>Das Original (Kopie) befindet sich im Ordner , Register ; ... .</w:t>
        <w:br w:type="textWrapping"/>
        <w:t>Transkription Werner Ulrich, 2021.</w:t>
      </w:r>
    </w:p>
  </w:footnote>
  <w:footnote w:id="300">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1.04.02 - 99, Seite 28 ff., 71 ff., 235 ff.</w:t>
      </w:r>
    </w:p>
  </w:footnote>
  <w:footnote w:id="301">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1.04.02 -7348, Seite 96 ff., 169 ff., 203 ff., usw.</w:t>
      </w:r>
    </w:p>
  </w:footnote>
  <w:footnote w:id="302">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1.04.02 - 103, Kleine Jacht 116 Fuß, Jacht 126 Fuß, Jacht 134 Fuß, Retourschip 160 Fuß.</w:t>
      </w:r>
    </w:p>
  </w:footnote>
  <w:footnote w:id="303">
    <w:p>
      <w:tmFrameSectPr/>
      <w:pPr>
        <w:pStyle w:val="para10"/>
      </w:pPr>
      <w:r>
        <w:rPr>
          <w:rStyle w:val="char1"/>
          <w:rFonts w:eastAsia="Comic Sans MS" w:cs="Comic Sans MS"/>
        </w:rPr>
      </w:r>
      <w:r>
        <w:rPr>
          <w:rStyle w:val="char1"/>
          <w:rFonts w:eastAsia="Comic Sans MS" w:cs="Comic Sans MS"/>
        </w:rPr>
        <w:footnoteRef/>
      </w:r>
      <w:r>
        <w:t xml:space="preserve"> </w:t>
        <w:tab/>
        <w:t>Het Scheepvaart Museum Amsterdam, Rubr. [0001], Inv. Nr.: MG-0132.</w:t>
      </w:r>
    </w:p>
  </w:footnote>
  <w:footnote w:id="304">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1.04.02 - 32, Seite 669 ff.</w:t>
      </w:r>
    </w:p>
  </w:footnote>
  <w:footnote w:id="305">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1.04.02 - 7363, Seite 297 ff.</w:t>
      </w:r>
    </w:p>
  </w:footnote>
  <w:footnote w:id="306">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1.04.02 - 7372, Seite 312 ff.</w:t>
      </w:r>
    </w:p>
  </w:footnote>
  <w:footnote w:id="307">
    <w:p>
      <w:tmFrameSectPr/>
      <w:pPr>
        <w:pStyle w:val="para10"/>
      </w:pPr>
      <w:r>
        <w:rPr>
          <w:rStyle w:val="char1"/>
          <w:rFonts w:eastAsia="Comic Sans MS" w:cs="Comic Sans MS"/>
        </w:rPr>
      </w:r>
      <w:r>
        <w:rPr>
          <w:rStyle w:val="char1"/>
          <w:rFonts w:eastAsia="Comic Sans MS" w:cs="Comic Sans MS"/>
        </w:rPr>
        <w:footnoteRef/>
      </w:r>
      <w:r>
        <w:t xml:space="preserve"> </w:t>
        <w:tab/>
      </w:r>
      <w:r>
        <w:fldChar w:fldCharType="begin"/>
        <w:instrText xml:space="preserve"> TMBIBLIOGRAPHY «NL-HaNA» </w:instrText>
        <w:fldChar w:fldCharType="separate"/>
        <w:t>[NL-HaNA]</w:t>
        <w:fldChar w:fldCharType="end"/>
      </w:r>
      <w:r>
        <w:t>, 1.04.02 - 123, Seite 155, 586, 1.04.02 - 7375, Seite 202, 203 und 207.</w:t>
      </w:r>
    </w:p>
  </w:footnote>
  <w:footnote w:id="309">
    <w:p>
      <w:pPr>
        <w:pStyle w:val="para10"/>
      </w:pPr>
      <w:r>
        <w:rPr>
          <w:rStyle w:val="char1"/>
        </w:rPr>
      </w:r>
      <w:r>
        <w:rPr>
          <w:rStyle w:val="char1"/>
        </w:rPr>
        <w:footnoteRef/>
      </w:r>
      <w:r>
        <w:t xml:space="preserve"> </w:t>
        <w:tab/>
        <w:t>Nationaal archief Den Haag, 1.04.02 - 99, ab Seite ?.</w:t>
      </w:r>
    </w:p>
  </w:footnote>
  <w:footnote w:id="311">
    <w:p>
      <w:pPr>
        <w:pStyle w:val="para10"/>
      </w:pPr>
      <w:r>
        <w:rPr>
          <w:rStyle w:val="char1"/>
        </w:rPr>
      </w:r>
      <w:r>
        <w:rPr>
          <w:rStyle w:val="char1"/>
        </w:rPr>
        <w:footnoteRef/>
      </w:r>
      <w:r>
        <w:t xml:space="preserve"> </w:t>
        <w:tab/>
        <w:t>Nationaal archief Den Haag, 1.04.02 - 149, ab Seite 373.</w:t>
      </w:r>
    </w:p>
  </w:footnote>
  <w:footnote w:id="313">
    <w:p>
      <w:pPr>
        <w:pStyle w:val="para10"/>
      </w:pPr>
      <w:r>
        <w:rPr>
          <w:rStyle w:val="char1"/>
        </w:rPr>
      </w:r>
      <w:r>
        <w:rPr>
          <w:rStyle w:val="char1"/>
        </w:rPr>
        <w:footnoteRef/>
      </w:r>
      <w:r>
        <w:t xml:space="preserve"> </w:t>
        <w:tab/>
        <w:t>Nationaal archief Den Haag, 1.04.02 - 149, ab Seite 925.</w:t>
      </w:r>
    </w:p>
  </w:footnote>
  <w:footnote w:id="315">
    <w:p>
      <w:pPr>
        <w:pStyle w:val="para10"/>
      </w:pPr>
      <w:r>
        <w:rPr>
          <w:rStyle w:val="char1"/>
        </w:rPr>
      </w:r>
      <w:r>
        <w:rPr>
          <w:rStyle w:val="char1"/>
        </w:rPr>
        <w:footnoteRef/>
      </w:r>
      <w:r>
        <w:t xml:space="preserve"> </w:t>
        <w:tab/>
        <w:t>Nationaal archief Den Haag, 1.04.02 - 149, ab Seite 1199.</w:t>
      </w:r>
    </w:p>
  </w:footnote>
  <w:footnote w:id="317">
    <w:p>
      <w:pPr>
        <w:pStyle w:val="para10"/>
      </w:pPr>
      <w:r>
        <w:rPr>
          <w:rStyle w:val="char1"/>
        </w:rPr>
      </w:r>
      <w:r>
        <w:rPr>
          <w:rStyle w:val="char1"/>
        </w:rPr>
        <w:footnoteRef/>
      </w:r>
      <w:r>
        <w:t xml:space="preserve"> </w:t>
        <w:tab/>
        <w:t>Nationaal archief Den Haag, 1.04.02 - 103, ab Seite 239.</w:t>
      </w:r>
    </w:p>
  </w:footnote>
  <w:footnote w:id="319">
    <w:p>
      <w:pPr>
        <w:pStyle w:val="para10"/>
      </w:pPr>
      <w:r>
        <w:rPr>
          <w:rStyle w:val="char1"/>
        </w:rPr>
      </w:r>
      <w:r>
        <w:rPr>
          <w:rStyle w:val="char1"/>
        </w:rPr>
        <w:footnoteRef/>
      </w:r>
      <w:r>
        <w:t xml:space="preserve"> </w:t>
        <w:tab/>
        <w:t>Nationaal archief Den Haag, 1.04.02 - 103, ab Seite 237.</w:t>
      </w:r>
    </w:p>
  </w:footnote>
  <w:footnote w:id="321">
    <w:p>
      <w:pPr>
        <w:pStyle w:val="para10"/>
      </w:pPr>
      <w:r>
        <w:rPr>
          <w:rStyle w:val="char1"/>
        </w:rPr>
      </w:r>
      <w:r>
        <w:rPr>
          <w:rStyle w:val="char1"/>
        </w:rPr>
        <w:footnoteRef/>
      </w:r>
      <w:r>
        <w:t xml:space="preserve"> </w:t>
        <w:tab/>
        <w:t>Nationaal archief Den Haag, 1.04.02 - 103, ab Seite 238.</w:t>
      </w:r>
    </w:p>
  </w:footnote>
  <w:footnote w:id="323">
    <w:p>
      <w:pPr>
        <w:pStyle w:val="para10"/>
      </w:pPr>
      <w:r>
        <w:rPr>
          <w:rStyle w:val="char1"/>
        </w:rPr>
      </w:r>
      <w:r>
        <w:rPr>
          <w:rStyle w:val="char1"/>
        </w:rPr>
        <w:footnoteRef/>
      </w:r>
      <w:r>
        <w:t xml:space="preserve"> </w:t>
        <w:tab/>
        <w:t>Nationaal archief Den Haag, 1.04.02 - 104, ab Seite 167.</w:t>
      </w:r>
    </w:p>
  </w:footnote>
  <w:footnote w:id="325">
    <w:p>
      <w:pPr>
        <w:pStyle w:val="para10"/>
      </w:pPr>
      <w:r>
        <w:rPr>
          <w:rStyle w:val="char1"/>
        </w:rPr>
      </w:r>
      <w:r>
        <w:rPr>
          <w:rStyle w:val="char1"/>
        </w:rPr>
        <w:footnoteRef/>
      </w:r>
      <w:r>
        <w:t xml:space="preserve"> </w:t>
        <w:tab/>
        <w:t>Nationaal archief Den Haag, 1.04.02 - 7348, ab Seite ?</w:t>
      </w:r>
    </w:p>
  </w:footnote>
  <w:footnote w:id="327">
    <w:p>
      <w:pPr>
        <w:pStyle w:val="para10"/>
      </w:pPr>
      <w:r>
        <w:rPr>
          <w:rStyle w:val="char1"/>
        </w:rPr>
      </w:r>
      <w:r>
        <w:rPr>
          <w:rStyle w:val="char1"/>
        </w:rPr>
        <w:footnoteRef/>
      </w:r>
      <w:r>
        <w:t xml:space="preserve"> </w:t>
        <w:tab/>
        <w:t>Nationaal archief Den Haag, 1.04.02 - 24, ab Seite 389.</w:t>
      </w:r>
    </w:p>
  </w:footnote>
  <w:footnote w:id="329">
    <w:p>
      <w:pPr>
        <w:pStyle w:val="para10"/>
      </w:pPr>
      <w:r>
        <w:rPr>
          <w:rStyle w:val="char1"/>
        </w:rPr>
      </w:r>
      <w:r>
        <w:rPr>
          <w:rStyle w:val="char1"/>
        </w:rPr>
        <w:footnoteRef/>
      </w:r>
      <w:r>
        <w:t xml:space="preserve"> </w:t>
        <w:tab/>
        <w:t>Nationaal archief Den Haag, 1.04.02 - 7426, ab Seite 22.</w:t>
      </w:r>
    </w:p>
  </w:footnote>
  <w:footnote w:id="331">
    <w:p>
      <w:pPr>
        <w:pStyle w:val="para10"/>
      </w:pPr>
      <w:r>
        <w:rPr>
          <w:rStyle w:val="char1"/>
        </w:rPr>
      </w:r>
      <w:r>
        <w:rPr>
          <w:rStyle w:val="char1"/>
        </w:rPr>
        <w:footnoteRef/>
      </w:r>
      <w:r>
        <w:t xml:space="preserve"> </w:t>
        <w:tab/>
        <w:t>Nationaal archief Den Haag, 1.04.02 - 4458, ab Seite 287.</w:t>
      </w:r>
    </w:p>
  </w:footnote>
  <w:footnote w:id="333">
    <w:p>
      <w:pPr>
        <w:pStyle w:val="para10"/>
      </w:pPr>
      <w:r>
        <w:rPr>
          <w:rStyle w:val="char1"/>
        </w:rPr>
      </w:r>
      <w:r>
        <w:rPr>
          <w:rStyle w:val="char1"/>
        </w:rPr>
        <w:footnoteRef/>
      </w:r>
      <w:r>
        <w:t xml:space="preserve"> </w:t>
        <w:tab/>
        <w:t>Het Scheepvaart Museum Amsterdam, Inv. Nr. MG-0132.</w:t>
      </w:r>
    </w:p>
  </w:footnote>
  <w:footnote w:id="335">
    <w:p>
      <w:pPr>
        <w:pStyle w:val="para10"/>
      </w:pPr>
      <w:r>
        <w:rPr>
          <w:rStyle w:val="char1"/>
        </w:rPr>
      </w:r>
      <w:r>
        <w:rPr>
          <w:rStyle w:val="char1"/>
        </w:rPr>
        <w:footnoteRef/>
      </w:r>
      <w:r>
        <w:t xml:space="preserve"> </w:t>
        <w:tab/>
        <w:t>Nationaal archief Den Haag, 1.04.02 - 30, ab Seite 226.</w:t>
      </w:r>
    </w:p>
  </w:footnote>
  <w:footnote w:id="337">
    <w:p>
      <w:pPr>
        <w:pStyle w:val="para10"/>
      </w:pPr>
      <w:r>
        <w:rPr>
          <w:rStyle w:val="char1"/>
          <w:lang w:val="de-de"/>
        </w:rPr>
      </w:r>
      <w:r>
        <w:rPr>
          <w:rStyle w:val="char1"/>
          <w:lang w:val="de-de"/>
        </w:rPr>
        <w:footnoteRef/>
      </w:r>
      <w:r>
        <w:t xml:space="preserve"> </w:t>
        <w:tab/>
        <w:t>Nationaal Archief Den Haag, Zugang 1.05.01.02, Inv. Nr.: 4459, ab Seite 909.</w:t>
      </w:r>
    </w:p>
  </w:footnote>
  <w:footnote w:id="339">
    <w:p>
      <w:pPr>
        <w:pStyle w:val="para10"/>
      </w:pPr>
      <w:r>
        <w:rPr>
          <w:rStyle w:val="char1"/>
        </w:rPr>
      </w:r>
      <w:r>
        <w:rPr>
          <w:rStyle w:val="char1"/>
        </w:rPr>
        <w:footnoteRef/>
      </w:r>
      <w:r>
        <w:t xml:space="preserve"> </w:t>
        <w:tab/>
        <w:t>Das Original befindet sich im Nationaal archief Den Haag. 1.04.02 - 32; ab Seite 669.</w:t>
      </w:r>
    </w:p>
  </w:footnote>
  <w:footnote w:id="341">
    <w:p>
      <w:pPr>
        <w:pStyle w:val="para10"/>
      </w:pPr>
      <w:r>
        <w:rPr>
          <w:rStyle w:val="char1"/>
        </w:rPr>
      </w:r>
      <w:r>
        <w:rPr>
          <w:rStyle w:val="char1"/>
        </w:rPr>
        <w:footnoteRef/>
      </w:r>
      <w:r>
        <w:t xml:space="preserve"> </w:t>
        <w:tab/>
        <w:t>Nationaal archief Den Haag, 1.04.02 - 41, Seite 352.</w:t>
      </w:r>
    </w:p>
  </w:footnote>
  <w:footnote w:id="343">
    <w:p>
      <w:pPr>
        <w:pStyle w:val="para10"/>
      </w:pPr>
      <w:r>
        <w:rPr>
          <w:rStyle w:val="char1"/>
        </w:rPr>
      </w:r>
      <w:r>
        <w:rPr>
          <w:rStyle w:val="char1"/>
        </w:rPr>
        <w:footnoteRef/>
      </w:r>
      <w:r>
        <w:t xml:space="preserve"> </w:t>
        <w:tab/>
        <w:t>Nationaal archief Den Haag, 1.04.02 - 45, Seite 670.</w:t>
      </w:r>
    </w:p>
  </w:footnote>
  <w:footnote w:id="345">
    <w:p>
      <w:pPr>
        <w:pStyle w:val="para10"/>
      </w:pPr>
      <w:r>
        <w:rPr>
          <w:rStyle w:val="char1"/>
        </w:rPr>
      </w:r>
      <w:r>
        <w:rPr>
          <w:rStyle w:val="char1"/>
        </w:rPr>
        <w:footnoteRef/>
      </w:r>
      <w:r>
        <w:t xml:space="preserve"> </w:t>
        <w:tab/>
        <w:t>Nationaal archief Den Haag, 1.04.02 - 7372, ab Seite 312.</w:t>
      </w:r>
    </w:p>
  </w:footnote>
  <w:footnote w:id="347">
    <w:p>
      <w:pPr>
        <w:pStyle w:val="para10"/>
      </w:pPr>
      <w:r>
        <w:rPr>
          <w:rStyle w:val="char1"/>
        </w:rPr>
      </w:r>
      <w:r>
        <w:rPr>
          <w:rStyle w:val="char1"/>
        </w:rPr>
        <w:footnoteRef/>
      </w:r>
      <w:r>
        <w:t xml:space="preserve"> </w:t>
        <w:tab/>
        <w:t>Nationaal archief Den Haag, 1.04.02 - 51, ab Seite 144.</w:t>
      </w:r>
    </w:p>
  </w:footnote>
  <w:footnote w:id="353">
    <w:p>
      <w:tmFrameSectPr/>
      <w:pPr>
        <w:pStyle w:val="para10"/>
      </w:pPr>
      <w:r>
        <w:rPr>
          <w:rStyle w:val="char1"/>
          <w:rFonts w:eastAsia="Comic Sans MS" w:cs="Comic Sans MS"/>
        </w:rPr>
      </w:r>
      <w:r>
        <w:rPr>
          <w:rStyle w:val="char1"/>
          <w:rFonts w:eastAsia="Comic Sans MS" w:cs="Comic Sans MS"/>
        </w:rPr>
        <w:footnoteRef/>
      </w:r>
      <w:r>
        <w:t xml:space="preserve"> </w:t>
        <w:tab/>
        <w:t>Die Angaben der Senten sind noch etwas undurchsichtig.</w:t>
      </w:r>
    </w:p>
  </w:footnote>
  <w:footnote w:id="354">
    <w:p>
      <w:tmFrameSectPr/>
      <w:pPr>
        <w:pStyle w:val="para10"/>
      </w:pPr>
      <w:r>
        <w:rPr>
          <w:rStyle w:val="char1"/>
          <w:rFonts w:eastAsia="Comic Sans MS" w:cs="Comic Sans MS"/>
        </w:rPr>
      </w:r>
      <w:r>
        <w:rPr>
          <w:rStyle w:val="char1"/>
          <w:rFonts w:eastAsia="Comic Sans MS" w:cs="Comic Sans MS"/>
        </w:rPr>
        <w:footnoteRef/>
      </w:r>
      <w:r>
        <w:t xml:space="preserve"> </w:t>
        <w:tab/>
        <w:t>Dieses Maß wurde korrigiert auch 6 Fuß 8 1/4 Daumen.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9"/>
      <w:spacing/>
      <w:jc w:val="right"/>
    </w:pPr>
    <w:r>
      <w:t>©Werner Ulrich, 25.11.2020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jc w:val="left"/>
        <w:after w:val="."/>
      </w:bPr>
    </w:lvl>
    <w:lvl w:ilvl="1">
      <w:numFmt w:val="none"/>
      <w:suff w:val="dxa"/>
      <w:lvlText w:val=""/>
      <w:lvlJc w:val="left"/>
      <w:addIndent w:val="0"/>
      <w:bPr>
        <w:type w:val="none"/>
        <w:position w:dxa="360" w:dya="0"/>
        <w:jc w:val="left"/>
        <w:after w:val="."/>
      </w:bPr>
    </w:lvl>
    <w:lvl w:ilvl="2">
      <w:numFmt w:val="none"/>
      <w:suff w:val="dxa"/>
      <w:lvlText w:val=""/>
      <w:lvlJc w:val="left"/>
      <w:addIndent w:val="0"/>
      <w:bPr>
        <w:type w:val="none"/>
        <w:position w:dxa="360" w:dya="0"/>
        <w:jc w:val="left"/>
        <w:after w:val="."/>
      </w:bPr>
    </w:lvl>
    <w:lvl w:ilvl="3">
      <w:numFmt w:val="none"/>
      <w:suff w:val="dxa"/>
      <w:lvlText w:val=""/>
      <w:lvlJc w:val="left"/>
      <w:addIndent w:val="0"/>
      <w:bPr>
        <w:type w:val="none"/>
        <w:position w:dxa="360" w:dya="0"/>
        <w:jc w:val="left"/>
        <w:after w:val="."/>
      </w:bPr>
    </w:lvl>
    <w:lvl w:ilvl="4">
      <w:numFmt w:val="none"/>
      <w:suff w:val="dxa"/>
      <w:lvlText w:val=""/>
      <w:lvlJc w:val="left"/>
      <w:addIndent w:val="0"/>
      <w:bPr>
        <w:type w:val="none"/>
        <w:position w:dxa="360" w:dya="0"/>
        <w:jc w:val="left"/>
        <w:after w:val="."/>
      </w:bPr>
    </w:lvl>
    <w:lvl w:ilvl="5">
      <w:numFmt w:val="none"/>
      <w:suff w:val="dxa"/>
      <w:lvlText w:val=""/>
      <w:lvlJc w:val="left"/>
      <w:addIndent w:val="0"/>
      <w:bPr>
        <w:type w:val="none"/>
        <w:position w:dxa="360" w:dya="0"/>
        <w:jc w:val="left"/>
        <w:after w:val="."/>
      </w:bPr>
    </w:lvl>
    <w:lvl w:ilvl="6">
      <w:numFmt w:val="none"/>
      <w:suff w:val="dxa"/>
      <w:lvlText w:val=""/>
      <w:lvlJc w:val="left"/>
      <w:addIndent w:val="0"/>
      <w:bPr>
        <w:type w:val="none"/>
        <w:position w:dxa="360" w:dya="0"/>
        <w:jc w:val="left"/>
        <w:after w:val="."/>
      </w:bPr>
    </w:lvl>
    <w:lvl w:ilvl="7">
      <w:numFmt w:val="none"/>
      <w:suff w:val="dxa"/>
      <w:lvlText w:val=""/>
      <w:lvlJc w:val="left"/>
      <w:addIndent w:val="0"/>
      <w:bPr>
        <w:type w:val="none"/>
        <w:position w:dxa="360" w:dya="0"/>
        <w:jc w:val="left"/>
        <w:after w:val="."/>
      </w:bPr>
    </w:lvl>
    <w:lvl w:ilvl="8">
      <w:numFmt w:val="none"/>
      <w:suff w:val="dxa"/>
      <w:lvlText w:val=""/>
      <w:lvlJc w:val="left"/>
      <w:addIndent w:val="0"/>
      <w:bPr>
        <w:type w:val="none"/>
        <w:position w:dxa="360" w:dya="0"/>
        <w:jc w:val="left"/>
        <w:after w:val="."/>
      </w:bPr>
    </w:lvl>
  </w:abstractNum>
  <w:abstractNum w:abstractNumId="1">
    <w:multiLevelType w:val="hybridMultilevel"/>
    <w:name w:val="Nummerierungsliste 2"/>
    <w:lvl w:ilvl="0">
      <w:start w:val="1"/>
      <w:numFmt w:val="decimal"/>
      <w:pStyle w:val="para11"/>
      <w:suff w:val="dxa"/>
      <w:lvlText w:val="%1."/>
      <w:lvlJc w:val="left"/>
      <w:addIndent w:val="0"/>
      <w:bPr>
        <w:type w:val="num"/>
        <w:numType w:val="1"/>
        <w:position w:dxa="360" w:dya="0"/>
        <w:jc w:val="left"/>
      </w:bPr>
    </w:lvl>
    <w:lvl w:ilvl="1">
      <w:start w:val="1"/>
      <w:numFmt w:val="decimal"/>
      <w:suff w:val="dxa"/>
      <w:lvlText w:val="%1.%2."/>
      <w:lvlJc w:val="left"/>
      <w:addIndent w:val="0"/>
      <w:bPr>
        <w:type w:val="num"/>
        <w:numType w:val="1"/>
        <w:position w:dxa="501" w:dya="0"/>
        <w:jc w:val="left"/>
      </w:bPr>
    </w:lvl>
    <w:lvl w:ilvl="2">
      <w:start w:val="1"/>
      <w:numFmt w:val="decimal"/>
      <w:suff w:val="dxa"/>
      <w:lvlText w:val="%1.%2.%3."/>
      <w:lvlJc w:val="left"/>
      <w:addIndent w:val="0"/>
      <w:bPr>
        <w:type w:val="num"/>
        <w:numType w:val="1"/>
        <w:position w:dxa="642" w:dya="0"/>
        <w:jc w:val="left"/>
      </w:bPr>
    </w:lvl>
    <w:lvl w:ilvl="3">
      <w:start w:val="1"/>
      <w:numFmt w:val="decimal"/>
      <w:suff w:val="dxa"/>
      <w:lvlText w:val="%1.%2.%3.%4."/>
      <w:lvlJc w:val="left"/>
      <w:addIndent w:val="0"/>
      <w:bPr>
        <w:type w:val="num"/>
        <w:numType w:val="1"/>
        <w:position w:dxa="783" w:dya="0"/>
        <w:jc w:val="left"/>
      </w:bPr>
    </w:lvl>
    <w:lvl w:ilvl="4">
      <w:start w:val="1"/>
      <w:numFmt w:val="decimal"/>
      <w:suff w:val="dxa"/>
      <w:lvlText w:val="%1.%2.%3.%4.%5."/>
      <w:lvlJc w:val="left"/>
      <w:addIndent w:val="0"/>
      <w:bPr>
        <w:type w:val="num"/>
        <w:numType w:val="1"/>
        <w:position w:dxa="924" w:dya="0"/>
        <w:jc w:val="left"/>
      </w:bPr>
    </w:lvl>
    <w:lvl w:ilvl="5">
      <w:start w:val="1"/>
      <w:numFmt w:val="decimal"/>
      <w:suff w:val="dxa"/>
      <w:lvlText w:val="%1.%2.%3.%4.%5.%6."/>
      <w:lvlJc w:val="left"/>
      <w:addIndent w:val="0"/>
      <w:bPr>
        <w:type w:val="num"/>
        <w:numType w:val="1"/>
        <w:position w:dxa="1065" w:dya="0"/>
        <w:jc w:val="left"/>
      </w:bPr>
    </w:lvl>
    <w:lvl w:ilvl="6">
      <w:start w:val="1"/>
      <w:numFmt w:val="decimal"/>
      <w:suff w:val="dxa"/>
      <w:lvlText w:val="%1.%2.%3.%4.%5.%6.%7."/>
      <w:lvlJc w:val="left"/>
      <w:addIndent w:val="0"/>
      <w:bPr>
        <w:type w:val="num"/>
        <w:numType w:val="1"/>
        <w:position w:dxa="1206" w:dya="0"/>
        <w:jc w:val="left"/>
      </w:bPr>
    </w:lvl>
    <w:lvl w:ilvl="7">
      <w:start w:val="1"/>
      <w:numFmt w:val="decimal"/>
      <w:suff w:val="dxa"/>
      <w:lvlText w:val="%1.%2.%3.%4.%5.%6.%7.%8."/>
      <w:lvlJc w:val="left"/>
      <w:addIndent w:val="0"/>
      <w:bPr>
        <w:type w:val="num"/>
        <w:numType w:val="1"/>
        <w:position w:dxa="1347" w:dya="0"/>
        <w:jc w:val="left"/>
      </w:bPr>
    </w:lvl>
    <w:lvl w:ilvl="8">
      <w:start w:val="1"/>
      <w:numFmt w:val="decimal"/>
      <w:suff w:val="dxa"/>
      <w:lvlText w:val="%1.%2.%3.%4.%5.%6.%7.%8.%9."/>
      <w:lvlJc w:val="left"/>
      <w:addIndent w:val="0"/>
      <w:bPr>
        <w:type w:val="num"/>
        <w:numType w:val="1"/>
        <w:position w:dxa="1488" w:dya="0"/>
        <w:jc w:val="left"/>
      </w:b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90738358" w:val="1202" w:fileVer="342" w:fileVer64="64" w:fileVerOS="4"/>
  <w:zoom w:percent="150"/>
  <w:view w:val="print"/>
  <w:mailMerge>
    <w:mainDocumentType w:val="formLetters"/>
    <w:linkToQuery/>
    <w:dataType w:val="odbc"/>
    <w:connectString w:val="DSN=dBASE Files;DBQ=D:\D\Datenbanken;DefaultDir=D:\D\Datenbanken;FIL=dBase 5.0;MaxBufferSize=2048;PageTimeout=5;"/>
    <w:query w:val="SELECT * FROM &quot;biblioSM&quot;"/>
    <w:dataSource r:id="rId1"/>
    <w:dataSourceType w:val="3" w:hasFldNames="1" w:table="biblioSM"/>
  </w:mailMerge>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0" w:space="0" w:color="000000" tmln="1, 0, 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compat>
  <w:shapeDefaults>
    <o:shapedefaults v:ext="edit" spidmax="3073"/>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23"/>
    <w:tmReviewMarkIns w:val="4"/>
    <w:tmReviewColorIns w:val="-1"/>
    <w:tmReviewMarkDel w:val="6"/>
    <w:tmReviewColorDel w:val="-1"/>
    <w:tmReviewMarkFmt w:val="1"/>
    <w:tmReviewColorFmt w:val="-1"/>
    <w:tmReviewMarkLn w:val="1"/>
    <w:tmReviewColorLn w:val="0"/>
    <w:tmReviewToolTip w:val="0"/>
  </w:tmReviewPr>
  <w:tmLastPos>
    <w:tmLastPosPage w:val="4"/>
    <w:tmLastPosSelect w:val="0"/>
    <w:tmLastPosFrameIdx w:val="0"/>
    <w:tmLastPosCaret>
      <w:tmLastPosPgfIdx w:val="89"/>
      <w:tmLastPosIdx w:val="0"/>
    </w:tmLastPosCaret>
    <w:tmLastPosAnchor>
      <w:tmLastPosPgfIdx w:val="0"/>
      <w:tmLastPosIdx w:val="0"/>
    </w:tmLastPosAnchor>
    <w:tmLastPosTblRect w:left="0" w:top="0" w:right="0" w:bottom="0"/>
  </w:tmLastPos>
  <w:indexPr w:heading="letter" w:right="1" w:char="middleDot"/>
  <bibliography>
    <bibdatabase name="D:\D\Datenbanken\biblioSM.sqlite" type="3" titles="1" charset="0" w:table="biblioSM" w:hasFldNames="1"/>
    <bibkey val="REFERENCE"/>
    <bibauthor val="AUTHOR"/>
    <bibtitle val="TITLE"/>
    <bibmask val="\fs167 \field {AUTHOR} : \field {TITLE} : \field {Untertitel} : \field {Verlag} : \field {Ersch_Ort} : \field {ErschJahr} "/>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rPr>
    <w:key w:val="1072"/>
  </w:style>
  <w:style w:type="paragraph" w:styleId="para1">
    <w:name w:val="heading 1"/>
    <w:qFormat/>
    <w:basedOn w:val="para0"/>
    <w:next w:val="para0"/>
    <w:pPr>
      <w:ind w:left="170"/>
      <w:spacing w:before="160" w:after="140"/>
      <w:outlineLvl w:val="0"/>
    </w:pPr>
    <w:rPr>
      <w:b/>
      <w:bCs/>
      <w:sz w:val="22"/>
      <w:szCs w:val="22"/>
    </w:rPr>
    <w:key w:val="1073"/>
  </w:style>
  <w:style w:type="paragraph" w:styleId="para2">
    <w:name w:val="heading 2"/>
    <w:qFormat/>
    <w:basedOn w:val="para1"/>
    <w:next w:val="para9"/>
    <w:pPr>
      <w:ind w:left="283"/>
      <w:spacing w:before="80" w:after="200"/>
      <w:keepNext/>
      <w:outlineLvl w:val="1"/>
    </w:pPr>
    <w:key w:val="1074"/>
  </w:style>
  <w:style w:type="paragraph" w:styleId="para3">
    <w:name w:val="heading 3"/>
    <w:qFormat/>
    <w:basedOn w:val="para2"/>
    <w:next w:val="para0"/>
    <w:pPr>
      <w:ind w:left="340"/>
      <w:outlineLvl w:val="2"/>
    </w:pPr>
    <w:key w:val="1075"/>
  </w:style>
  <w:style w:type="paragraph" w:styleId="para4" w:customStyle="1">
    <w:name w:val="Besteck-Text"/>
    <w:qFormat/>
    <w:basedOn w:val="para0"/>
    <w:pPr>
      <w:ind w:firstLine="283"/>
      <w:spacing w:after="80"/>
      <w:suppressAutoHyphens/>
      <w:hyphenationLines w:val="0"/>
    </w:pPr>
    <w:rPr>
      <w:sz w:val="22"/>
      <w:szCs w:val="22"/>
    </w:rPr>
  </w:style>
  <w:style w:type="paragraph" w:styleId="para5" w:customStyle="1">
    <w:name w:val="Erste-Seite-Infos"/>
    <w:qFormat/>
    <w:basedOn w:val="para4"/>
    <w:rPr>
      <w:sz w:val="16"/>
      <w:szCs w:val="16"/>
      <w:lang w:val="de-de"/>
    </w:rPr>
    <w:key w:val="1609"/>
  </w:style>
  <w:style w:type="paragraph" w:styleId="para6">
    <w:name w:val="toc 1"/>
    <w:qFormat/>
    <w:basedOn w:val="para0"/>
    <w:next w:val="para0"/>
    <w:pPr>
      <w:ind w:left="283"/>
      <w:suppressAutoHyphens/>
      <w:hyphenationLines w:val="0"/>
      <w:outlineLvl w:val="2"/>
      <w:tabs defTabSz="708">
        <w:tab w:val="left" w:pos="709" w:leader="none"/>
        <w:tab w:val="right" w:pos="9638" w:leader="middleDot"/>
      </w:tabs>
    </w:pPr>
    <w:rPr>
      <w:sz w:val="18"/>
      <w:szCs w:val="18"/>
    </w:rPr>
  </w:style>
  <w:style w:type="paragraph" w:styleId="para7">
    <w:name w:val="toc 2"/>
    <w:qFormat/>
    <w:basedOn w:val="para0"/>
    <w:next w:val="para0"/>
    <w:pPr>
      <w:ind w:left="567"/>
      <w:suppressAutoHyphens/>
      <w:hyphenationLines w:val="0"/>
      <w:outlineLvl w:val="2"/>
      <w:tabs defTabSz="708">
        <w:tab w:val="left" w:pos="709" w:leader="middleDot"/>
        <w:tab w:val="right" w:pos="9638" w:leader="middleDot"/>
      </w:tabs>
    </w:pPr>
    <w:rPr>
      <w:sz w:val="18"/>
      <w:szCs w:val="18"/>
    </w:rPr>
  </w:style>
  <w:style w:type="paragraph" w:styleId="para8">
    <w:name w:val="toc 3"/>
    <w:qFormat/>
    <w:basedOn w:val="para0"/>
    <w:next w:val="para0"/>
    <w:pPr>
      <w:ind w:left="566"/>
      <w:suppressAutoHyphens/>
      <w:hyphenationLines w:val="0"/>
      <w:tabs defTabSz="708">
        <w:tab w:val="left" w:pos="709" w:leader="middleDot"/>
      </w:tabs>
    </w:pPr>
    <w:rPr>
      <w:sz w:val="18"/>
      <w:szCs w:val="18"/>
    </w:rPr>
  </w:style>
  <w:style w:type="paragraph" w:styleId="para9" w:customStyle="1">
    <w:name w:val="Schiffbau"/>
    <w:qFormat/>
    <w:basedOn w:val="para4"/>
    <w:pPr>
      <w:ind w:firstLine="170"/>
      <w:spacing w:after="60"/>
      <w:jc w:val="both"/>
    </w:pPr>
    <w:rPr>
      <w:lang w:val="de-de" w:eastAsia="de-de" w:bidi="de-de"/>
    </w:rPr>
  </w:style>
  <w:style w:type="paragraph" w:styleId="para10">
    <w:name w:val="Footnote Text"/>
    <w:qFormat/>
    <w:basedOn w:val="para0"/>
    <w:pPr>
      <w:ind w:left="397" w:hanging="397"/>
      <w:spacing w:before="40" w:after="20"/>
      <w:suppressAutoHyphens/>
      <w:hyphenationLines w:val="0"/>
      <w:tabs defTabSz="708">
        <w:tab w:val="left" w:pos="397" w:leader="none"/>
      </w:tabs>
    </w:pPr>
    <w:rPr>
      <w:sz w:val="18"/>
      <w:szCs w:val="18"/>
      <w:lang w:val="de-de" w:eastAsia="de-de" w:bidi="de-de"/>
    </w:rPr>
  </w:style>
  <w:style w:type="paragraph" w:styleId="para11" w:customStyle="1">
    <w:name w:val="Aufzaehlung"/>
    <w:qFormat/>
    <w:basedOn w:val="para4"/>
    <w:pPr>
      <w:numPr>
        <w:ilvl w:val="0"/>
        <w:numId w:val="1"/>
      </w:numPr>
      <w:ind w:left="643" w:firstLine="0"/>
      <w:spacing w:after="20"/>
    </w:pPr>
  </w:style>
  <w:style w:type="paragraph" w:styleId="para12">
    <w:name w:val="Quote"/>
    <w:qFormat/>
    <w:basedOn w:val="para0"/>
    <w:next w:val="para0"/>
    <w:pPr>
      <w:ind w:left="397" w:right="397"/>
      <w:spacing w:before="60" w:after="80"/>
      <w:jc w:val="both"/>
    </w:pPr>
    <w:rPr>
      <w:i/>
      <w:iCs/>
      <w:lang w:val="nl-nl"/>
    </w:rPr>
  </w:style>
  <w:style w:type="paragraph" w:styleId="para13" w:customStyle="1">
    <w:name w:val="Tabellen"/>
    <w:qFormat/>
    <w:basedOn w:val="para0"/>
    <w:pPr>
      <w:spacing/>
      <w:jc w:val="center"/>
      <w:suppressAutoHyphens/>
      <w:hyphenationLines w:val="0"/>
    </w:pPr>
    <w:rPr>
      <w:sz w:val="16"/>
      <w:szCs w:val="16"/>
      <w:lang w:val="nl-nl" w:eastAsia="nl-nl" w:bidi="nl-nl"/>
    </w:rPr>
  </w:style>
  <w:style w:type="paragraph" w:styleId="para14">
    <w:name w:val="Bibliography"/>
    <w:qFormat/>
    <w:basedOn w:val="para0"/>
    <w:next w:val="para0"/>
    <w:pPr>
      <w:ind w:left="283" w:hanging="283"/>
      <w:suppressAutoHyphens/>
      <w:hyphenationLines w:val="0"/>
    </w:pPr>
    <w:rPr>
      <w:sz w:val="16"/>
      <w:szCs w:val="16"/>
      <w:lang w:val="de-de" w:eastAsia="de-de" w:bidi="de-de"/>
    </w:rPr>
  </w:style>
  <w:style w:type="paragraph" w:styleId="para15" w:customStyle="1">
    <w:name w:val="Stichworte"/>
    <w:qFormat/>
    <w:basedOn w:val="para0"/>
    <w:pPr>
      <w:spacing w:after="100"/>
      <w:suppressAutoHyphens/>
      <w:hyphenationLines w:val="0"/>
    </w:pPr>
    <w:rPr>
      <w:b/>
      <w:bCs/>
    </w:rPr>
  </w:style>
  <w:style w:type="paragraph" w:styleId="para16">
    <w:name w:val="Index Heading"/>
    <w:qFormat/>
    <w:basedOn w:val="para0"/>
    <w:next w:val="para0"/>
    <w:pPr>
      <w:spacing w:before="80" w:after="60"/>
      <w:suppressAutoHyphens/>
      <w:hyphenationLines w:val="0"/>
      <w:keepNext/>
      <w:keepLines/>
    </w:pPr>
    <w:rPr>
      <w:b/>
      <w:bCs/>
    </w:rPr>
  </w:style>
  <w:style w:type="paragraph" w:styleId="para17">
    <w:name w:val="index 1"/>
    <w:qFormat/>
    <w:basedOn w:val="para0"/>
    <w:pPr>
      <w:ind w:left="567" w:hanging="567"/>
      <w:spacing w:after="20"/>
      <w:suppressAutoHyphens/>
      <w:hyphenationLines w:val="0"/>
      <w:keepLines/>
      <w:tabs defTabSz="708">
        <w:tab w:val="right" w:pos="9639" w:leader="middleDot"/>
      </w:tabs>
    </w:pPr>
    <w:rPr>
      <w:sz w:val="18"/>
      <w:szCs w:val="18"/>
    </w:rPr>
  </w:style>
  <w:style w:type="paragraph" w:styleId="para18">
    <w:name w:val="caption"/>
    <w:qFormat/>
    <w:basedOn w:val="para0"/>
    <w:next w:val="para0"/>
    <w:rPr>
      <w:i/>
      <w:iCs/>
      <w:sz w:val="18"/>
      <w:szCs w:val="18"/>
    </w:rPr>
  </w:style>
  <w:style w:type="paragraph" w:styleId="para19">
    <w:name w:val="Header"/>
    <w:qFormat/>
    <w:basedOn w:val="para0"/>
    <w:pPr>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style>
  <w:style w:type="paragraph" w:styleId="para20">
    <w:name w:val="Footer"/>
    <w:qFormat/>
    <w:basedOn w:val="para0"/>
    <w:pP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21">
    <w:name w:val="heading 4"/>
    <w:qFormat/>
    <w:basedOn w:val="para3"/>
    <w:next w:val="para0"/>
    <w:pPr>
      <w:spacing w:before="240" w:after="60"/>
      <w:outlineLvl w:val="3"/>
      <w:keepLines/>
    </w:pPr>
    <w:key w:val="1076"/>
  </w:style>
  <w:style w:type="paragraph" w:styleId="para22" w:customStyle="1">
    <w:name w:val="Erste-Seite-Titel"/>
    <w:qFormat/>
    <w:basedOn w:val="para0"/>
    <w:next w:val="para4"/>
    <w:pPr>
      <w:spacing/>
      <w:jc w:val="center"/>
    </w:pPr>
    <w:rPr>
      <w:rFonts w:ascii="Comic Sans MS" w:hAnsi="Comic Sans MS" w:eastAsia="Comic Sans MS" w:cs="Comic Sans MS"/>
      <w:b/>
      <w:sz w:val="28"/>
      <w:szCs w:val="28"/>
    </w:rPr>
    <w:key w:val="1620"/>
  </w:style>
  <w:style w:type="paragraph" w:styleId="para23" w:customStyle="1">
    <w:name w:val="Seite-2-BOD"/>
    <w:qFormat/>
    <w:basedOn w:val="para0"/>
    <w:pPr>
      <w:spacing w:after="40"/>
      <w:keepNext/>
      <w:widowControl/>
    </w:pPr>
    <w:rPr>
      <w:kern w:val="0" kern="0"/>
      <w:szCs w:val="22"/>
      <w:lang w:val="de-de" w:eastAsia="en-us" w:bidi="ar-sa"/>
    </w:rPr>
  </w:style>
  <w:style w:type="character" w:styleId="char0" w:default="1">
    <w:name w:val="Default Paragraph Font"/>
  </w:style>
  <w:style w:type="character" w:styleId="char1">
    <w:name w:val="Footnote Reference"/>
    <w:rPr>
      <w:rFonts w:ascii="Calibri" w:hAnsi="Calibri"/>
      <w:b w:val="0"/>
      <w:i w:val="0"/>
      <w:sz w:val="18"/>
      <w:vertAlign w:val="superscript" ssSize="66" ssDist="15"/>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Calibri" w:hAnsi="Calibri" w:eastAsia="Calibri" w:cs="Calibri"/>
    </w:rPr>
    <w:key w:val="1072"/>
  </w:style>
  <w:style w:type="paragraph" w:styleId="para1">
    <w:name w:val="heading 1"/>
    <w:qFormat/>
    <w:basedOn w:val="para0"/>
    <w:next w:val="para0"/>
    <w:pPr>
      <w:ind w:left="170"/>
      <w:spacing w:before="160" w:after="140"/>
      <w:outlineLvl w:val="0"/>
    </w:pPr>
    <w:rPr>
      <w:b/>
      <w:bCs/>
      <w:sz w:val="22"/>
      <w:szCs w:val="22"/>
    </w:rPr>
    <w:key w:val="1073"/>
  </w:style>
  <w:style w:type="paragraph" w:styleId="para2">
    <w:name w:val="heading 2"/>
    <w:qFormat/>
    <w:basedOn w:val="para1"/>
    <w:next w:val="para9"/>
    <w:pPr>
      <w:ind w:left="283"/>
      <w:spacing w:before="80" w:after="200"/>
      <w:keepNext/>
      <w:outlineLvl w:val="1"/>
    </w:pPr>
    <w:key w:val="1074"/>
  </w:style>
  <w:style w:type="paragraph" w:styleId="para3">
    <w:name w:val="heading 3"/>
    <w:qFormat/>
    <w:basedOn w:val="para2"/>
    <w:next w:val="para0"/>
    <w:pPr>
      <w:ind w:left="340"/>
      <w:outlineLvl w:val="2"/>
    </w:pPr>
    <w:key w:val="1075"/>
  </w:style>
  <w:style w:type="paragraph" w:styleId="para4" w:customStyle="1">
    <w:name w:val="Besteck-Text"/>
    <w:qFormat/>
    <w:basedOn w:val="para0"/>
    <w:pPr>
      <w:ind w:firstLine="283"/>
      <w:spacing w:after="80"/>
      <w:suppressAutoHyphens/>
      <w:hyphenationLines w:val="0"/>
    </w:pPr>
    <w:rPr>
      <w:sz w:val="22"/>
      <w:szCs w:val="22"/>
    </w:rPr>
  </w:style>
  <w:style w:type="paragraph" w:styleId="para5" w:customStyle="1">
    <w:name w:val="Erste-Seite-Infos"/>
    <w:qFormat/>
    <w:basedOn w:val="para4"/>
    <w:rPr>
      <w:sz w:val="16"/>
      <w:szCs w:val="16"/>
      <w:lang w:val="de-de"/>
    </w:rPr>
    <w:key w:val="1609"/>
  </w:style>
  <w:style w:type="paragraph" w:styleId="para6">
    <w:name w:val="toc 1"/>
    <w:qFormat/>
    <w:basedOn w:val="para0"/>
    <w:next w:val="para0"/>
    <w:pPr>
      <w:ind w:left="283"/>
      <w:suppressAutoHyphens/>
      <w:hyphenationLines w:val="0"/>
      <w:outlineLvl w:val="2"/>
      <w:tabs defTabSz="708">
        <w:tab w:val="left" w:pos="709" w:leader="none"/>
        <w:tab w:val="right" w:pos="9638" w:leader="middleDot"/>
      </w:tabs>
    </w:pPr>
    <w:rPr>
      <w:sz w:val="18"/>
      <w:szCs w:val="18"/>
    </w:rPr>
  </w:style>
  <w:style w:type="paragraph" w:styleId="para7">
    <w:name w:val="toc 2"/>
    <w:qFormat/>
    <w:basedOn w:val="para0"/>
    <w:next w:val="para0"/>
    <w:pPr>
      <w:ind w:left="567"/>
      <w:suppressAutoHyphens/>
      <w:hyphenationLines w:val="0"/>
      <w:outlineLvl w:val="2"/>
      <w:tabs defTabSz="708">
        <w:tab w:val="left" w:pos="709" w:leader="middleDot"/>
        <w:tab w:val="right" w:pos="9638" w:leader="middleDot"/>
      </w:tabs>
    </w:pPr>
    <w:rPr>
      <w:sz w:val="18"/>
      <w:szCs w:val="18"/>
    </w:rPr>
  </w:style>
  <w:style w:type="paragraph" w:styleId="para8">
    <w:name w:val="toc 3"/>
    <w:qFormat/>
    <w:basedOn w:val="para0"/>
    <w:next w:val="para0"/>
    <w:pPr>
      <w:ind w:left="566"/>
      <w:suppressAutoHyphens/>
      <w:hyphenationLines w:val="0"/>
      <w:tabs defTabSz="708">
        <w:tab w:val="left" w:pos="709" w:leader="middleDot"/>
      </w:tabs>
    </w:pPr>
    <w:rPr>
      <w:sz w:val="18"/>
      <w:szCs w:val="18"/>
    </w:rPr>
  </w:style>
  <w:style w:type="paragraph" w:styleId="para9" w:customStyle="1">
    <w:name w:val="Schiffbau"/>
    <w:qFormat/>
    <w:basedOn w:val="para4"/>
    <w:pPr>
      <w:ind w:firstLine="170"/>
      <w:spacing w:after="60"/>
      <w:jc w:val="both"/>
    </w:pPr>
    <w:rPr>
      <w:lang w:val="de-de" w:eastAsia="de-de" w:bidi="de-de"/>
    </w:rPr>
  </w:style>
  <w:style w:type="paragraph" w:styleId="para10">
    <w:name w:val="Footnote Text"/>
    <w:qFormat/>
    <w:basedOn w:val="para0"/>
    <w:pPr>
      <w:ind w:left="397" w:hanging="397"/>
      <w:spacing w:before="40" w:after="20"/>
      <w:suppressAutoHyphens/>
      <w:hyphenationLines w:val="0"/>
      <w:tabs defTabSz="708">
        <w:tab w:val="left" w:pos="397" w:leader="none"/>
      </w:tabs>
    </w:pPr>
    <w:rPr>
      <w:sz w:val="18"/>
      <w:szCs w:val="18"/>
      <w:lang w:val="de-de" w:eastAsia="de-de" w:bidi="de-de"/>
    </w:rPr>
  </w:style>
  <w:style w:type="paragraph" w:styleId="para11" w:customStyle="1">
    <w:name w:val="Aufzaehlung"/>
    <w:qFormat/>
    <w:basedOn w:val="para4"/>
    <w:pPr>
      <w:numPr>
        <w:ilvl w:val="0"/>
        <w:numId w:val="1"/>
      </w:numPr>
      <w:ind w:left="643" w:firstLine="0"/>
      <w:spacing w:after="20"/>
    </w:pPr>
  </w:style>
  <w:style w:type="paragraph" w:styleId="para12">
    <w:name w:val="Quote"/>
    <w:qFormat/>
    <w:basedOn w:val="para0"/>
    <w:next w:val="para0"/>
    <w:pPr>
      <w:ind w:left="397" w:right="397"/>
      <w:spacing w:before="60" w:after="80"/>
      <w:jc w:val="both"/>
    </w:pPr>
    <w:rPr>
      <w:i/>
      <w:iCs/>
      <w:lang w:val="nl-nl"/>
    </w:rPr>
  </w:style>
  <w:style w:type="paragraph" w:styleId="para13" w:customStyle="1">
    <w:name w:val="Tabellen"/>
    <w:qFormat/>
    <w:basedOn w:val="para0"/>
    <w:pPr>
      <w:spacing/>
      <w:jc w:val="center"/>
      <w:suppressAutoHyphens/>
      <w:hyphenationLines w:val="0"/>
    </w:pPr>
    <w:rPr>
      <w:sz w:val="16"/>
      <w:szCs w:val="16"/>
      <w:lang w:val="nl-nl" w:eastAsia="nl-nl" w:bidi="nl-nl"/>
    </w:rPr>
  </w:style>
  <w:style w:type="paragraph" w:styleId="para14">
    <w:name w:val="Bibliography"/>
    <w:qFormat/>
    <w:basedOn w:val="para0"/>
    <w:next w:val="para0"/>
    <w:pPr>
      <w:ind w:left="283" w:hanging="283"/>
      <w:suppressAutoHyphens/>
      <w:hyphenationLines w:val="0"/>
    </w:pPr>
    <w:rPr>
      <w:sz w:val="16"/>
      <w:szCs w:val="16"/>
      <w:lang w:val="de-de" w:eastAsia="de-de" w:bidi="de-de"/>
    </w:rPr>
  </w:style>
  <w:style w:type="paragraph" w:styleId="para15" w:customStyle="1">
    <w:name w:val="Stichworte"/>
    <w:qFormat/>
    <w:basedOn w:val="para0"/>
    <w:pPr>
      <w:spacing w:after="100"/>
      <w:suppressAutoHyphens/>
      <w:hyphenationLines w:val="0"/>
    </w:pPr>
    <w:rPr>
      <w:b/>
      <w:bCs/>
    </w:rPr>
  </w:style>
  <w:style w:type="paragraph" w:styleId="para16">
    <w:name w:val="Index Heading"/>
    <w:qFormat/>
    <w:basedOn w:val="para0"/>
    <w:next w:val="para0"/>
    <w:pPr>
      <w:spacing w:before="80" w:after="60"/>
      <w:suppressAutoHyphens/>
      <w:hyphenationLines w:val="0"/>
      <w:keepNext/>
      <w:keepLines/>
    </w:pPr>
    <w:rPr>
      <w:b/>
      <w:bCs/>
    </w:rPr>
  </w:style>
  <w:style w:type="paragraph" w:styleId="para17">
    <w:name w:val="index 1"/>
    <w:qFormat/>
    <w:basedOn w:val="para0"/>
    <w:pPr>
      <w:ind w:left="567" w:hanging="567"/>
      <w:spacing w:after="20"/>
      <w:suppressAutoHyphens/>
      <w:hyphenationLines w:val="0"/>
      <w:keepLines/>
      <w:tabs defTabSz="708">
        <w:tab w:val="right" w:pos="9639" w:leader="middleDot"/>
      </w:tabs>
    </w:pPr>
    <w:rPr>
      <w:sz w:val="18"/>
      <w:szCs w:val="18"/>
    </w:rPr>
  </w:style>
  <w:style w:type="paragraph" w:styleId="para18">
    <w:name w:val="caption"/>
    <w:qFormat/>
    <w:basedOn w:val="para0"/>
    <w:next w:val="para0"/>
    <w:rPr>
      <w:i/>
      <w:iCs/>
      <w:sz w:val="18"/>
      <w:szCs w:val="18"/>
    </w:rPr>
  </w:style>
  <w:style w:type="paragraph" w:styleId="para19">
    <w:name w:val="Header"/>
    <w:qFormat/>
    <w:basedOn w:val="para0"/>
    <w:pPr>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style>
  <w:style w:type="paragraph" w:styleId="para20">
    <w:name w:val="Footer"/>
    <w:qFormat/>
    <w:basedOn w:val="para0"/>
    <w:pP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style>
  <w:style w:type="paragraph" w:styleId="para21">
    <w:name w:val="heading 4"/>
    <w:qFormat/>
    <w:basedOn w:val="para3"/>
    <w:next w:val="para0"/>
    <w:pPr>
      <w:spacing w:before="240" w:after="60"/>
      <w:outlineLvl w:val="3"/>
      <w:keepLines/>
    </w:pPr>
    <w:key w:val="1076"/>
  </w:style>
  <w:style w:type="paragraph" w:styleId="para22" w:customStyle="1">
    <w:name w:val="Erste-Seite-Titel"/>
    <w:qFormat/>
    <w:basedOn w:val="para0"/>
    <w:next w:val="para4"/>
    <w:pPr>
      <w:spacing/>
      <w:jc w:val="center"/>
    </w:pPr>
    <w:rPr>
      <w:rFonts w:ascii="Comic Sans MS" w:hAnsi="Comic Sans MS" w:eastAsia="Comic Sans MS" w:cs="Comic Sans MS"/>
      <w:b/>
      <w:sz w:val="28"/>
      <w:szCs w:val="28"/>
    </w:rPr>
    <w:key w:val="1620"/>
  </w:style>
  <w:style w:type="paragraph" w:styleId="para23" w:customStyle="1">
    <w:name w:val="Seite-2-BOD"/>
    <w:qFormat/>
    <w:basedOn w:val="para0"/>
    <w:pPr>
      <w:spacing w:after="40"/>
      <w:keepNext/>
      <w:widowControl/>
    </w:pPr>
    <w:rPr>
      <w:kern w:val="0" kern="0"/>
      <w:szCs w:val="22"/>
      <w:lang w:val="de-de" w:eastAsia="en-us" w:bidi="ar-sa"/>
    </w:rPr>
  </w:style>
  <w:style w:type="character" w:styleId="char0" w:default="1">
    <w:name w:val="Default Paragraph Font"/>
  </w:style>
  <w:style w:type="character" w:styleId="char1">
    <w:name w:val="Footnote Reference"/>
    <w:rPr>
      <w:rFonts w:ascii="Calibri" w:hAnsi="Calibri"/>
      <w:b w:val="0"/>
      <w:i w:val="0"/>
      <w:sz w:val="18"/>
      <w:vertAlign w:val="superscript" ssSize="66" ssDist="15"/>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notes" Target="footnotes.xml"/><Relationship Id="rId9" Type="http://schemas.openxmlformats.org/officeDocument/2006/relationships/header" Target="header1.xml"/><Relationship Id="rId10" Type="http://schemas.openxmlformats.org/officeDocument/2006/relationships/footer" Target="footer1.xml"/></Relationships>
</file>

<file path=word/_rels/settings.xml.rels><?xml version="1.0" encoding="UTF-8" standalone="yes" ?>
<Relationships xmlns="http://schemas.openxmlformats.org/package/2006/relationships"><Relationship Id="rId1" Type="http://schemas.openxmlformats.org/officeDocument/2006/relationships/mailMergeSource" Target="file:///D:\D\Datenbanken\biblioSM.sqlite" TargetMode="External"/></Relationships>
</file>

<file path=word/_rels/styles.xml.rels><?xml version="1.0" encoding="UTF-8" standalone="yes" ?>
<Relationships xmlns="http://schemas.openxmlformats.org/package/2006/relationships"/>
</file>

<file path=word/_rels/stylesWithEffects.xml.rels><?xml version="1.0" encoding="UTF-8" standalone="yes" ?>
<Relationships xmlns="http://schemas.openxmlformats.org/package/2006/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NX rev.1202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Werner Ulrich</cp:lastModifiedBy>
  <cp:revision>23</cp:revision>
  <cp:lastPrinted>2023-07-19T08:09:00Z</cp:lastPrinted>
  <dcterms:created xsi:type="dcterms:W3CDTF">2022-05-10T19:36:32Z</dcterms:created>
  <dcterms:modified xsi:type="dcterms:W3CDTF">2023-07-30T17:32:38Z</dcterms:modified>
</cp:coreProperties>
</file>