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rPr>
          <w:b/>
          <w:bCs/>
        </w:rPr>
      </w:pPr>
      <w:r>
        <w:rPr>
          <w:b/>
          <w:bCs/>
        </w:rPr>
        <w:t>Formatierung zusammenführen</w:t>
      </w:r>
    </w:p>
    <w:p>
      <w:pPr>
        <w:rPr>
          <w:sz w:val="24"/>
          <w:szCs w:val="24"/>
        </w:rPr>
      </w:pPr>
      <w:r>
        <w:rPr>
          <w:sz w:val="24"/>
          <w:szCs w:val="24"/>
        </w:rPr>
        <w:t>Die Absatzabstände (unterhalb, 5p) aus der Vorlage werden nicht übernommen.</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School was again quiet. Well, that, or we were simply focused and ignoring all of the distractions.</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Steffie pretended to be upset that so many of us weren’t focused on the musical, but she wanted her kids to get the chance to go to Nationals, too. We had plenty of serious contenders on the Drama side. For now, State, then ToC, were the focus. ‘Bye Bye Birdie’ would take care of itself when we were past those two.</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Or, rather, we would take care of business, just as we had the past three years.</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During Debate, Cammie and I (mostly me, but she helped) polished our two primary backup cases. Something was telling us that we might need one or both at State. If there was ever a time for strategic moves in switching cases, State would be it.</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Life would go on if we didn’t go to Nationals. For that matter, life would go on if we utterly bombed. Cammie and I had </w:t>
      </w:r>
      <w:r>
        <w:rPr>
          <w:i/>
        </w:rPr>
        <w:t>never</w:t>
      </w:r>
      <w:r>
        <w:t> utterly bombed, and the odds were that we wouldn’t here, either, but anything’s possible.</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i/>
        </w:rPr>
      </w:pPr>
      <w:r>
        <w:t>The lesson of the past week truly was that Debate wasn’t the most important thing for any of us. It paled in comparison to ... well, </w:t>
      </w:r>
      <w:r>
        <w:rPr>
          <w:i/>
        </w:rPr>
        <w:t>life.</w:t>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i/>
        </w:rPr>
      </w:pPr>
      <w:r>
        <w:rPr>
          <w:i/>
        </w:rPr>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i/>
        </w:rPr>
      </w:pPr>
      <w:r>
        <w:rPr>
          <w:i/>
        </w:rPr>
      </w:r>
    </w:p>
    <w:p>
      <w:pPr>
        <w:spacing w:after="0" w:line="240" w:lineRule="auto"/>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i/>
        </w:rPr>
      </w:pPr>
      <w:r>
        <w:rPr>
          <w:b/>
          <w:bCs/>
          <w:i/>
        </w:rPr>
      </w:r>
    </w:p>
    <w:p>
      <w:pPr>
        <w:rPr>
          <w:b/>
          <w:bCs/>
        </w:rPr>
      </w:pPr>
      <w:r>
        <w:rPr>
          <w:b/>
          <w:bCs/>
        </w:rPr>
        <w:t>So sollte es aussehen, und genau so sieht es bei Word aus:</w:t>
      </w:r>
    </w:p>
    <w:p>
      <w:r/>
    </w:p>
    <w:p>
      <w:r>
        <w:t>School was again quiet. Well, that, or we were simply focused and ignoring all of the distractions.</w:t>
      </w:r>
    </w:p>
    <w:p>
      <w:r>
        <w:t>Steffie pretended to be upset that so many of us weren’t focused on the musical, but she wanted her kids to get the chance to go to Nationals, too. We had plenty of serious contenders on the Drama side. For now, State, then ToC, were the focus. ‘Bye Bye Birdie’ would take care of itself when we were past those two.</w:t>
      </w:r>
    </w:p>
    <w:p>
      <w:r>
        <w:t>Or, rather, we would take care of business, just as we had the past three years.</w:t>
      </w:r>
    </w:p>
    <w:p>
      <w:r>
        <w:t>During Debate, Cammie and I (mostly me, but she helped) polished our two primary backup cases. Something was telling us that we might need one or both at State. If there was ever a time for strategic moves in switching cases, State would be it.</w:t>
      </w:r>
    </w:p>
    <w:p>
      <w:r>
        <w:t>Life would go on if we didn’t go to Nationals. For that matter, life would go on if we utterly bombed. Cammie and I had </w:t>
      </w:r>
      <w:r>
        <w:rPr>
          <w:i/>
        </w:rPr>
        <w:t>never</w:t>
      </w:r>
      <w:r>
        <w:t> utterly bombed, and the odds were that we wouldn’t here, either, but anything’s possible.</w:t>
      </w:r>
    </w:p>
    <w:p>
      <w:pPr>
        <w:rPr>
          <w:i/>
        </w:rPr>
      </w:pPr>
      <w:r>
        <w:t>The lesson of the past week truly was that Debate wasn’t the most important thing for any of us. It paled in comparison to ... well, </w:t>
      </w:r>
      <w:r>
        <w:rPr>
          <w:i/>
        </w:rPr>
        <w:t>life.</w:t>
      </w:r>
    </w:p>
    <w:p>
      <w:pPr>
        <w:rPr>
          <w:i/>
        </w:rPr>
      </w:pPr>
      <w:r>
        <w:rPr>
          <w:i/>
        </w:rPr>
      </w:r>
    </w:p>
    <w:p>
      <w:r/>
    </w:p>
    <w:p>
      <w:pPr>
        <w:rPr>
          <w:b/>
          <w:bCs/>
        </w:rPr>
      </w:pPr>
      <w:r>
        <w:br w:type="page"/>
      </w:r>
      <w:r>
        <w:rPr>
          <w:b/>
          <w:bCs/>
        </w:rPr>
        <w:t>Formatierung an das Ziel anpassen</w:t>
      </w:r>
    </w:p>
    <w:p>
      <w:pPr>
        <w:rPr>
          <w:sz w:val="24"/>
          <w:szCs w:val="24"/>
        </w:rPr>
      </w:pPr>
      <w:r>
        <w:rPr>
          <w:sz w:val="24"/>
          <w:szCs w:val="24"/>
        </w:rPr>
        <w:t>Hier stimmen die Absatzabstände und die Auszeichnungen (hier: Kursiv), aber die in der Vorlage eingstellte Schriftart (Source Serif Pro) und Punktgröße (11) werden ignoriert.</w:t>
      </w:r>
    </w:p>
    <w:p>
      <w:pPr>
        <w:rPr>
          <w:i/>
        </w:rPr>
      </w:pPr>
      <w:r>
        <w:rPr>
          <w:i/>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Georgia" w:hAnsi="Georgia"/>
          <w:color w:val="000000"/>
          <w:sz w:val="26"/>
        </w:rPr>
      </w:pPr>
      <w:r>
        <w:rPr>
          <w:rFonts w:ascii="Georgia" w:hAnsi="Georgia"/>
          <w:color w:val="000000"/>
          <w:sz w:val="26"/>
        </w:rPr>
        <w:t>School was again quiet. Well, that, or we were simply focused and ignoring all of the distractions.</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Georgia" w:hAnsi="Georgia"/>
          <w:color w:val="000000"/>
          <w:sz w:val="26"/>
        </w:rPr>
      </w:pPr>
      <w:r>
        <w:rPr>
          <w:rFonts w:ascii="Georgia" w:hAnsi="Georgia"/>
          <w:color w:val="000000"/>
          <w:sz w:val="26"/>
        </w:rPr>
        <w:t>Steffie pretended to be upset that so many of us weren’t focused on the musical, but she wanted her kids to get the chance to go to Nationals, too. We had plenty of serious contenders on the Drama side. For now, State, then ToC, were the focus. ‘Bye Bye Birdie’ would take care of itself when we were past those two.</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Georgia" w:hAnsi="Georgia"/>
          <w:color w:val="000000"/>
          <w:sz w:val="26"/>
        </w:rPr>
      </w:pPr>
      <w:r>
        <w:rPr>
          <w:rFonts w:ascii="Georgia" w:hAnsi="Georgia"/>
          <w:color w:val="000000"/>
          <w:sz w:val="26"/>
        </w:rPr>
        <w:t>Or, rather, we would take care of business, just as we had the past three years.</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Georgia" w:hAnsi="Georgia"/>
          <w:color w:val="000000"/>
          <w:sz w:val="26"/>
        </w:rPr>
      </w:pPr>
      <w:r>
        <w:rPr>
          <w:rFonts w:ascii="Georgia" w:hAnsi="Georgia"/>
          <w:color w:val="000000"/>
          <w:sz w:val="26"/>
        </w:rPr>
        <w:t>During Debate, Cammie and I (mostly me, but she helped) polished our two primary backup cases. Something was telling us that we might need one or both at State. If there was ever a time for strategic moves in switching cases, State would be it.</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Georgia" w:hAnsi="Georgia"/>
          <w:color w:val="000000"/>
          <w:sz w:val="26"/>
        </w:rPr>
      </w:pPr>
      <w:r>
        <w:rPr>
          <w:rFonts w:ascii="Georgia" w:hAnsi="Georgia"/>
          <w:color w:val="000000"/>
          <w:sz w:val="26"/>
        </w:rPr>
        <w:t>Life would go on if we didn’t go to Nationals. For that matter, life would go on if we utterly bombed. Cammie and I had </w:t>
      </w:r>
      <w:r>
        <w:rPr>
          <w:rFonts w:ascii="Georgia" w:hAnsi="Georgia"/>
          <w:i/>
          <w:color w:val="000000"/>
          <w:sz w:val="26"/>
        </w:rPr>
        <w:t>never</w:t>
      </w:r>
      <w:r>
        <w:rPr>
          <w:rFonts w:ascii="Georgia" w:hAnsi="Georgia"/>
          <w:color w:val="000000"/>
          <w:sz w:val="26"/>
        </w:rPr>
        <w:t> utterly bombed, and the odds were that we wouldn’t here, either, but anything’s possible.</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Georgia" w:hAnsi="Georgia"/>
          <w:i/>
          <w:color w:val="000000"/>
          <w:sz w:val="26"/>
        </w:rPr>
      </w:pPr>
      <w:r>
        <w:rPr>
          <w:rFonts w:ascii="Georgia" w:hAnsi="Georgia"/>
          <w:color w:val="000000"/>
          <w:sz w:val="26"/>
        </w:rPr>
        <w:t>The lesson of the past week truly was that Debate wasn’t the most important thing for any of us. It paled in comparison to ... well, </w:t>
      </w:r>
      <w:r>
        <w:rPr>
          <w:rFonts w:ascii="Georgia" w:hAnsi="Georgia"/>
          <w:i/>
          <w:color w:val="000000"/>
          <w:sz w:val="26"/>
        </w:rPr>
        <w:t>life.</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Georgia" w:hAnsi="Georgia"/>
          <w:color w:val="000000"/>
          <w:sz w:val="26"/>
        </w:rPr>
      </w:pPr>
      <w:r>
        <w:rPr>
          <w:rFonts w:ascii="Georgia" w:hAnsi="Georgia"/>
          <w:color w:val="000000"/>
          <w:sz w:val="26"/>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Franklin Gothic Pro" w:hAnsi="Franklin Gothic Pro" w:eastAsia="Franklin Gothic Pro" w:cs="Franklin Gothic Pro"/>
          <w:b/>
          <w:bCs/>
          <w:sz w:val="26"/>
          <w:szCs w:val="26"/>
        </w:rPr>
      </w:pPr>
      <w:r>
        <w:rPr>
          <w:rFonts w:ascii="Franklin Gothic Pro" w:hAnsi="Franklin Gothic Pro" w:eastAsia="Franklin Gothic Pro" w:cs="Franklin Gothic Pro"/>
          <w:b/>
          <w:bCs/>
          <w:sz w:val="26"/>
          <w:szCs w:val="26"/>
        </w:rPr>
        <w:t>Absatzvorlage Norma</w:t>
      </w:r>
      <w:r>
        <w:t>l</w:t>
      </w:r>
      <w:r>
        <w:rPr>
          <w:noProof/>
        </w:rPr>
        <w:drawing>
          <wp:inline distT="89535" distB="89535" distL="89535" distR="89535">
            <wp:extent cx="5991860" cy="3844925"/>
            <wp:effectExtent l="0" t="0" r="0" b="0"/>
            <wp:docPr id="1" name="Grafik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1"/>
                    <pic:cNvPicPr>
                      <a:picLocks noChangeAspect="1"/>
                      <a:extLst>
                        <a:ext uri="smNativeData">
                          <sm:smNativeData xmlns:sm="smNativeData" val="SMDATA_17_cZCEZ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NwkAACnFwAA3CQAAKcX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AIIAAAAAAAAAAAAAAQAAAAAAAACMAAAAAQAAAAAAAACMAAAA3CQAAKcXAAAAAAAAjAAAAIwAAAAoAAAACAAAAAEAAAABAAAAMAAAABQAAAAAAAAAAAD//wAAAQAAAP//AAABAA=="/>
                        </a:ext>
                      </a:extLst>
                    </pic:cNvPicPr>
                  </pic:nvPicPr>
                  <pic:blipFill>
                    <a:blip r:embed="rId7"/>
                    <a:stretch>
                      <a:fillRect/>
                    </a:stretch>
                  </pic:blipFill>
                  <pic:spPr>
                    <a:xfrm>
                      <a:off x="0" y="0"/>
                      <a:ext cx="5991860" cy="3844925"/>
                    </a:xfrm>
                    <a:prstGeom prst="rect">
                      <a:avLst/>
                    </a:prstGeom>
                    <a:noFill/>
                    <a:ln w="12700">
                      <a:noFill/>
                    </a:ln>
                  </pic:spPr>
                </pic:pic>
              </a:graphicData>
            </a:graphic>
          </wp:inline>
        </w:drawing>
      </w:r>
      <w:r/>
      <w:r>
        <w:rPr>
          <w:rFonts w:ascii="Franklin Gothic Pro" w:hAnsi="Franklin Gothic Pro" w:eastAsia="Franklin Gothic Pro" w:cs="Franklin Gothic Pro"/>
          <w:b/>
          <w:bCs/>
          <w:sz w:val="26"/>
          <w:szCs w:val="26"/>
        </w:rPr>
      </w:r>
    </w:p>
    <w:sectPr>
      <w:footnotePr>
        <w:pos w:val="pageBottom"/>
        <w:numFmt w:val="decimal"/>
        <w:numStart w:val="1"/>
        <w:numRestart w:val="continuous"/>
      </w:footnotePr>
      <w:endnotePr>
        <w:pos w:val="docEnd"/>
        <w:numFmt w:val="decimal"/>
        <w:numStart w:val="1"/>
        <w:numRestart w:val="continuous"/>
      </w:endnotePr>
      <w:type w:val="continuous"/>
      <w:pgSz w:h="16839" w:w="11907"/>
      <w:pgMar w:left="1134" w:top="1134" w:right="1134" w:bottom="1134" w:header="0" w:footer="0"/>
      <w:paperSrc w:first="0" w:other="0" a="0" b="0"/>
      <w:pgNumType w:fmt="decimal"/>
      <w:tmGutter w:val="3"/>
      <w:mirrorMargins w:val="0"/>
      <w:tmSection w:h="-2"/>
      <w:guidesAndGridMasterPages Id="0" numberOfVerticalGuides="0" numberOfHorizontalGuides="0"/>
      <w:guidesAndGridMasterPages Id="1" numberOfVerticalGuides="0" numberOfHorizontalGuides="0"/>
      <w:guidesAndGridMasterPages Id="2" numberOfVerticalGuides="0" numberOfHorizontalGuides="0"/>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ource Sans Pro">
    <w:panose1 w:val="020B0503030403020204"/>
    <w:charset w:val="00"/>
    <w:family w:val="swiss"/>
    <w:pitch w:val="default"/>
  </w:font>
  <w:font w:name="Source Serif Pro">
    <w:panose1 w:val="02040603050405020204"/>
    <w:charset w:val="00"/>
    <w:family w:val="roman"/>
    <w:pitch w:val="default"/>
  </w:font>
  <w:font w:name="Franklin Gothic Demi">
    <w:panose1 w:val="020B0604020202020204"/>
    <w:charset w:val="00"/>
    <w:family w:val="swiss"/>
    <w:pitch w:val="default"/>
  </w:font>
  <w:font w:name="Franklin Gothic Demi Cond">
    <w:panose1 w:val="020B0604020202020204"/>
    <w:charset w:val="00"/>
    <w:family w:val="swiss"/>
    <w:pitch w:val="default"/>
  </w:font>
  <w:font w:name="TheSans 9-Black Caps">
    <w:panose1 w:val="02000903000000000003"/>
    <w:charset w:val="00"/>
    <w:family w:val="modern"/>
    <w:pitch w:val="default"/>
  </w:font>
  <w:font w:name="TheMix 9-Black">
    <w:panose1 w:val="02000903000000000003"/>
    <w:charset w:val="00"/>
    <w:family w:val="modern"/>
    <w:pitch w:val="default"/>
  </w:font>
  <w:font w:name="Franklin Gothic Pro">
    <w:panose1 w:val="02000703060000020004"/>
    <w:charset w:val="00"/>
    <w:family w:val="auto"/>
    <w:pitch w:val="default"/>
  </w:font>
  <w:font w:name="Georgia">
    <w:panose1 w:val="02040502050405020303"/>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suppressSpBfAfterPgBrk w:val="1"/>
    <w:compatSetting w:name="compatibilityMode" w:uri="http://schemas.microsoft.com/office/word" w:val="15"/>
  </w:compat>
  <w:shapeDefaults>
    <o:shapedefaults v:ext="edit" spidmax="1026"/>
    <o:shapelayout v:ext="edit">
      <o:rules v:ext="edit"/>
    </o:shapelayout>
  </w:shapeDefaults>
  <w:tmPrefOne w:val="16"/>
  <w:tmPrefTwo w:val="1"/>
  <w:tmFmtPref w:val="55090283"/>
  <w:tmCommentsPr>
    <w:tmCommentsPlace w:val="0"/>
    <w:tmCommentsWidth w:val="3119"/>
    <w:tmCommentsColor w:val="-1"/>
  </w:tmCommentsPr>
  <w:tmReviewPr>
    <w:tmReviewEnabled w:val="0"/>
    <w:tmReviewShow w:val="1"/>
    <w:tmReviewPrint w:val="0"/>
    <w:tmRevisionNum w:val="12"/>
    <w:tmReviewMarkIns w:val="4"/>
    <w:tmReviewColorIns w:val="-1"/>
    <w:tmReviewMarkDel w:val="6"/>
    <w:tmReviewColorDel w:val="-1"/>
    <w:tmReviewMarkFmt w:val="1"/>
    <w:tmReviewColorFmt w:val="-1"/>
    <w:tmReviewMarkLn w:val="1"/>
    <w:tmReviewColorLn w:val="0"/>
    <w:tmReviewToolTip w:val="0"/>
  </w:tmReviewPr>
  <w:tmLastPos>
    <w:tmLastPosPage w:val="1"/>
    <w:tmLastPosSelect w:val="0"/>
    <w:tmLastPosFrameIdx w:val="0"/>
    <w:tmLastPosCaret>
      <w:tmLastPosPgfIdx w:val="22"/>
      <w:tmLastPosIdx w:val="33"/>
    </w:tmLastPosCaret>
    <w:tmLastPosAnchor>
      <w:tmLastPosPgfIdx w:val="0"/>
      <w:tmLastPosIdx w:val="0"/>
    </w:tmLastPosAnchor>
    <w:tmLastPosTblRect w:left="0" w:top="0" w:right="0" w:bottom="0"/>
  </w:tmLastPos>
  <w:tmAppRevision w:date="1686409329" w:val="1112" w:fileVer="342" w:fileVer64="64" w:fileVerOS="4"/>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Source Sans Pro" w:hAnsi="Source Sans Pro" w:eastAsia="Source Sans Pro" w:cs="Source Sans Pro"/>
        <w:kern w:val="1"/>
        <w:sz w:val="22"/>
        <w:szCs w:val="22"/>
        <w:lang w:val="en-us" w:eastAsia="zh-cn" w:bidi="ar-sa"/>
      </w:rPr>
    </w:rPrDefault>
    <w:pPrDefault>
      <w:pPr>
        <w:spacing w:after="100" w:line="280" w:lineRule="atLeast"/>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Source Serif Pro" w:hAnsi="Source Serif Pro" w:eastAsia="Source Serif Pro" w:cs="Source Serif Pro"/>
      <w:lang w:eastAsia="en-us" w:bidi="en-us"/>
    </w:rPr>
    <w:key w:val="1102"/>
  </w:style>
  <w:style w:type="paragraph" w:styleId="para1">
    <w:name w:val="heading 1"/>
    <w:qFormat/>
    <w:next w:val="para0"/>
    <w:pPr>
      <w:spacing w:after="240" w:line="240" w:lineRule="auto"/>
      <w:contextualSpacing/>
      <w:pageBreakBefore/>
      <w:outlineLvl w:val="0"/>
      <w:keepLines/>
      <w:widowControl/>
    </w:pPr>
    <w:rPr>
      <w:rFonts w:ascii="Franklin Gothic Pro" w:hAnsi="Franklin Gothic Pro" w:eastAsia="Franklin Gothic Pro" w:cs="Franklin Gothic Pro"/>
      <w:b/>
      <w:bCs/>
      <w:kern w:val="1"/>
      <w:sz w:val="26"/>
      <w:szCs w:val="26"/>
      <w:lang w:val="en-us" w:eastAsia="en-us" w:bidi="en-us"/>
    </w:rPr>
    <w:key w:val="1109"/>
  </w:style>
  <w:style w:type="paragraph" w:styleId="para2">
    <w:name w:val="heading 2"/>
    <w:qFormat/>
    <w:basedOn w:val="para1"/>
    <w:next w:val="para0"/>
    <w:pPr>
      <w:spacing w:before="240" w:line="260" w:lineRule="atLeast"/>
      <w:pageBreakBefore w:val="0"/>
      <w:outlineLvl w:val="1"/>
    </w:pPr>
    <w:rPr>
      <w:rFonts w:eastAsia="Franklin Gothic Demi" w:cs="Franklin Gothic Demi"/>
      <w:bCs w:val="0"/>
      <w:sz w:val="24"/>
      <w:szCs w:val="24"/>
    </w:rPr>
  </w:style>
  <w:style w:type="paragraph" w:styleId="para3">
    <w:name w:val="heading 3"/>
    <w:qFormat/>
    <w:basedOn w:val="para2"/>
    <w:next w:val="para0"/>
    <w:pPr>
      <w:outlineLvl w:val="2"/>
    </w:pPr>
    <w:rPr>
      <w:rFonts w:ascii="Franklin Gothic Demi Cond" w:hAnsi="Franklin Gothic Demi Cond" w:eastAsia="Franklin Gothic Demi Cond" w:cs="Franklin Gothic Demi Cond"/>
      <w:sz w:val="22"/>
      <w:szCs w:val="22"/>
    </w:rPr>
  </w:style>
  <w:style w:type="paragraph" w:styleId="para4">
    <w:name w:val="Title"/>
    <w:qFormat/>
    <w:pPr>
      <w:spacing w:before="640" w:after="480" w:line="264" w:lineRule="auto"/>
      <w:contextualSpacing/>
      <w:jc w:val="center"/>
      <w:suppressAutoHyphens/>
      <w:hyphenationLines w:val="0"/>
      <w:pBdr>
        <w:top w:val="nil" w:sz="0" w:space="3" w:color="000000" tmln="20, 20, 20, 0, 60"/>
        <w:left w:val="nil" w:sz="0" w:space="3" w:color="000000" tmln="20, 20, 20, 0, 60"/>
        <w:bottom w:val="single" w:sz="8" w:space="12" w:color="000000" tmln="20, 20, 20, 0, 240"/>
        <w:right w:val="nil" w:sz="0" w:space="3" w:color="000000" tmln="20, 20, 20, 0, 60"/>
        <w:between w:val="nil" w:sz="0" w:space="0" w:color="000000" tmln="20, 20, 20, 0, 0"/>
      </w:pBdr>
      <w:shd w:val="none"/>
    </w:pPr>
    <w:rPr>
      <w:rFonts w:ascii="TheSans 9-Black Caps" w:hAnsi="TheSans 9-Black Caps" w:eastAsia="TheSans 9-Black Caps" w:cs="TheSans 9-Black Caps"/>
      <w:smallCaps w:percent="80"/>
      <w:color w:val="1e4779"/>
      <w:kern w:val="1"/>
      <w:sz w:val="72"/>
      <w:szCs w:val="72"/>
      <w:lang w:val="en-us" w:eastAsia="en-us" w:bidi="en-us"/>
    </w:rPr>
    <w:key w:val="596"/>
  </w:style>
  <w:style w:type="paragraph" w:styleId="para5">
    <w:name w:val="Subtitle"/>
    <w:qFormat/>
    <w:pPr>
      <w:spacing w:before="480" w:after="240" w:line="240" w:lineRule="auto"/>
      <w:jc w:val="center"/>
    </w:pPr>
    <w:rPr>
      <w:rFonts w:ascii="TheMix 9-Black" w:hAnsi="TheMix 9-Black" w:eastAsia="TheMix 9-Black" w:cs="TheMix 9-Black"/>
      <w:color w:val="1e4779"/>
      <w:kern w:val="1"/>
      <w:sz w:val="32"/>
      <w:szCs w:val="32"/>
      <w:lang w:val="en-us" w:eastAsia="en-us" w:bidi="en-us"/>
    </w:rPr>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Source Sans Pro" w:hAnsi="Source Sans Pro" w:eastAsia="Source Sans Pro" w:cs="Source Sans Pro"/>
        <w:kern w:val="1"/>
        <w:sz w:val="22"/>
        <w:szCs w:val="22"/>
        <w:lang w:val="en-us" w:eastAsia="zh-cn" w:bidi="ar-sa"/>
      </w:rPr>
    </w:rPrDefault>
    <w:pPrDefault>
      <w:pPr>
        <w:spacing w:after="100" w:line="280" w:lineRule="atLeast"/>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Source Serif Pro" w:hAnsi="Source Serif Pro" w:eastAsia="Source Serif Pro" w:cs="Source Serif Pro"/>
      <w:lang w:eastAsia="en-us" w:bidi="en-us"/>
    </w:rPr>
    <w:key w:val="1102"/>
  </w:style>
  <w:style w:type="paragraph" w:styleId="para1">
    <w:name w:val="heading 1"/>
    <w:qFormat/>
    <w:next w:val="para0"/>
    <w:pPr>
      <w:spacing w:after="240" w:line="240" w:lineRule="auto"/>
      <w:contextualSpacing/>
      <w:pageBreakBefore/>
      <w:outlineLvl w:val="0"/>
      <w:keepLines/>
      <w:widowControl/>
    </w:pPr>
    <w:rPr>
      <w:rFonts w:ascii="Franklin Gothic Pro" w:hAnsi="Franklin Gothic Pro" w:eastAsia="Franklin Gothic Pro" w:cs="Franklin Gothic Pro"/>
      <w:b/>
      <w:bCs/>
      <w:kern w:val="1"/>
      <w:sz w:val="26"/>
      <w:szCs w:val="26"/>
      <w:lang w:val="en-us" w:eastAsia="en-us" w:bidi="en-us"/>
    </w:rPr>
    <w:key w:val="1109"/>
  </w:style>
  <w:style w:type="paragraph" w:styleId="para2">
    <w:name w:val="heading 2"/>
    <w:qFormat/>
    <w:basedOn w:val="para1"/>
    <w:next w:val="para0"/>
    <w:pPr>
      <w:spacing w:before="240" w:line="260" w:lineRule="atLeast"/>
      <w:pageBreakBefore w:val="0"/>
      <w:outlineLvl w:val="1"/>
    </w:pPr>
    <w:rPr>
      <w:rFonts w:eastAsia="Franklin Gothic Demi" w:cs="Franklin Gothic Demi"/>
      <w:bCs w:val="0"/>
      <w:sz w:val="24"/>
      <w:szCs w:val="24"/>
    </w:rPr>
  </w:style>
  <w:style w:type="paragraph" w:styleId="para3">
    <w:name w:val="heading 3"/>
    <w:qFormat/>
    <w:basedOn w:val="para2"/>
    <w:next w:val="para0"/>
    <w:pPr>
      <w:outlineLvl w:val="2"/>
    </w:pPr>
    <w:rPr>
      <w:rFonts w:ascii="Franklin Gothic Demi Cond" w:hAnsi="Franklin Gothic Demi Cond" w:eastAsia="Franklin Gothic Demi Cond" w:cs="Franklin Gothic Demi Cond"/>
      <w:sz w:val="22"/>
      <w:szCs w:val="22"/>
    </w:rPr>
  </w:style>
  <w:style w:type="paragraph" w:styleId="para4">
    <w:name w:val="Title"/>
    <w:qFormat/>
    <w:pPr>
      <w:spacing w:before="640" w:after="480" w:line="264" w:lineRule="auto"/>
      <w:contextualSpacing/>
      <w:jc w:val="center"/>
      <w:suppressAutoHyphens/>
      <w:hyphenationLines w:val="0"/>
      <w:pBdr>
        <w:top w:val="nil" w:sz="0" w:space="3" w:color="000000" tmln="20, 20, 20, 0, 60"/>
        <w:left w:val="nil" w:sz="0" w:space="3" w:color="000000" tmln="20, 20, 20, 0, 60"/>
        <w:bottom w:val="single" w:sz="8" w:space="12" w:color="000000" tmln="20, 20, 20, 0, 240"/>
        <w:right w:val="nil" w:sz="0" w:space="3" w:color="000000" tmln="20, 20, 20, 0, 60"/>
        <w:between w:val="nil" w:sz="0" w:space="0" w:color="000000" tmln="20, 20, 20, 0, 0"/>
      </w:pBdr>
      <w:shd w:val="none"/>
    </w:pPr>
    <w:rPr>
      <w:rFonts w:ascii="TheSans 9-Black Caps" w:hAnsi="TheSans 9-Black Caps" w:eastAsia="TheSans 9-Black Caps" w:cs="TheSans 9-Black Caps"/>
      <w:smallCaps w:percent="80"/>
      <w:color w:val="1e4779"/>
      <w:kern w:val="1"/>
      <w:sz w:val="72"/>
      <w:szCs w:val="72"/>
      <w:lang w:val="en-us" w:eastAsia="en-us" w:bidi="en-us"/>
    </w:rPr>
    <w:key w:val="596"/>
  </w:style>
  <w:style w:type="paragraph" w:styleId="para5">
    <w:name w:val="Subtitle"/>
    <w:qFormat/>
    <w:pPr>
      <w:spacing w:before="480" w:after="240" w:line="240" w:lineRule="auto"/>
      <w:jc w:val="center"/>
    </w:pPr>
    <w:rPr>
      <w:rFonts w:ascii="TheMix 9-Black" w:hAnsi="TheMix 9-Black" w:eastAsia="TheMix 9-Black" w:cs="TheMix 9-Black"/>
      <w:color w:val="1e4779"/>
      <w:kern w:val="1"/>
      <w:sz w:val="32"/>
      <w:szCs w:val="32"/>
      <w:lang w:val="en-us" w:eastAsia="en-us" w:bidi="en-us"/>
    </w:rPr>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Franklin Gothic Pro"/>
        <a:ea typeface="Franklin Gothic Pro"/>
        <a:cs typeface="Franklin Gothic Pro"/>
      </a:majorFont>
      <a:minorFont>
        <a:latin typeface="Source Serif Pro"/>
        <a:ea typeface="Source Serif Pro"/>
        <a:cs typeface="Source Serif Pr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NX rev.1112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Peter Funken</cp:lastModifiedBy>
  <cp:revision>12</cp:revision>
  <dcterms:created xsi:type="dcterms:W3CDTF">2023-06-10T14:43:08Z</dcterms:created>
  <dcterms:modified xsi:type="dcterms:W3CDTF">2023-06-10T15:02:09Z</dcterms:modified>
</cp:coreProperties>
</file>