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2"/>
      </w:pPr>
      <w:r>
        <w:t>Memminger Meisterkonzerte e.V.</w:t>
      </w:r>
    </w:p>
    <w:p>
      <w:pPr>
        <w:pStyle w:val="para3"/>
      </w:pPr>
      <w:r>
        <w:t>Mittwoch   10. Mai 2023   20.00 Uhr</w:t>
      </w:r>
    </w:p>
    <w:p>
      <w:r/>
    </w:p>
    <w:p>
      <w:r/>
    </w:p>
    <w:p>
      <w:r/>
    </w:p>
    <w:p>
      <w:pPr>
        <w:pStyle w:val="para2"/>
      </w:pPr>
      <w:r>
        <w:t>Niek Baar &amp; Ben Kim</w:t>
      </w:r>
    </w:p>
    <w:p>
      <w:pPr>
        <w:pStyle w:val="para4"/>
      </w:pPr>
      <w:r>
        <w:t>Violine &amp; Klavier</w:t>
        <w:br w:type="textWrapping"/>
      </w:r>
    </w:p>
    <w:p>
      <w:pPr>
        <w:pStyle w:val="para4"/>
      </w:pPr>
      <w:r/>
    </w:p>
    <w:tbl>
      <w:tblPr>
        <w:tblStyle w:val="TableGrid"/>
        <w:name w:val="Tabelle2"/>
        <w:tabOrder w:val="0"/>
        <w:jc w:val="left"/>
        <w:tblInd w:w="0" w:type="dxa"/>
        <w:tblW w:w="9639" w:type="dxa"/>
        <w:tblLook w:val="04A0" w:firstRow="1" w:lastRow="0" w:firstColumn="1" w:lastColumn="0" w:noHBand="0" w:noVBand="1"/>
      </w:tblPr>
      <w:tblGrid>
        <w:gridCol w:w="3856"/>
        <w:gridCol w:w="5783"/>
      </w:tblGrid>
      <w:tr>
        <w:trPr>
          <w:tblHeader w:val="0"/>
          <w:cantSplit w:val="0"/>
          <w:trHeight w:val="0" w:hRule="auto"/>
        </w:trPr>
        <w:tc>
          <w:tcPr>
            <w:tcW w:w="3856"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pStyle w:val="para6"/>
            </w:pPr>
            <w:r>
              <w:t>Ludwig van Beethoven</w:t>
            </w:r>
          </w:p>
        </w:tc>
        <w:tc>
          <w:tcPr>
            <w:tcW w:w="5783" w:type="dxa"/>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pStyle w:val="para7"/>
            </w:pPr>
            <w:r>
              <w:t>Violinsonate Nr. 7 in c-Moll, op. 30 Nr. 2</w:t>
            </w:r>
          </w:p>
        </w:tc>
      </w:tr>
      <w:tr>
        <w:trPr>
          <w:tblHeader w:val="0"/>
          <w:cantSplit w:val="0"/>
          <w:trHeight w:val="0" w:hRule="auto"/>
        </w:trPr>
        <w:tc>
          <w:tcPr>
            <w:tcW w:w="3856"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t xml:space="preserve">  (1770-1827)</w:t>
            </w:r>
          </w:p>
        </w:tc>
        <w:tc>
          <w:tcPr>
            <w:tcW w:w="5783"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ind w:left="283"/>
            </w:pPr>
            <w:r>
              <w:t>Allegro con brio</w:t>
            </w:r>
          </w:p>
        </w:tc>
      </w:tr>
      <w:tr>
        <w:trPr>
          <w:tblHeader w:val="0"/>
          <w:cantSplit w:val="0"/>
          <w:trHeight w:val="429" w:hRule="auto"/>
        </w:trPr>
        <w:tc>
          <w:tcPr>
            <w:tcW w:w="3856"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c>
          <w:tcPr>
            <w:tcW w:w="5783" w:type="dxa"/>
            <w:vAlign w:val="center"/>
            <w:tcMar>
              <w:left w:w="5"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ind w:left="283"/>
            </w:pPr>
            <w:r>
              <w:t>Adagio cantabile</w:t>
            </w:r>
          </w:p>
        </w:tc>
      </w:tr>
      <w:tr>
        <w:trPr>
          <w:tblHeader w:val="0"/>
          <w:cantSplit w:val="0"/>
          <w:trHeight w:val="429" w:hRule="auto"/>
        </w:trPr>
        <w:tc>
          <w:tcPr>
            <w:tcW w:w="3856"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c>
          <w:tcPr>
            <w:tcW w:w="5783" w:type="dxa"/>
            <w:vAlign w:val="center"/>
            <w:tcMar>
              <w:left w:w="-1"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ind w:left="283"/>
            </w:pPr>
            <w:r>
              <w:t>Scherzo. Allegro</w:t>
            </w:r>
          </w:p>
        </w:tc>
      </w:tr>
      <w:tr>
        <w:trPr>
          <w:tblHeader w:val="0"/>
          <w:cantSplit w:val="0"/>
          <w:trHeight w:val="429" w:hRule="auto"/>
        </w:trPr>
        <w:tc>
          <w:tcPr>
            <w:tcW w:w="3856"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c>
          <w:tcPr>
            <w:tcW w:w="5783" w:type="dxa"/>
            <w:vAlign w:val="center"/>
            <w:tcMar>
              <w:left w:w="-1"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ind w:left="283"/>
            </w:pPr>
            <w:r>
              <w:t>Finale. Allegro - Presto</w:t>
            </w:r>
          </w:p>
        </w:tc>
      </w:tr>
    </w:tbl>
    <w:p>
      <w:pPr>
        <w:pStyle w:val="para6"/>
        <w:spacing w:after="60"/>
        <w:tabs defTabSz="708">
          <w:tab w:val="clear" w:pos="3969" w:leader="none"/>
          <w:tab w:val="left" w:pos="4252" w:leader="none"/>
        </w:tabs>
        <w:rPr>
          <w:b w:val="0"/>
          <w:bCs w:val="0"/>
        </w:rPr>
      </w:pPr>
      <w:r>
        <w:rPr>
          <w:b w:val="0"/>
          <w:bCs w:val="0"/>
        </w:rPr>
      </w:r>
    </w:p>
    <w:p>
      <w:pPr>
        <w:pStyle w:val="para6"/>
        <w:spacing w:after="60"/>
        <w:tabs defTabSz="708">
          <w:tab w:val="clear" w:pos="3969" w:leader="none"/>
          <w:tab w:val="left" w:pos="4252" w:leader="none"/>
        </w:tabs>
        <w:rPr>
          <w:b w:val="0"/>
          <w:bCs w:val="0"/>
        </w:rPr>
      </w:pPr>
      <w:r>
        <w:rPr>
          <w:b w:val="0"/>
          <w:bCs w:val="0"/>
        </w:rPr>
      </w:r>
    </w:p>
    <w:tbl>
      <w:tblPr>
        <w:tblStyle w:val="TableGrid"/>
        <w:name w:val="Tabelle3"/>
        <w:tabOrder w:val="0"/>
        <w:jc w:val="left"/>
        <w:tblInd w:w="0" w:type="dxa"/>
        <w:tblW w:w="9639" w:type="dxa"/>
        <w:tblLook w:val="04A0" w:firstRow="1" w:lastRow="0" w:firstColumn="1" w:lastColumn="0" w:noHBand="0" w:noVBand="1"/>
      </w:tblPr>
      <w:tblGrid>
        <w:gridCol w:w="3852"/>
        <w:gridCol w:w="5787"/>
      </w:tblGrid>
      <w:tr>
        <w:trPr>
          <w:tblHeader w:val="0"/>
          <w:cantSplit w:val="0"/>
          <w:trHeight w:val="0" w:hRule="auto"/>
        </w:trPr>
        <w:tc>
          <w:tcPr>
            <w:tcW w:w="3852"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pStyle w:val="para6"/>
            </w:pPr>
            <w:r>
              <w:t>Witold Lutoslawski</w:t>
            </w:r>
          </w:p>
        </w:tc>
        <w:tc>
          <w:tcPr>
            <w:tcW w:w="5787" w:type="dxa"/>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pStyle w:val="para7"/>
            </w:pPr>
            <w:r>
              <w:t>Subito</w:t>
            </w:r>
          </w:p>
        </w:tc>
      </w:tr>
      <w:tr>
        <w:trPr>
          <w:tblHeader w:val="0"/>
          <w:cantSplit w:val="0"/>
          <w:trHeight w:val="429" w:hRule="auto"/>
        </w:trPr>
        <w:tc>
          <w:tcPr>
            <w:tcW w:w="3852" w:type="dxa"/>
            <w:vAlign w:val="bottom"/>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t xml:space="preserve">  (1913 - 1994)</w:t>
            </w:r>
          </w:p>
        </w:tc>
        <w:tc>
          <w:tcPr>
            <w:tcW w:w="5787" w:type="dxa"/>
            <w:vAlign w:val="center"/>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r>
      <w:tr>
        <w:trPr>
          <w:tblHeader w:val="0"/>
          <w:cantSplit w:val="0"/>
          <w:trHeight w:val="429" w:hRule="auto"/>
        </w:trPr>
        <w:tc>
          <w:tcPr>
            <w:tcW w:w="3852" w:type="dxa"/>
            <w:vAlign w:val="bottom"/>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c>
          <w:tcPr>
            <w:tcW w:w="5787" w:type="dxa"/>
            <w:vAlign w:val="center"/>
            <w:tcMar>
              <w:left w:w="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r>
    </w:tbl>
    <w:p>
      <w:pPr>
        <w:pStyle w:val="para8"/>
        <w:spacing w:before="240" w:after="240"/>
        <w:rPr>
          <w:rFonts w:eastAsia="Times New Roman" w:cs="Times New Roman"/>
          <w:iCs w:val="0"/>
          <w:szCs w:val="24"/>
        </w:rPr>
      </w:pPr>
      <w:r>
        <w:rPr>
          <w:rFonts w:eastAsia="Times New Roman" w:cs="Times New Roman"/>
          <w:iCs w:val="0"/>
          <w:szCs w:val="24"/>
        </w:rPr>
        <w:t>-----------------------------      P  a  u  s  e      ----------------------…</w:t>
      </w:r>
    </w:p>
    <w:p>
      <w:pPr>
        <w:pStyle w:val="para6"/>
      </w:pPr>
      <w:r/>
    </w:p>
    <w:tbl>
      <w:tblPr>
        <w:tblStyle w:val="TableGrid"/>
        <w:name w:val="Tabelle1"/>
        <w:tabOrder w:val="0"/>
        <w:jc w:val="left"/>
        <w:tblInd w:w="0" w:type="dxa"/>
        <w:tblW w:w="9638" w:type="dxa"/>
        <w:tblLook w:val="04A0" w:firstRow="1" w:lastRow="0" w:firstColumn="1" w:lastColumn="0" w:noHBand="0" w:noVBand="1"/>
      </w:tblPr>
      <w:tblGrid>
        <w:gridCol w:w="3855"/>
        <w:gridCol w:w="5783"/>
      </w:tblGrid>
      <w:tr>
        <w:trPr>
          <w:tblHeader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pStyle w:val="para6"/>
            </w:pPr>
            <w:r>
              <w:t>Pjotr Iljitsch Tschaikowski</w:t>
            </w:r>
          </w:p>
        </w:tc>
        <w:tc>
          <w:tcPr>
            <w:tcW w:w="5783" w:type="dxa"/>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pStyle w:val="para7"/>
            </w:pPr>
            <w:r>
              <w:t>„Souvenir d'un lieu cher“, op. 42</w:t>
            </w:r>
          </w:p>
        </w:tc>
      </w:tr>
      <w:tr>
        <w:trPr>
          <w:tblHeader w:val="0"/>
          <w:cantSplit w:val="0"/>
          <w:trHeight w:val="339"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t xml:space="preserve">  (1840 - 1893)</w:t>
            </w:r>
          </w:p>
        </w:tc>
        <w:tc>
          <w:tcPr>
            <w:tcW w:w="5783" w:type="dxa"/>
            <w:tcMar>
              <w:left w:w="-1"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ind w:left="283"/>
            </w:pPr>
            <w:r>
              <w:t>Nr. 1: Meditation</w:t>
            </w:r>
          </w:p>
        </w:tc>
      </w:tr>
      <w:tr>
        <w:trPr>
          <w:tblHeader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c>
          <w:tcPr>
            <w:tcW w:w="5765"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r>
    </w:tbl>
    <w:p>
      <w:pPr>
        <w:suppressAutoHyphens/>
        <w:hyphenationLines w:val="0"/>
      </w:pPr>
      <w:r/>
    </w:p>
    <w:tbl>
      <w:tblPr>
        <w:tblStyle w:val="TableGrid"/>
        <w:name w:val="Tabelle4"/>
        <w:tabOrder w:val="0"/>
        <w:jc w:val="left"/>
        <w:tblInd w:w="0" w:type="dxa"/>
        <w:tblW w:w="9638" w:type="dxa"/>
        <w:tblLook w:val="04A0" w:firstRow="1" w:lastRow="0" w:firstColumn="1" w:lastColumn="0" w:noHBand="0" w:noVBand="1"/>
      </w:tblPr>
      <w:tblGrid>
        <w:gridCol w:w="3855"/>
        <w:gridCol w:w="5783"/>
      </w:tblGrid>
      <w:tr>
        <w:trPr>
          <w:tblHeader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pStyle w:val="para6"/>
            </w:pPr>
            <w:r>
              <w:t>Franz Schubert</w:t>
            </w:r>
          </w:p>
        </w:tc>
        <w:tc>
          <w:tcPr>
            <w:tcW w:w="5783" w:type="dxa"/>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pStyle w:val="para7"/>
            </w:pPr>
            <w:r>
              <w:t>Fantasie C-Dur für Violine und Klavier, D 934</w:t>
            </w:r>
          </w:p>
        </w:tc>
      </w:tr>
      <w:tr>
        <w:trPr>
          <w:tblHeader w:val="0"/>
          <w:cantSplit w:val="0"/>
          <w:trHeight w:val="339"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t xml:space="preserve">  (1797 - 1828)</w:t>
            </w:r>
          </w:p>
        </w:tc>
        <w:tc>
          <w:tcPr>
            <w:tcW w:w="5783" w:type="dxa"/>
            <w:tcMar>
              <w:left w:w="-1"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ind w:left="283"/>
            </w:pPr>
            <w:r>
              <w:t xml:space="preserve">Andante molto – Allegretto – </w:t>
            </w:r>
          </w:p>
        </w:tc>
      </w:tr>
      <w:tr>
        <w:trPr>
          <w:tblHeader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c>
          <w:tcPr>
            <w:tcW w:w="5765"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ind w:left="283"/>
            </w:pPr>
            <w:r>
              <w:t xml:space="preserve">Andantino – Tempo I – </w:t>
            </w:r>
          </w:p>
        </w:tc>
      </w:tr>
      <w:tr>
        <w:trPr>
          <w:tblHeader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c>
          <w:tcPr>
            <w:tcW w:w="5765"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ind w:left="283"/>
            </w:pPr>
            <w:r>
              <w:t xml:space="preserve">Allegro vivace – </w:t>
            </w:r>
          </w:p>
        </w:tc>
      </w:tr>
      <w:tr>
        <w:trPr>
          <w:tblHeader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c>
          <w:tcPr>
            <w:tcW w:w="5765"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ind w:left="283"/>
            </w:pPr>
            <w:r>
              <w:t>Allegretto – Presto</w:t>
            </w:r>
          </w:p>
        </w:tc>
      </w:tr>
      <w:tr>
        <w:trPr>
          <w:tblHeader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r/>
          </w:p>
        </w:tc>
        <w:tc>
          <w:tcPr>
            <w:tcW w:w="5765"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05134" protected="0"/>
          </w:tcPr>
          <w:p>
            <w:pPr>
              <w:ind w:left="283"/>
            </w:pPr>
            <w:r/>
          </w:p>
        </w:tc>
      </w:tr>
    </w:tbl>
    <w:p>
      <w:r/>
    </w:p>
    <w:p>
      <w:pPr>
        <w:sectPr>
          <w:footnotePr>
            <w:pos w:val="pageBottom"/>
            <w:numFmt w:val="decimal"/>
            <w:numStart w:val="1"/>
            <w:numRestart w:val="continuous"/>
          </w:footnotePr>
          <w:endnotePr>
            <w:pos w:val="docEnd"/>
            <w:numFmt w:val="decimal"/>
            <w:numStart w:val="1"/>
            <w:numRestart w:val="continuous"/>
          </w:endnotePr>
          <w:headerReference w:type="default" r:id="rId7"/>
          <w:footerReference w:type="default" r:id="rId8"/>
          <w:type w:val="continuous"/>
          <w:pgSz w:h="16839" w:w="11907"/>
          <w:pgMar w:left="1134" w:top="1134" w:right="1134" w:bottom="1134" w:header="567" w:footer="0"/>
          <w:paperSrc w:first="0" w:other="0" a="0" b="0"/>
          <w:pgNumType w:fmt="decimal"/>
          <w:tmGutter w:val="1"/>
          <w:mirrorMargins w:val="0"/>
          <w:tmSection w:h="-1">
            <w:tmHeader w:id="0" w:h="0" edge="567" text="0">
              <w:shd w:val="none"/>
            </w:tmHeader>
            <w:tmFooter w:id="0" w:h="0" edge="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11"/>
      </w:pPr>
      <w:r/>
    </w:p>
    <w:p>
      <w:pPr>
        <w:pStyle w:val="para11"/>
      </w:pPr>
      <w:r/>
    </w:p>
    <w:p>
      <w:pPr>
        <w:pStyle w:val="para11"/>
      </w:pPr>
      <w:r>
        <w:t>Beethovens drei Sonaten op. 30, dem Zaren Alexander I gewidmet, entstanden 1802, zu Beginn seiner so bezeichneten “zweiten” Schaffensphase, der „heroischen Phase“. Am deutlichsten ist dies in der zweiten Sonate c-Moll – vor allem in den Moll-Außensätzen zu hören, deren pathetischer Ton sinfonisch anmutet und in der sich Virtuosität und musikalischer Anspruch verbinden.</w:t>
      </w:r>
    </w:p>
    <w:p>
      <w:pPr>
        <w:pStyle w:val="para11"/>
      </w:pPr>
      <w:r>
        <w:t>Lutoslawskis „Subito“ - wörtlich „plötzlich“ - ist ein virtuoses Scherzo voller schillernder Farben. Der Titel selbst definiert den Charakter dieses Werks. Sein Ausdruck ist geprägt von heftigen Tempo- und Dynamikwechseln, dem Aufeinanderprallen von brillanten Passagen und ausgeprägter Artikulation einerseits und lyrischen Phrasen andererseits sowie dem ständigen Kontrast zwischen intensiver Klangfülle und leichter Textur. Aufgrund seiner knappen Form gehört das Werk in den Katalog der sogenannten Miniaturstücke. Subito für Violine und Klavier wurde 1992 für den Internationalen Violinwettbewerb von Indianapolis komponiert.</w:t>
      </w:r>
    </w:p>
    <w:p>
      <w:pPr>
        <w:pStyle w:val="para11"/>
      </w:pPr>
      <w:r>
        <w:t>Méditation war ursprünglich als langsamer Satz des für Leopold Auer, (dem Begründer der russischen Geigenschule), komponierten Violinkonzertes gedacht, wurde dann aber durch einen neuen Mittelsatz ersetzt. Tschaikowsky veröffentlichte Méditation später als erstes der drei Stücke op. 42, deren Titel Souvenir d’un lieu cher (Erinnerung an einen geliebten Aufenthalt) an das Landgut seiner Gönnerin, Frau von Meck, erinnert.</w:t>
      </w:r>
    </w:p>
    <w:p>
      <w:pPr>
        <w:pStyle w:val="para11"/>
      </w:pPr>
      <w:r>
        <w:t>Franz Schubert wurde zu seinen virtuosesten Violinwerken durch einen exorbitanten Geiger inspiriert. 1826/27 schrieb er für den „böhmischen Paganini“ Josef Slawik die große C-Dur-Fantasie und das Rondeau brillant in h-Moll für Violine und Klavier.</w:t>
        <w:br w:type="textWrapping"/>
        <w:t>Die Fantasie irritierte das Publikum bei der Uraufführung am 20. Januar 1828 durch ihre ungewöhnliche Länge. Einen Kritiker trieb es vorzeitig aus dem Saal, ein anderer sprach von einem Werk für ein „eigentliches Kenner-Publikum“. Schubert hatte sich von all jenen modischen „Phantasien“ distanziert „an denen die Phantasie sehr wenigen oder gar keinen Anteil hat, und die man nur so tauft, weil der Name gut klingt, und weil das Geisteskind, wie wild Wasser nach allen Seiten auslaufend, in keine gesetzliche Form sich hat fügen wollen“, wie die Allgemeine Musikalischen Zeitung diese Richtung 1826 beschrieb. Schuberts Fantasie zeigt dagegen den gleichen strengen Aufbau aus vier rudimentären Sonatensätzen im Rahmen einer einzigen großen Form wie seine Wandererfantasie und seine f-Moll-Fantasie für Klavier zu vier Händen. Wie in der ersteren bilden umfangreiche Liedvariationen das Zentrum, wie in der letzteren kehrt die Einleitung im Verlauf der Fantasie wieder.</w:t>
      </w:r>
    </w:p>
    <w:p>
      <w:pPr>
        <w:pStyle w:val="para11"/>
        <w:spacing/>
        <w:jc w:val="right"/>
      </w:pPr>
      <w:r>
        <w:t>(Frei nach kammermuskfuehrer.de)</w:t>
      </w:r>
    </w:p>
    <w:p>
      <w:pPr>
        <w:pStyle w:val="para11"/>
        <w:spacing/>
        <w:jc w:val="right"/>
      </w:pPr>
      <w:r/>
    </w:p>
    <w:p>
      <w:pPr>
        <w:pStyle w:val="para11"/>
        <w:spacing/>
        <w:jc w:val="right"/>
      </w:pPr>
      <w:r/>
    </w:p>
    <w:p>
      <w:pPr>
        <w:pStyle w:val="para11"/>
        <w:spacing/>
        <w:jc w:val="right"/>
      </w:pPr>
      <w:r/>
    </w:p>
    <w:p>
      <w:pPr>
        <w:pStyle w:val="para11"/>
        <w:spacing/>
        <w:jc w:val="right"/>
      </w:pPr>
      <w:r/>
    </w:p>
    <w:p>
      <w:pPr>
        <w:pStyle w:val="para11"/>
        <w:spacing/>
        <w:jc w:val="right"/>
      </w:pPr>
      <w:r/>
    </w:p>
    <w:p>
      <w:pPr>
        <w:pStyle w:val="para11"/>
        <w:spacing/>
        <w:jc w:val="right"/>
      </w:pPr>
      <w:r/>
    </w:p>
    <w:p>
      <w:pPr>
        <w:ind w:left="3402" w:hanging="3402"/>
        <w:tabs defTabSz="708">
          <w:tab w:val="right" w:pos="9638" w:leader="underscore"/>
        </w:tabs>
        <w:pBdr>
          <w:top w:val="single" w:sz="12" w:space="3" w:color="000000" tmln="3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Nächstes Konzert: </w:t>
      </w:r>
      <w:r>
        <w:rPr>
          <w:b/>
          <w:bCs/>
        </w:rPr>
        <w:t>14.06.2023</w:t>
      </w:r>
      <w:r>
        <w:tab/>
        <w:t>Laura Lootens, Gitarre, mit Musik u.a. von Albéniz, Castelnuovo-Tedesco und Rodrigo.</w:t>
      </w:r>
    </w:p>
    <w:sectPr>
      <w:footnotePr>
        <w:pos w:val="pageBottom"/>
        <w:numFmt w:val="decimal"/>
        <w:numStart w:val="1"/>
        <w:numRestart w:val="continuous"/>
      </w:footnotePr>
      <w:endnotePr>
        <w:pos w:val="docEnd"/>
        <w:numFmt w:val="decimal"/>
        <w:numStart w:val="1"/>
        <w:numRestart w:val="continuous"/>
      </w:endnotePr>
      <w:headerReference w:type="default" r:id="rId9"/>
      <w:footerReference w:type="default" r:id="rId10"/>
      <w:type w:val="nextPage"/>
      <w:pgSz w:h="16839" w:w="11907"/>
      <w:pgMar w:left="1134" w:top="1134" w:right="1134" w:bottom="1134" w:header="567" w:footer="0"/>
      <w:paperSrc w:first="0" w:other="0" a="0" b="0"/>
      <w:pgNumType w:fmt="decimal"/>
      <w:tmGutter w:val="1"/>
      <w:mirrorMargins w:val="0"/>
      <w:tmSection w:h="-1">
        <w:tmHeader w:id="0" w:h="0" edge="567" text="0">
          <w:shd w:val="none"/>
        </w:tmHeader>
        <w:tmFooter w:id="0" w:h="0" edge="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Times">
    <w:panose1 w:val="02020603050405020304"/>
    <w:charset w:val="00"/>
    <w:family w:val="auto"/>
    <w:pitch w:val="default"/>
  </w:font>
  <w:font w:name="Helvetica Neue">
    <w:panose1 w:val="020B0604020202020204"/>
    <w:charset w:val="00"/>
    <w:family w:val="auto"/>
    <w:pitch w:val="default"/>
  </w:font>
  <w:font w:name="Arial Unicode MS">
    <w:panose1 w:val="020B06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
    </w:pPr>
    <w:r>
      <w:rPr>
        <w:noProof/>
      </w:rPr>
      <w:drawing>
        <wp:anchor distT="89535" distB="89535" distL="89535" distR="89535" simplePos="0" relativeHeight="251658241" behindDoc="0" locked="0" layoutInCell="0" hidden="0" allowOverlap="1">
          <wp:simplePos x="0" y="0"/>
          <wp:positionH relativeFrom="page">
            <wp:align>center</wp:align>
          </wp:positionH>
          <wp:positionV relativeFrom="page">
            <wp:align>bottom</wp:align>
          </wp:positionV>
          <wp:extent cx="6823075" cy="664845"/>
          <wp:effectExtent l="0" t="0" r="0" b="0"/>
          <wp:wrapSquare wrapText="bothSides"/>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4_Lk1bZBMAAAAlAAAAEQAAAK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AAAAAQogAAAAAAAAAAAAACAAAAAAAAAAwAAAADAAAAAAAAAI0BAAD5KQAAFwQAAAAAAABRAgAAIzwAACgAAAAIAAAAAQAAAAEAAAA="/>
                      </a:ext>
                    </a:extLst>
                  </pic:cNvPicPr>
                </pic:nvPicPr>
                <pic:blipFill>
                  <a:blip r:embed="rId1"/>
                  <a:stretch>
                    <a:fillRect/>
                  </a:stretch>
                </pic:blipFill>
                <pic:spPr>
                  <a:xfrm>
                    <a:off x="0" y="0"/>
                    <a:ext cx="6823075" cy="664845"/>
                  </a:xfrm>
                  <a:prstGeom prst="rect">
                    <a:avLst/>
                  </a:prstGeom>
                  <a:noFill/>
                  <a:ln w="12700">
                    <a:noFill/>
                  </a:ln>
                </pic:spPr>
              </pic:pic>
            </a:graphicData>
          </a:graphic>
        </wp:anchor>
      </w:drawing>
    </w:r>
    <w:r>
      <w:t>Kleiner Saal, Stadthalle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
    </w:pPr>
    <w:r>
      <w:rPr>
        <w:noProof/>
      </w:rPr>
      <w:drawing>
        <wp:anchor distT="89535" distB="89535" distL="89535" distR="89535" simplePos="0" relativeHeight="251658242" behindDoc="0" locked="0" layoutInCell="0" hidden="0" allowOverlap="1">
          <wp:simplePos x="0" y="0"/>
          <wp:positionH relativeFrom="page">
            <wp:align>center</wp:align>
          </wp:positionH>
          <wp:positionV relativeFrom="page">
            <wp:align>bottom</wp:align>
          </wp:positionV>
          <wp:extent cx="6823075" cy="664845"/>
          <wp:effectExtent l="0" t="0" r="0" b="0"/>
          <wp:wrapSquare wrapText="bothSides"/>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NativeData">
                        <sm:smNativeData xmlns:sm="smNativeData" val="SMDATA_14_Lk1bZBMAAAAlAAAAEQAAAK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AAAAAQogAAAAAAAAAAAAACAAAAAAAAAAwAAAADAAAAAAAAAI0BAAD5KQAAFwQAAAAAAQBRAgAAIzwAACgAAAAIAAAAAQAAAAEAAAA="/>
                      </a:ext>
                    </a:extLst>
                  </pic:cNvPicPr>
                </pic:nvPicPr>
                <pic:blipFill>
                  <a:blip r:embed="rId1"/>
                  <a:stretch>
                    <a:fillRect/>
                  </a:stretch>
                </pic:blipFill>
                <pic:spPr>
                  <a:xfrm>
                    <a:off x="0" y="0"/>
                    <a:ext cx="6823075" cy="664845"/>
                  </a:xfrm>
                  <a:prstGeom prst="rect">
                    <a:avLst/>
                  </a:prstGeom>
                  <a:noFill/>
                  <a:ln w="12700">
                    <a:noFill/>
                  </a:ln>
                </pic:spPr>
              </pic:pic>
            </a:graphicData>
          </a:graphic>
        </wp:anchor>
      </w:drawing>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
  <w:compatSetting w:name="compatibilityMode" w:uri="http://schemas.microsoft.com/office/word" w:val="15"/>
  <w:shapeDefaults>
    <o:shapedefaults v:ext="edit" spidmax="5121"/>
    <o:shapelayout v:ext="edit">
      <o:rules v:ext="edit"/>
    </o:shapelayout>
  </w:shapeDefaults>
  <w:tmPrefOne w:val="16"/>
  <w:tmPrefTwo w:val="257"/>
  <w:tmFmtPref w:val="55090283"/>
  <w:tmCommentsPr>
    <w:tmCommentsPlace w:val="0"/>
    <w:tmCommentsWidth w:val="3120"/>
    <w:tmCommentsColor w:val="-1"/>
  </w:tmCommentsPr>
  <w:tmReviewPr>
    <w:tmReviewEnabled w:val="0"/>
    <w:tmReviewShow w:val="1"/>
    <w:tmReviewPrint w:val="0"/>
    <w:tmRevisionNum w:val="44"/>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23"/>
      <w:tmLastPosIdx w:val="1038"/>
    </w:tmLastPosCaret>
    <w:tmLastPosAnchor>
      <w:tmLastPosPgfIdx w:val="0"/>
      <w:tmLastPosIdx w:val="0"/>
    </w:tmLastPosAnchor>
    <w:tmLastPosTblRect w:left="0" w:top="0" w:right="0" w:bottom="0"/>
  </w:tmLastPos>
  <w:tmAppRevision w:date="1683705134" w:val="98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kern w:val="1"/>
        <w:sz w:val="26"/>
        <w:szCs w:val="26"/>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customStyle="1">
    <w:name w:val="Ort"/>
    <w:qFormat/>
    <w:basedOn w:val="para0"/>
    <w:pPr>
      <w:spacing/>
      <w:jc w:val="center"/>
      <w:pBdr>
        <w:top w:val="nil" w:sz="0" w:space="0" w:color="000000" tmln="20, 20, 20, 0, 0"/>
        <w:left w:val="nil" w:sz="0" w:space="0" w:color="000000" tmln="20, 20, 20, 0, 0"/>
        <w:bottom w:val="single" w:sz="8" w:space="9" w:color="000000" tmln="20, 20, 20, 0, 180"/>
        <w:right w:val="nil" w:sz="0" w:space="0" w:color="000000" tmln="20, 20, 20, 0, 0"/>
        <w:between w:val="nil" w:sz="0" w:space="0" w:color="000000" tmln="20, 20, 20, 0, 0"/>
      </w:pBdr>
      <w:shd w:val="none"/>
    </w:pPr>
    <w:rPr>
      <w:sz w:val="28"/>
      <w:szCs w:val="28"/>
    </w:rPr>
  </w:style>
  <w:style w:type="paragraph" w:styleId="para2" w:customStyle="1">
    <w:name w:val="MMK"/>
    <w:qFormat/>
    <w:basedOn w:val="para0"/>
    <w:next w:val="para0"/>
    <w:pPr>
      <w:spacing w:before="120" w:after="180"/>
      <w:jc w:val="center"/>
      <w:suppressAutoHyphens/>
      <w:hyphenationLines w:val="0"/>
      <w:widowControl/>
      <w:tabs defTabSz="708">
        <w:tab w:val="left" w:pos="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sz w:val="52"/>
      <w:szCs w:val="52"/>
    </w:rPr>
  </w:style>
  <w:style w:type="paragraph" w:styleId="para3" w:customStyle="1">
    <w:name w:val="Zeit"/>
    <w:qFormat/>
    <w:basedOn w:val="para1"/>
    <w:next w:val="para0"/>
    <w:pPr>
      <w:spacing w:after="180"/>
      <w:suppressAutoHyphens/>
      <w:hyphenationLines w:val="0"/>
      <w:widowControl/>
      <w:tabs defTabSz="708">
        <w:tab w:val="left" w:pos="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style>
  <w:style w:type="paragraph" w:styleId="para4" w:customStyle="1">
    <w:name w:val="Künstler"/>
    <w:qFormat/>
    <w:basedOn w:val="para2"/>
    <w:next w:val="para0"/>
    <w:pPr>
      <w:spacing w:before="0" w:after="0"/>
    </w:pPr>
    <w:rPr>
      <w:sz w:val="40"/>
      <w:szCs w:val="40"/>
    </w:rPr>
  </w:style>
  <w:style w:type="paragraph" w:styleId="para5" w:customStyle="1">
    <w:name w:val="Thema"/>
    <w:qFormat/>
    <w:basedOn w:val="para2"/>
    <w:next w:val="para0"/>
    <w:pPr>
      <w:spacing w:before="180" w:after="360"/>
    </w:pPr>
    <w:rPr>
      <w:sz w:val="48"/>
      <w:szCs w:val="48"/>
    </w:rPr>
  </w:style>
  <w:style w:type="paragraph" w:styleId="para6" w:customStyle="1">
    <w:name w:val="Komponisten"/>
    <w:qFormat/>
    <w:basedOn w:val="para0"/>
    <w:pPr>
      <w:spacing w:after="40"/>
      <w:tabs defTabSz="708">
        <w:tab w:val="left" w:pos="3969" w:leader="none"/>
      </w:tabs>
    </w:pPr>
    <w:rPr>
      <w:b/>
      <w:bCs/>
    </w:rPr>
  </w:style>
  <w:style w:type="paragraph" w:styleId="para7" w:customStyle="1">
    <w:name w:val="Werke"/>
    <w:qFormat/>
    <w:basedOn w:val="para0"/>
    <w:rPr>
      <w:i/>
      <w:iCs/>
    </w:rPr>
  </w:style>
  <w:style w:type="paragraph" w:styleId="para8" w:customStyle="1">
    <w:name w:val="Pause"/>
    <w:qFormat/>
    <w:basedOn w:val="para0"/>
    <w:next w:val="para6"/>
    <w:pPr>
      <w:spacing w:before="120" w:after="300"/>
      <w:jc w:val="center"/>
      <w:suppressAutoHyphens/>
      <w:hyphenationLines w:val="0"/>
      <w:widowControl/>
      <w:tabs defTabSz="708">
        <w:tab w:val="left" w:pos="397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Times" w:hAnsi="Times" w:eastAsia="Times" w:cs="Times"/>
      <w:i/>
      <w:iCs/>
    </w:rPr>
  </w:style>
  <w:style w:type="paragraph" w:styleId="para9" w:customStyle="1">
    <w:name w:val="Terminliste"/>
    <w:qFormat/>
    <w:basedOn w:val="para0"/>
    <w:pPr>
      <w:ind w:left="1417" w:hanging="1417"/>
      <w:spacing w:after="40"/>
    </w:pPr>
    <w:rPr>
      <w:sz w:val="28"/>
      <w:szCs w:val="28"/>
    </w:rPr>
  </w:style>
  <w:style w:type="paragraph" w:styleId="para10" w:customStyle="1">
    <w:name w:val="Text"/>
    <w:qFormat/>
    <w:pPr>
      <w:suppressLineNumbers/>
      <w:widowControl/>
      <w:tabs defTabSz="720"/>
    </w:pPr>
    <w:rPr>
      <w:rFonts w:ascii="Helvetica Neue" w:hAnsi="Helvetica Neue" w:eastAsia="Arial Unicode MS" w:cs="Arial Unicode MS"/>
      <w:color w:val="000000"/>
      <w:kern w:val="1"/>
      <w:sz w:val="22"/>
      <w:szCs w:val="22"/>
      <w:lang w:val="de-de" w:eastAsia="zh-cn" w:bidi="ar-sa"/>
    </w:rPr>
  </w:style>
  <w:style w:type="paragraph" w:styleId="para11" w:customStyle="1">
    <w:name w:val="Beschreibung"/>
    <w:qFormat/>
    <w:basedOn w:val="para0"/>
    <w:pPr>
      <w:spacing w:after="40"/>
    </w:pPr>
  </w:style>
  <w:style w:type="paragraph" w:styleId="para12" w:customStyle="1">
    <w:name w:val="nächstesKonzert"/>
    <w:qFormat/>
    <w:basedOn w:val="para0"/>
    <w:pPr>
      <w:ind w:left="3402" w:hanging="3402"/>
      <w:tabs defTabSz="708">
        <w:tab w:val="left" w:pos="3402" w:leader="none"/>
      </w:tabs>
      <w:pBdr>
        <w:top w:val="single" w:sz="12" w:space="3" w:color="000000" tmln="30,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character" w:styleId="char0" w:default="1">
    <w:name w:val="Default Paragraph Font"/>
  </w:style>
  <w:style w:type="character" w:styleId="char1" w:customStyle="1">
    <w:name w:val="Werke"/>
    <w:basedOnNormal/>
    <w:rPr>
      <w:i/>
    </w:rPr>
  </w:style>
  <w:style w:type="character" w:styleId="char2" w:customStyle="1">
    <w:name w:val="Sätze"/>
    <w:basedOn w:val="char1"/>
    <w:rPr>
      <w:i w:val="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Times New Roman" w:cs="Times New Roman"/>
        <w:kern w:val="1"/>
        <w:sz w:val="26"/>
        <w:szCs w:val="26"/>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customStyle="1">
    <w:name w:val="Ort"/>
    <w:qFormat/>
    <w:basedOn w:val="para0"/>
    <w:pPr>
      <w:spacing/>
      <w:jc w:val="center"/>
      <w:pBdr>
        <w:top w:val="nil" w:sz="0" w:space="0" w:color="000000" tmln="20, 20, 20, 0, 0"/>
        <w:left w:val="nil" w:sz="0" w:space="0" w:color="000000" tmln="20, 20, 20, 0, 0"/>
        <w:bottom w:val="single" w:sz="8" w:space="9" w:color="000000" tmln="20, 20, 20, 0, 180"/>
        <w:right w:val="nil" w:sz="0" w:space="0" w:color="000000" tmln="20, 20, 20, 0, 0"/>
        <w:between w:val="nil" w:sz="0" w:space="0" w:color="000000" tmln="20, 20, 20, 0, 0"/>
      </w:pBdr>
      <w:shd w:val="none"/>
    </w:pPr>
    <w:rPr>
      <w:sz w:val="28"/>
      <w:szCs w:val="28"/>
    </w:rPr>
  </w:style>
  <w:style w:type="paragraph" w:styleId="para2" w:customStyle="1">
    <w:name w:val="MMK"/>
    <w:qFormat/>
    <w:basedOn w:val="para0"/>
    <w:next w:val="para0"/>
    <w:pPr>
      <w:spacing w:before="120" w:after="180"/>
      <w:jc w:val="center"/>
      <w:suppressAutoHyphens/>
      <w:hyphenationLines w:val="0"/>
      <w:widowControl/>
      <w:tabs defTabSz="708">
        <w:tab w:val="left" w:pos="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sz w:val="52"/>
      <w:szCs w:val="52"/>
    </w:rPr>
  </w:style>
  <w:style w:type="paragraph" w:styleId="para3" w:customStyle="1">
    <w:name w:val="Zeit"/>
    <w:qFormat/>
    <w:basedOn w:val="para1"/>
    <w:next w:val="para0"/>
    <w:pPr>
      <w:spacing w:after="180"/>
      <w:suppressAutoHyphens/>
      <w:hyphenationLines w:val="0"/>
      <w:widowControl/>
      <w:tabs defTabSz="708">
        <w:tab w:val="left" w:pos="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style>
  <w:style w:type="paragraph" w:styleId="para4" w:customStyle="1">
    <w:name w:val="Künstler"/>
    <w:qFormat/>
    <w:basedOn w:val="para2"/>
    <w:next w:val="para0"/>
    <w:pPr>
      <w:spacing w:before="0" w:after="0"/>
    </w:pPr>
    <w:rPr>
      <w:sz w:val="40"/>
      <w:szCs w:val="40"/>
    </w:rPr>
  </w:style>
  <w:style w:type="paragraph" w:styleId="para5" w:customStyle="1">
    <w:name w:val="Thema"/>
    <w:qFormat/>
    <w:basedOn w:val="para2"/>
    <w:next w:val="para0"/>
    <w:pPr>
      <w:spacing w:before="180" w:after="360"/>
    </w:pPr>
    <w:rPr>
      <w:sz w:val="48"/>
      <w:szCs w:val="48"/>
    </w:rPr>
  </w:style>
  <w:style w:type="paragraph" w:styleId="para6" w:customStyle="1">
    <w:name w:val="Komponisten"/>
    <w:qFormat/>
    <w:basedOn w:val="para0"/>
    <w:pPr>
      <w:spacing w:after="40"/>
      <w:tabs defTabSz="708">
        <w:tab w:val="left" w:pos="3969" w:leader="none"/>
      </w:tabs>
    </w:pPr>
    <w:rPr>
      <w:b/>
      <w:bCs/>
    </w:rPr>
  </w:style>
  <w:style w:type="paragraph" w:styleId="para7" w:customStyle="1">
    <w:name w:val="Werke"/>
    <w:qFormat/>
    <w:basedOn w:val="para0"/>
    <w:rPr>
      <w:i/>
      <w:iCs/>
    </w:rPr>
  </w:style>
  <w:style w:type="paragraph" w:styleId="para8" w:customStyle="1">
    <w:name w:val="Pause"/>
    <w:qFormat/>
    <w:basedOn w:val="para0"/>
    <w:next w:val="para6"/>
    <w:pPr>
      <w:spacing w:before="120" w:after="300"/>
      <w:jc w:val="center"/>
      <w:suppressAutoHyphens/>
      <w:hyphenationLines w:val="0"/>
      <w:widowControl/>
      <w:tabs defTabSz="708">
        <w:tab w:val="left" w:pos="397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Times" w:hAnsi="Times" w:eastAsia="Times" w:cs="Times"/>
      <w:i/>
      <w:iCs/>
    </w:rPr>
  </w:style>
  <w:style w:type="paragraph" w:styleId="para9" w:customStyle="1">
    <w:name w:val="Terminliste"/>
    <w:qFormat/>
    <w:basedOn w:val="para0"/>
    <w:pPr>
      <w:ind w:left="1417" w:hanging="1417"/>
      <w:spacing w:after="40"/>
    </w:pPr>
    <w:rPr>
      <w:sz w:val="28"/>
      <w:szCs w:val="28"/>
    </w:rPr>
  </w:style>
  <w:style w:type="paragraph" w:styleId="para10" w:customStyle="1">
    <w:name w:val="Text"/>
    <w:qFormat/>
    <w:pPr>
      <w:suppressLineNumbers/>
      <w:widowControl/>
      <w:tabs defTabSz="720"/>
    </w:pPr>
    <w:rPr>
      <w:rFonts w:ascii="Helvetica Neue" w:hAnsi="Helvetica Neue" w:eastAsia="Arial Unicode MS" w:cs="Arial Unicode MS"/>
      <w:color w:val="000000"/>
      <w:kern w:val="1"/>
      <w:sz w:val="22"/>
      <w:szCs w:val="22"/>
      <w:lang w:val="de-de" w:eastAsia="zh-cn" w:bidi="ar-sa"/>
    </w:rPr>
  </w:style>
  <w:style w:type="paragraph" w:styleId="para11" w:customStyle="1">
    <w:name w:val="Beschreibung"/>
    <w:qFormat/>
    <w:basedOn w:val="para0"/>
    <w:pPr>
      <w:spacing w:after="40"/>
    </w:pPr>
  </w:style>
  <w:style w:type="paragraph" w:styleId="para12" w:customStyle="1">
    <w:name w:val="nächstesKonzert"/>
    <w:qFormat/>
    <w:basedOn w:val="para0"/>
    <w:pPr>
      <w:ind w:left="3402" w:hanging="3402"/>
      <w:tabs defTabSz="708">
        <w:tab w:val="left" w:pos="3402" w:leader="none"/>
      </w:tabs>
      <w:pBdr>
        <w:top w:val="single" w:sz="12" w:space="3" w:color="000000" tmln="30,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character" w:styleId="char0" w:default="1">
    <w:name w:val="Default Paragraph Font"/>
  </w:style>
  <w:style w:type="character" w:styleId="char1" w:customStyle="1">
    <w:name w:val="Werke"/>
    <w:basedOnNormal/>
    <w:rPr>
      <w:i/>
    </w:rPr>
  </w:style>
  <w:style w:type="character" w:styleId="char2" w:customStyle="1">
    <w:name w:val="Sätze"/>
    <w:basedOn w:val="char1"/>
    <w:rPr>
      <w:i w:val="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_rels/header1.xml.rels><?xml version="1.0" encoding="UTF-8" standalone="yes" ?>
<Relationships xmlns="http://schemas.openxmlformats.org/package/2006/relationships"><Relationship Id="rId1" Type="http://schemas.openxmlformats.org/officeDocument/2006/relationships/image" Target="media/image1.png"/></Relationships>
</file>

<file path=word/_rels/header2.xml.rels><?xml version="1.0" encoding="UTF-8" standalone="yes" ?>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rev.982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44</cp:revision>
  <cp:lastPrinted>2023-05-08T09:39:11Z</cp:lastPrinted>
  <dcterms:created xsi:type="dcterms:W3CDTF">2016-09-28T17:05:40Z</dcterms:created>
  <dcterms:modified xsi:type="dcterms:W3CDTF">2023-05-10T07:52:14Z</dcterms:modified>
</cp:coreProperties>
</file>