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26C760" w14:textId="3083CFA1" w:rsidR="00336E72" w:rsidRPr="00F574E7" w:rsidRDefault="004E7DCE" w:rsidP="00E07895">
      <w:pPr>
        <w:spacing w:after="0" w:line="360" w:lineRule="auto"/>
        <w:rPr>
          <w:b/>
          <w:bCs/>
          <w:sz w:val="24"/>
          <w:lang w:val="en-US"/>
        </w:rPr>
      </w:pPr>
      <w:r w:rsidRPr="00F574E7">
        <w:rPr>
          <w:b/>
          <w:bCs/>
          <w:sz w:val="24"/>
          <w:lang w:val="en-US"/>
        </w:rPr>
        <w:t xml:space="preserve">1 </w:t>
      </w:r>
      <w:r w:rsidR="0057440F" w:rsidRPr="00F574E7">
        <w:rPr>
          <w:b/>
          <w:bCs/>
          <w:sz w:val="24"/>
          <w:lang w:val="en-US"/>
        </w:rPr>
        <w:t>I</w:t>
      </w:r>
      <w:r w:rsidR="00E752DF" w:rsidRPr="00F574E7">
        <w:rPr>
          <w:b/>
          <w:bCs/>
          <w:sz w:val="24"/>
          <w:lang w:val="en-US"/>
        </w:rPr>
        <w:t>ntroduction</w:t>
      </w:r>
    </w:p>
    <w:p w14:paraId="3EDEE2B2" w14:textId="17EB5AB4" w:rsidR="00486F28" w:rsidRPr="002739BB" w:rsidRDefault="00F03693" w:rsidP="00B5223E">
      <w:pPr>
        <w:spacing w:line="360" w:lineRule="auto"/>
        <w:rPr>
          <w:lang w:val="en-GB"/>
        </w:rPr>
      </w:pPr>
      <w:r w:rsidRPr="00F574E7">
        <w:rPr>
          <w:rFonts w:cstheme="majorHAnsi"/>
          <w:lang w:val="en-US"/>
        </w:rPr>
        <w:t xml:space="preserve">With the rise in obesity </w:t>
      </w:r>
      <w:r w:rsidRPr="002739BB">
        <w:rPr>
          <w:rFonts w:cstheme="majorHAnsi"/>
          <w:lang w:val="en-US"/>
        </w:rPr>
        <w:t>worldwide, clinicians encounter obese patients with increasing frequency in their daily practice. Obesity may cause a number of pharmacokinetic changes, including an increase in volume of distribution and changes in clearance</w:t>
      </w:r>
      <w:r w:rsidR="00522E69" w:rsidRPr="002739BB">
        <w:rPr>
          <w:rFonts w:cstheme="majorHAnsi"/>
          <w:lang w:val="en-US"/>
        </w:rPr>
        <w:t xml:space="preserve"> </w:t>
      </w:r>
      <w:r w:rsidR="00522E69" w:rsidRPr="002739BB">
        <w:rPr>
          <w:lang w:val="en-GB"/>
        </w:rPr>
        <w:fldChar w:fldCharType="begin"/>
      </w:r>
      <w:r w:rsidR="00B73375" w:rsidRPr="002739BB">
        <w:rPr>
          <w:lang w:val="en-GB"/>
        </w:rPr>
        <w:instrText xml:space="preserve"> ADDIN ZOTERO_ITEM CSL_CITATION {"citationID":"b6sMvlMx","properties":{"formattedCitation":"[1,2]","plainCitation":"[1,2]","noteIndex":0},"citationItems":[{"id":3326,"uris":["http://zotero.org/users/2542560/items/7TYQY9DA"],"itemData":{"id":3326,"type":"article-journal","abstract":"The increased prevalence of obesity presents challenges for clinicians aiming to provide optimised antimicrobial dosing in the intensive care unit. Obesity is likely to exacerbate the alterations to antimicrobial pharmacokinetics when the chronic diseases associated with obesity exist with the acute pathophysiological changes associated with critical illness. The purpose of this paper is to review the potential pharmacokinetic (PK) changes of antimicrobials in obese critically ill patients and the implications for appropriate dosing. We found that hydrophilic antimicrobials (e.g. β-lactams, vancomycin, daptomycin) were more likely to manifest altered pharmacokinetics in critically ill patients who are obese. In particular for β-lactam antibiotics, obesity is associated with a larger volume of distribution (V(d)). In obese critically ill patients, piperacillin is also associated with a lower drug clearance (CL). For doripenem, these PK changes have been associated with reduced achievement of pharmacodynamic (PD) targets when standard drug doses are used. For vancomycin, increases in Vd are associated with increasing total body weight (TBW), meaning that the loading dose should be based on TBW even in obese patients. For daptomycin, an increased Vd is not considered to be clinically relevant. For antifungals, little data exist in obese critically ill patients; during fluconazole therapy, an obese patient had a lower V(d) and higher CL than non-obese comparators. Overall, most studies suggested that standard dosage regimens of most commonly used antimicrobials are sufficient to achieve PD targets. However, it is likely that larger doses would be required for pathogens with higher minimum inhibitory concentrations.","container-title":"International Journal of Antimicrobial Agents","DOI":"10.1016/j.ijantimicag.2016.01.009","ISSN":"1872-7913","issue":"4","journalAbbreviation":"Int J Antimicrob Agents","language":"eng","note":"PMID: 26988339","page":"259-268","source":"PubMed","title":"Effect of obesity on the pharmacokinetics of antimicrobials in critically ill patients: A structured review","title-short":"Effect of obesity on the pharmacokinetics of antimicrobials in critically ill patients","volume":"47","author":[{"family":"Alobaid","given":"Abdulaziz S."},{"family":"Hites","given":"Maya"},{"family":"Lipman","given":"Jeffrey"},{"family":"Taccone","given":"Fabio Silvio"},{"family":"Roberts","given":"Jason A."}],"issued":{"date-parts":[["2016",4]]}}},{"id":559,"uris":["http://zotero.org/users/2542560/items/A9Y7GGH3"],"itemData":{"id":559,"type":"article-journal","abstract":"The prevalence of obesity has dramatically increased in recent years and now includes a significant proportion of the world’s children, adolescents and adults. Obesity is linked to a number of co-morbidities, the most prominent being type 2 diabetes mellitus. While many agents are available to treat these conditions, the current knowledge regarding their disposition in the obese remains limited.Over the years, both direct and indirect methodologies have been utilized to assess body composition. Commonly used direct measures include underwater weighing, skinfold measurement, bioelectrical impedance analysis and dual-energy x-ray absorptiometry. Unfortunately, these methods are not readily available to the majority of clinicians. As a result, a number of indirect measures to assess body composition have been developed. Indirect measures rely on patient attributes such as height, bodyweight and sex. These size metrics are often utilized clinically and include body mass index (BMI), body surface area (BSA), ideal bodyweight (IBW), percent IBW, adjusted bodyweight, lean bodyweight (LBW) and predicted normal weight (PNWT).An understanding of how the volume of distribution (Vd) of a drug changes in the obese is critical, as this parameter determines loading-dose selection. The Vd of a drug is dependent upon its physiochemical properties, the degree of plasma protein binding and tissue blood flow. Obesity does not appear to have an impact on drug binding to albumin; however, data regarding α1-acid glycoprotein binding have been contradictory. A reduction in tissue blood flow and alterations in cardiac structure and function have been noted in obese individuals. At the present time, a universal size descriptor to describe the Vd of all drugs in obese and lean individuals does not exist.Drug clearance (CL) is the primary determinant to consider when designing a maintenance dose regimen. CL is largely controlled by hepatic and renal physiology. In the obese, increases in cytochrome P450 2E1 activity and phase II conjugation activity have been observed. The effects of obesity on renal tubular secretion, tubular reabsorption, and glomerular filtration have not been fully elucidated. As with the Vd, a single, well validated size metric to characterize drug CL in the obese does not currently exist. Therefore, clinicians should apply a weight-normalized maintenance dose, using a size descriptor that corrects for differences in absolute CL between obese and non-obese individuals.The elimination half-life (t½) of a drug depends on both the Vd and CL. Since the Vd and CL are biologically independent entities, changes in the t½ of a drug in obese individuals can reflect changes in the Vd, the CL, or both.This review also examines recent publications that investigated the disposition of several classes of drugs in the obese — antibacterials, anticoagulants, antidiabetics, anticancer agents and neuromuscular blockers.In conclusion, pharmacokinetic data in obese patients do not exist for the majority of drugs. In situations where such information is available, clinicians should design treatment regimens that account for any significant differences in the CL and Vd in the obese.","container-title":"Clinical Pharmacokinetics","DOI":"10.2165/11318100-000000000-00000","ISSN":"1179-1926","issue":"2","journalAbbreviation":"Clin Pharmacokinet","language":"en","page":"71-87","source":"Springer Link","title":"Effect of Obesity on the Pharmacokinetics of Drugs in Humans","volume":"49","author":[{"family":"Hanley","given":"Michael J."},{"family":"Abernethy","given":"Darrell R."},{"family":"Greenblatt","given":"David J."}],"issued":{"date-parts":[["2010",2,1]]}}}],"schema":"https://github.com/citation-style-language/schema/raw/master/csl-citation.json"} </w:instrText>
      </w:r>
      <w:r w:rsidR="00522E69" w:rsidRPr="002739BB">
        <w:rPr>
          <w:lang w:val="en-GB"/>
        </w:rPr>
        <w:fldChar w:fldCharType="separate"/>
      </w:r>
      <w:r w:rsidR="00963B2F" w:rsidRPr="002739BB">
        <w:rPr>
          <w:rFonts w:ascii="Calibri" w:hAnsi="Calibri" w:cs="Calibri"/>
          <w:lang w:val="en-GB"/>
        </w:rPr>
        <w:t>[1,2]</w:t>
      </w:r>
      <w:r w:rsidR="00522E69" w:rsidRPr="002739BB">
        <w:rPr>
          <w:lang w:val="en-GB"/>
        </w:rPr>
        <w:fldChar w:fldCharType="end"/>
      </w:r>
      <w:r w:rsidR="00610DF5" w:rsidRPr="002739BB">
        <w:rPr>
          <w:rFonts w:cstheme="majorHAnsi"/>
          <w:lang w:val="en-US"/>
        </w:rPr>
        <w:t>.</w:t>
      </w:r>
      <w:r w:rsidRPr="002739BB">
        <w:rPr>
          <w:rFonts w:cstheme="majorHAnsi"/>
          <w:lang w:val="en-US"/>
        </w:rPr>
        <w:t xml:space="preserve"> </w:t>
      </w:r>
      <w:bookmarkStart w:id="0" w:name="_Hlk108003560"/>
      <w:r w:rsidR="00610DF5" w:rsidRPr="002739BB">
        <w:rPr>
          <w:rFonts w:cstheme="majorHAnsi"/>
          <w:lang w:val="en-US"/>
        </w:rPr>
        <w:t>A</w:t>
      </w:r>
      <w:r w:rsidR="00084CB8" w:rsidRPr="002739BB">
        <w:rPr>
          <w:rFonts w:cstheme="majorHAnsi"/>
          <w:lang w:val="en-US"/>
        </w:rPr>
        <w:t>l</w:t>
      </w:r>
      <w:r w:rsidR="007350CD" w:rsidRPr="002739BB">
        <w:rPr>
          <w:rFonts w:cstheme="majorHAnsi"/>
          <w:lang w:val="en-US"/>
        </w:rPr>
        <w:t>though</w:t>
      </w:r>
      <w:r w:rsidR="00610DF5" w:rsidRPr="002739BB">
        <w:rPr>
          <w:rFonts w:cstheme="majorHAnsi"/>
          <w:lang w:val="en-US"/>
        </w:rPr>
        <w:t xml:space="preserve"> </w:t>
      </w:r>
      <w:r w:rsidR="0025019F" w:rsidRPr="002739BB">
        <w:rPr>
          <w:rFonts w:cstheme="majorHAnsi"/>
          <w:lang w:val="en-US"/>
        </w:rPr>
        <w:t xml:space="preserve">a </w:t>
      </w:r>
      <w:r w:rsidR="00610DF5" w:rsidRPr="002739BB">
        <w:rPr>
          <w:lang w:val="en-US"/>
        </w:rPr>
        <w:t>reduced effectiveness of certain antibiotics for skin and skin structure infections in severe obesity has been documented especially after abdominal surgery</w:t>
      </w:r>
      <w:r w:rsidR="007350CD" w:rsidRPr="002739BB">
        <w:rPr>
          <w:lang w:val="en-US"/>
        </w:rPr>
        <w:t>,</w:t>
      </w:r>
      <w:r w:rsidR="00981BB3" w:rsidRPr="002739BB">
        <w:rPr>
          <w:lang w:val="en-US"/>
        </w:rPr>
        <w:t xml:space="preserve"> </w:t>
      </w:r>
      <w:r w:rsidR="007350CD" w:rsidRPr="002739BB">
        <w:rPr>
          <w:lang w:val="en-US"/>
        </w:rPr>
        <w:t>s</w:t>
      </w:r>
      <w:r w:rsidR="00610DF5" w:rsidRPr="002739BB">
        <w:rPr>
          <w:lang w:val="en-US"/>
        </w:rPr>
        <w:t xml:space="preserve">pecific dosing recommendations </w:t>
      </w:r>
      <w:r w:rsidR="002B4EDF" w:rsidRPr="002739BB">
        <w:rPr>
          <w:lang w:val="en-US"/>
        </w:rPr>
        <w:t xml:space="preserve">for patients with obesity </w:t>
      </w:r>
      <w:r w:rsidR="00610DF5" w:rsidRPr="002739BB">
        <w:rPr>
          <w:lang w:val="en-US"/>
        </w:rPr>
        <w:t xml:space="preserve">are often lacking </w:t>
      </w:r>
      <w:r w:rsidR="007350CD" w:rsidRPr="002739BB">
        <w:rPr>
          <w:lang w:val="en-US"/>
        </w:rPr>
        <w:t>on</w:t>
      </w:r>
      <w:r w:rsidR="00610DF5" w:rsidRPr="002739BB">
        <w:rPr>
          <w:lang w:val="en-US"/>
        </w:rPr>
        <w:t xml:space="preserve"> the product label</w:t>
      </w:r>
      <w:r w:rsidR="00522E69" w:rsidRPr="002739BB">
        <w:rPr>
          <w:lang w:val="en-US"/>
        </w:rPr>
        <w:t xml:space="preserve"> </w:t>
      </w:r>
      <w:r w:rsidR="00522E69" w:rsidRPr="002739BB">
        <w:rPr>
          <w:lang w:val="en-GB"/>
        </w:rPr>
        <w:fldChar w:fldCharType="begin"/>
      </w:r>
      <w:r w:rsidR="00287B35" w:rsidRPr="002739BB">
        <w:rPr>
          <w:lang w:val="en-GB"/>
        </w:rPr>
        <w:instrText xml:space="preserve"> ADDIN ZOTERO_ITEM CSL_CITATION {"citationID":"s7UkgQQ4","properties":{"formattedCitation":"[3]","plainCitation":"[3]","noteIndex":0},"citationItems":[{"id":3375,"uris":["http://zotero.org/users/2542560/items/Z7TULQ2X"],"itemData":{"id":3375,"type":"article-journal","container-title":"Clinical Pharmacology &amp; Therapeutics","DOI":"10.1002/cpt.2181","ISSN":"0009-9236, 1532-6535","issue":"4","journalAbbreviation":"Clin. Pharmacol. Ther.","language":"en","page":"942-951","source":"DOI.org (Crossref)","title":"Antimicrobial Dosing in Specific Populations and Novel Clinical Methodologies: Obesity","title-short":"Antimicrobial Dosing in Specific Populations and Novel Clinical Methodologies","volume":"109","author":[{"family":"Pai","given":"Manjunath P."}],"issued":{"date-parts":[["2021",4]]}}}],"schema":"https://github.com/citation-style-language/schema/raw/master/csl-citation.json"} </w:instrText>
      </w:r>
      <w:r w:rsidR="00522E69" w:rsidRPr="002739BB">
        <w:rPr>
          <w:lang w:val="en-GB"/>
        </w:rPr>
        <w:fldChar w:fldCharType="separate"/>
      </w:r>
      <w:r w:rsidR="00963B2F" w:rsidRPr="002739BB">
        <w:rPr>
          <w:rFonts w:ascii="Calibri" w:hAnsi="Calibri" w:cs="Calibri"/>
          <w:lang w:val="en-GB"/>
        </w:rPr>
        <w:t>[3]</w:t>
      </w:r>
      <w:r w:rsidR="00522E69" w:rsidRPr="002739BB">
        <w:rPr>
          <w:lang w:val="en-GB"/>
        </w:rPr>
        <w:fldChar w:fldCharType="end"/>
      </w:r>
      <w:r w:rsidR="00522E69" w:rsidRPr="002739BB">
        <w:rPr>
          <w:lang w:val="en-GB"/>
        </w:rPr>
        <w:t>.</w:t>
      </w:r>
    </w:p>
    <w:p w14:paraId="60B103A2" w14:textId="06861F5D" w:rsidR="00BE36B0" w:rsidRPr="002739BB" w:rsidRDefault="00620BEF" w:rsidP="00CF15D8">
      <w:pPr>
        <w:spacing w:line="360" w:lineRule="auto"/>
        <w:rPr>
          <w:lang w:val="en-GB"/>
        </w:rPr>
      </w:pPr>
      <w:bookmarkStart w:id="1" w:name="_Hlk108004273"/>
      <w:r w:rsidRPr="002739BB">
        <w:rPr>
          <w:lang w:val="en-US"/>
        </w:rPr>
        <w:t xml:space="preserve">Tigecycline is a broad-spectrum </w:t>
      </w:r>
      <w:r w:rsidR="00155B64" w:rsidRPr="002739BB">
        <w:rPr>
          <w:lang w:val="en-US"/>
        </w:rPr>
        <w:t>antibiotic and approved</w:t>
      </w:r>
      <w:r w:rsidRPr="002739BB">
        <w:rPr>
          <w:lang w:val="en-US"/>
        </w:rPr>
        <w:t xml:space="preserve"> for the treatment of </w:t>
      </w:r>
      <w:r w:rsidR="00E87192" w:rsidRPr="002739BB">
        <w:rPr>
          <w:lang w:val="en-US"/>
        </w:rPr>
        <w:t xml:space="preserve">complicated </w:t>
      </w:r>
      <w:r w:rsidRPr="002739BB">
        <w:rPr>
          <w:lang w:val="en-US"/>
        </w:rPr>
        <w:t>skin and skin structure infections</w:t>
      </w:r>
      <w:r w:rsidR="00155B64" w:rsidRPr="002739BB">
        <w:rPr>
          <w:lang w:val="en-US"/>
        </w:rPr>
        <w:t>,</w:t>
      </w:r>
      <w:r w:rsidR="00E87192" w:rsidRPr="002739BB">
        <w:rPr>
          <w:lang w:val="en-US"/>
        </w:rPr>
        <w:t xml:space="preserve"> complicated</w:t>
      </w:r>
      <w:r w:rsidR="00155B64" w:rsidRPr="002739BB">
        <w:rPr>
          <w:lang w:val="en-US"/>
        </w:rPr>
        <w:t xml:space="preserve"> </w:t>
      </w:r>
      <w:r w:rsidRPr="002739BB">
        <w:rPr>
          <w:lang w:val="en-US"/>
        </w:rPr>
        <w:t>intra-abdominal infections and community-acquired bacterial pneumonia</w:t>
      </w:r>
      <w:r w:rsidR="00217701" w:rsidRPr="002739BB">
        <w:rPr>
          <w:lang w:val="en-US"/>
        </w:rPr>
        <w:t>.</w:t>
      </w:r>
      <w:bookmarkEnd w:id="1"/>
      <w:r w:rsidR="003A58B8" w:rsidRPr="002739BB">
        <w:rPr>
          <w:lang w:val="en-US"/>
        </w:rPr>
        <w:t xml:space="preserve"> The approved standard dos</w:t>
      </w:r>
      <w:r w:rsidR="00C6235A" w:rsidRPr="002739BB">
        <w:rPr>
          <w:lang w:val="en-US"/>
        </w:rPr>
        <w:t>ing regimen</w:t>
      </w:r>
      <w:r w:rsidR="003A58B8" w:rsidRPr="002739BB">
        <w:rPr>
          <w:lang w:val="en-US"/>
        </w:rPr>
        <w:t xml:space="preserve"> of tigecycline is a 100 mg </w:t>
      </w:r>
      <w:r w:rsidR="00C6235A" w:rsidRPr="002739BB">
        <w:rPr>
          <w:lang w:val="en-US"/>
        </w:rPr>
        <w:t xml:space="preserve">loading </w:t>
      </w:r>
      <w:r w:rsidR="003A58B8" w:rsidRPr="002739BB">
        <w:rPr>
          <w:lang w:val="en-US"/>
        </w:rPr>
        <w:t>dose, followed by 50 mg twice daily</w:t>
      </w:r>
      <w:r w:rsidR="00F81165" w:rsidRPr="002739BB">
        <w:rPr>
          <w:lang w:val="en-US"/>
        </w:rPr>
        <w:t xml:space="preserve"> irrespective of body weight</w:t>
      </w:r>
      <w:r w:rsidR="00C478EB" w:rsidRPr="002739BB">
        <w:rPr>
          <w:lang w:val="en-US"/>
        </w:rPr>
        <w:t xml:space="preserve">. </w:t>
      </w:r>
      <w:r w:rsidR="002B73BB" w:rsidRPr="002739BB">
        <w:rPr>
          <w:lang w:val="en-US"/>
        </w:rPr>
        <w:t xml:space="preserve">The pharmacokinetics </w:t>
      </w:r>
      <w:bookmarkEnd w:id="0"/>
      <w:r w:rsidR="002B73BB" w:rsidRPr="002739BB">
        <w:rPr>
          <w:lang w:val="en-US"/>
        </w:rPr>
        <w:t>of tigecycline are characterized by a large volume of distribution between 7 and 10 L/kg, indicating extensive tissue penetration, and a long terminal half-life of approximately 40 h</w:t>
      </w:r>
      <w:r w:rsidR="002F791A" w:rsidRPr="002739BB">
        <w:rPr>
          <w:lang w:val="en-US"/>
        </w:rPr>
        <w:t xml:space="preserve"> </w:t>
      </w:r>
      <w:r w:rsidR="00360E24" w:rsidRPr="002739BB">
        <w:rPr>
          <w:lang w:val="en-US"/>
        </w:rPr>
        <w:fldChar w:fldCharType="begin"/>
      </w:r>
      <w:r w:rsidR="003427F2" w:rsidRPr="002739BB">
        <w:rPr>
          <w:lang w:val="en-US"/>
        </w:rPr>
        <w:instrText xml:space="preserve"> ADDIN ZOTERO_ITEM CSL_CITATION {"citationID":"irFqhU9T","properties":{"formattedCitation":"[4]","plainCitation":"[4]","noteIndex":0},"citationItems":[{"id":3358,"uris":["http://zotero.org/users/2542560/items/SIL2KKED"],"itemData":{"id":3358,"type":"article-journal","abstract":"Rapid emergence of resistance against antibacterials emphasizes the need for the development of novel and/or more potent antibacterials. Tigecycline is the first representative of a new drug class, the glycylcyclines, and was approved in 2005 by the US FDA for the treatment of complicated skin and skin structure infections, as well as complicated intra-abdominal infections. Tigecycline distributes extensively into the intracellular space of tissue and accumulates in cells, which may qualify it for the treatment of intracellular infections. The pharmacokinetics of tigecycline are complex with both linear and non-linear characteristics. The reason for this complexity is still not fully understood. Non-linearity can be found in the volume of distribution possibly due to extensive and variable tissue and/or plasma protein binding. In contrast, clearance and area under the plasma concentration-time curve are dose-independent. Tigecycline has a high incidence of mild adverse effects, mainly nausea and vomiting, but is otherwise well tolerated.","container-title":"Clinical Pharmacokinetics","DOI":"10.2165/11317100-000000000-00000","ISSN":"1179-1926","issue":"9","journalAbbreviation":"Clin Pharmacokinet","language":"eng","note":"PMID: 19725592","page":"575-584","source":"PubMed","title":"Clinical pharmacokinetics and pharmacodynamics of tigecycline","volume":"48","author":[{"family":"Barbour","given":"April"},{"family":"Schmidt","given":"Stephan"},{"family":"Ma","given":"Benjamin"},{"family":"Schiefelbein","given":"Lars"},{"family":"Rand","given":"Kenneth H."},{"family":"Burkhardt","given":"Olaf"},{"family":"Derendorf","given":"Hartmut"}],"issued":{"date-parts":[["2009"]]}}}],"schema":"https://github.com/citation-style-language/schema/raw/master/csl-citation.json"} </w:instrText>
      </w:r>
      <w:r w:rsidR="00360E24" w:rsidRPr="002739BB">
        <w:rPr>
          <w:lang w:val="en-US"/>
        </w:rPr>
        <w:fldChar w:fldCharType="separate"/>
      </w:r>
      <w:r w:rsidR="00963B2F" w:rsidRPr="002739BB">
        <w:rPr>
          <w:rFonts w:ascii="Calibri" w:hAnsi="Calibri" w:cs="Calibri"/>
          <w:lang w:val="en-GB"/>
        </w:rPr>
        <w:t>[4]</w:t>
      </w:r>
      <w:r w:rsidR="00360E24" w:rsidRPr="002739BB">
        <w:rPr>
          <w:lang w:val="en-US"/>
        </w:rPr>
        <w:fldChar w:fldCharType="end"/>
      </w:r>
      <w:r w:rsidR="002F791A" w:rsidRPr="002739BB">
        <w:rPr>
          <w:lang w:val="en-US"/>
        </w:rPr>
        <w:t>.</w:t>
      </w:r>
      <w:r w:rsidR="002B73BB" w:rsidRPr="002739BB">
        <w:rPr>
          <w:lang w:val="en-US"/>
        </w:rPr>
        <w:t xml:space="preserve"> </w:t>
      </w:r>
      <w:bookmarkStart w:id="2" w:name="_Hlk102736619"/>
      <w:r w:rsidR="002E52C2" w:rsidRPr="002739BB">
        <w:rPr>
          <w:lang w:val="en-US"/>
        </w:rPr>
        <w:t>After intravenous short infusion (30 min) of a single dose of 100 mg tigecycline, peak plasma concentrations (</w:t>
      </w:r>
      <w:proofErr w:type="spellStart"/>
      <w:r w:rsidR="002E52C2" w:rsidRPr="002739BB">
        <w:rPr>
          <w:lang w:val="en-US"/>
        </w:rPr>
        <w:t>C</w:t>
      </w:r>
      <w:r w:rsidR="002E52C2" w:rsidRPr="002739BB">
        <w:rPr>
          <w:vertAlign w:val="subscript"/>
          <w:lang w:val="en-US"/>
        </w:rPr>
        <w:t>max</w:t>
      </w:r>
      <w:proofErr w:type="spellEnd"/>
      <w:r w:rsidR="002E52C2" w:rsidRPr="002739BB">
        <w:rPr>
          <w:lang w:val="en-US"/>
        </w:rPr>
        <w:t xml:space="preserve">) of 1.45 ± 0.32 mg/L are </w:t>
      </w:r>
      <w:r w:rsidR="007350CD" w:rsidRPr="002739BB">
        <w:rPr>
          <w:lang w:val="en-US"/>
        </w:rPr>
        <w:t>typical, and</w:t>
      </w:r>
      <w:r w:rsidR="002E52C2" w:rsidRPr="002739BB">
        <w:rPr>
          <w:lang w:val="en-US"/>
        </w:rPr>
        <w:t xml:space="preserve"> the</w:t>
      </w:r>
      <w:r w:rsidR="00021C5D" w:rsidRPr="002739BB">
        <w:rPr>
          <w:lang w:val="en-US"/>
        </w:rPr>
        <w:t xml:space="preserve"> area under the concentration-time curve (</w:t>
      </w:r>
      <w:r w:rsidR="002E52C2" w:rsidRPr="002739BB">
        <w:rPr>
          <w:lang w:val="en-US"/>
        </w:rPr>
        <w:t>AUC</w:t>
      </w:r>
      <w:r w:rsidR="00021C5D" w:rsidRPr="002739BB">
        <w:rPr>
          <w:lang w:val="en-US"/>
        </w:rPr>
        <w:t>)</w:t>
      </w:r>
      <w:r w:rsidR="002E52C2" w:rsidRPr="002739BB">
        <w:rPr>
          <w:lang w:val="en-US"/>
        </w:rPr>
        <w:t xml:space="preserve"> </w:t>
      </w:r>
      <w:r w:rsidR="007350CD" w:rsidRPr="002739BB">
        <w:rPr>
          <w:lang w:val="en-US"/>
        </w:rPr>
        <w:t>is</w:t>
      </w:r>
      <w:r w:rsidR="002E52C2" w:rsidRPr="002739BB">
        <w:rPr>
          <w:lang w:val="en-US"/>
        </w:rPr>
        <w:t xml:space="preserve"> 5.19 ± 1.87 </w:t>
      </w:r>
      <w:proofErr w:type="spellStart"/>
      <w:r w:rsidR="002E52C2" w:rsidRPr="002739BB">
        <w:rPr>
          <w:lang w:val="en-US"/>
        </w:rPr>
        <w:t>h</w:t>
      </w:r>
      <w:r w:rsidR="002E52C2" w:rsidRPr="002739BB">
        <w:rPr>
          <w:rFonts w:cstheme="majorHAnsi"/>
          <w:szCs w:val="22"/>
          <w:lang w:val="en-US"/>
        </w:rPr>
        <w:t>×</w:t>
      </w:r>
      <w:r w:rsidR="002E52C2" w:rsidRPr="002739BB">
        <w:rPr>
          <w:lang w:val="en-US"/>
        </w:rPr>
        <w:t>mg</w:t>
      </w:r>
      <w:proofErr w:type="spellEnd"/>
      <w:r w:rsidR="002E52C2" w:rsidRPr="002739BB">
        <w:rPr>
          <w:lang w:val="en-US"/>
        </w:rPr>
        <w:t xml:space="preserve">/L </w:t>
      </w:r>
      <w:r w:rsidR="002E52C2" w:rsidRPr="002739BB">
        <w:rPr>
          <w:rFonts w:cstheme="majorHAnsi"/>
          <w:szCs w:val="22"/>
          <w:lang w:val="en-US"/>
        </w:rPr>
        <w:fldChar w:fldCharType="begin"/>
      </w:r>
      <w:r w:rsidR="002E52C2" w:rsidRPr="002739BB">
        <w:rPr>
          <w:rFonts w:cstheme="majorHAnsi"/>
          <w:szCs w:val="22"/>
          <w:lang w:val="en-US"/>
        </w:rPr>
        <w:instrText xml:space="preserve"> ADDIN ZOTERO_ITEM CSL_CITATION {"citationID":"GwxlqiRs","properties":{"formattedCitation":"[5]","plainCitation":"[5]","noteIndex":0},"citationItems":[{"id":3856,"uris":["http://zotero.org/users/2542560/items/6CVUK4YN"],"itemData":{"id":3856,"type":"webpage","note":"Accessed 23 May 2022.","title":"TYGACIL® (tigecycline) for injection, for intravenous use, Prescribing information","URL":"https://labeling.pfizer.com/ShowLabeling.aspx?id=491","author":[{"family":"Wyeth Pharmaceuticals LLC","given":""}],"issued":{"date-parts":[["2021",6]]}}}],"schema":"https://github.com/citation-style-language/schema/raw/master/csl-citation.json"} </w:instrText>
      </w:r>
      <w:r w:rsidR="002E52C2" w:rsidRPr="002739BB">
        <w:rPr>
          <w:rFonts w:cstheme="majorHAnsi"/>
          <w:szCs w:val="22"/>
          <w:lang w:val="en-US"/>
        </w:rPr>
        <w:fldChar w:fldCharType="separate"/>
      </w:r>
      <w:r w:rsidR="00963B2F" w:rsidRPr="002739BB">
        <w:rPr>
          <w:rFonts w:ascii="Calibri" w:hAnsi="Calibri" w:cs="Calibri"/>
          <w:lang w:val="en-GB"/>
        </w:rPr>
        <w:t>[5]</w:t>
      </w:r>
      <w:r w:rsidR="002E52C2" w:rsidRPr="002739BB">
        <w:rPr>
          <w:rFonts w:cstheme="majorHAnsi"/>
          <w:szCs w:val="22"/>
          <w:lang w:val="en-US"/>
        </w:rPr>
        <w:fldChar w:fldCharType="end"/>
      </w:r>
      <w:r w:rsidR="002E52C2" w:rsidRPr="002739BB">
        <w:rPr>
          <w:rFonts w:cstheme="majorHAnsi"/>
          <w:szCs w:val="22"/>
          <w:lang w:val="en-US"/>
        </w:rPr>
        <w:t xml:space="preserve">. </w:t>
      </w:r>
      <w:r w:rsidR="00176E5C" w:rsidRPr="002739BB">
        <w:rPr>
          <w:lang w:val="en-US"/>
        </w:rPr>
        <w:t>Concentrations of tigecycline in tissue homogenates of gall</w:t>
      </w:r>
      <w:r w:rsidR="00FA3A21" w:rsidRPr="002739BB">
        <w:rPr>
          <w:lang w:val="en-US"/>
        </w:rPr>
        <w:t xml:space="preserve"> </w:t>
      </w:r>
      <w:r w:rsidR="00176E5C" w:rsidRPr="002739BB">
        <w:rPr>
          <w:lang w:val="en-US"/>
        </w:rPr>
        <w:t xml:space="preserve">bladder, colon, and lung </w:t>
      </w:r>
      <w:r w:rsidR="00F561FE" w:rsidRPr="002739BB">
        <w:rPr>
          <w:lang w:val="en-US"/>
        </w:rPr>
        <w:t xml:space="preserve">can be many times higher than concomitant plasma concentrations </w:t>
      </w:r>
      <w:r w:rsidR="00176E5C" w:rsidRPr="002739BB">
        <w:rPr>
          <w:lang w:val="en-US"/>
        </w:rPr>
        <w:t>after a single dose</w:t>
      </w:r>
      <w:r w:rsidR="006F2D5B" w:rsidRPr="002739BB">
        <w:rPr>
          <w:lang w:val="en-US"/>
        </w:rPr>
        <w:t xml:space="preserve">, whereas the concentrations in synovial fluid or cerebrospinal fluid </w:t>
      </w:r>
      <w:r w:rsidR="003D5A3E" w:rsidRPr="002739BB">
        <w:rPr>
          <w:lang w:val="en-US"/>
        </w:rPr>
        <w:t>are</w:t>
      </w:r>
      <w:r w:rsidR="006F2D5B" w:rsidRPr="002739BB">
        <w:rPr>
          <w:lang w:val="en-US"/>
        </w:rPr>
        <w:t xml:space="preserve"> lower than </w:t>
      </w:r>
      <w:r w:rsidR="003D5A3E" w:rsidRPr="002739BB">
        <w:rPr>
          <w:lang w:val="en-US"/>
        </w:rPr>
        <w:t>in</w:t>
      </w:r>
      <w:r w:rsidR="006F2D5B" w:rsidRPr="002739BB">
        <w:rPr>
          <w:lang w:val="en-US"/>
        </w:rPr>
        <w:t xml:space="preserve"> plasma</w:t>
      </w:r>
      <w:r w:rsidR="00C743E1" w:rsidRPr="002739BB">
        <w:rPr>
          <w:lang w:val="en-US"/>
        </w:rPr>
        <w:t xml:space="preserve"> </w:t>
      </w:r>
      <w:r w:rsidR="00176E5C" w:rsidRPr="002739BB">
        <w:rPr>
          <w:lang w:val="en-US"/>
        </w:rPr>
        <w:fldChar w:fldCharType="begin"/>
      </w:r>
      <w:r w:rsidR="00B55DD5" w:rsidRPr="002739BB">
        <w:rPr>
          <w:lang w:val="en-US"/>
        </w:rPr>
        <w:instrText xml:space="preserve"> ADDIN ZOTERO_ITEM CSL_CITATION {"citationID":"KEeTMzZf","properties":{"formattedCitation":"[6]","plainCitation":"[6]","noteIndex":0},"citationItems":[{"id":116,"uris":["http://zotero.org/users/2542560/items/93B2S9B3"],"itemData":{"id":116,"type":"article-journal","abstract":"&lt;AbstractText Label=\"OBJECTIVES\" NlmCategory=\"OBJECTIVE\"&gt;The purpose of this study was to determine the tissue and corresponding serum concentration of tigecycline at selected time points in gall bladder, bile, colon, bone, synovial fluid (SF), lung and CSF in subjects undergoing surgical or medical procedures.&lt;/AbstractText&gt;\n&lt;AbstractText Label=\"METHODS\" NlmCategory=\"METHODS\"&gt;One hundred and four adult subjects (aged 24-83 years; 64 women, 40 men) received a single intravenous (i.v.) dose of tigecycline (100 mg infused over 30 min). Subjects were randomly assigned to one of four collection times at 4, 8, 12 and 24 h after the start of the infusion. For CSF, samples were collected at approximately 1.5 and 24 h after the start of the infusion. All subjects had serum samples collected before the administration of tigecycline, at the end of the infusion and at the time corresponding to tissue or body fluid collection. Drug concentrations in serum, tissues and body fluids were determined by LC/MS/MS. The area under the mean concentration-time curve from 0 to 24 h (AUC(0-24)) was determined for the comparison of systemic exposure between tissue or body fluid to serum.&lt;/AbstractText&gt;\n&lt;AbstractText Label=\"RESULTS\" NlmCategory=\"RESULTS\"&gt;The mean serum concentrations of tigecycline were similar to those previously published. Tissue penetration, expressed as the ratio of AUC(0-24) in tissue or body fluid to serum, was 537 for bile, 23 for gall bladder, 2.6 for colon, 2.0 for lung, 0.41 for bone, 0.31 for SF and 0.11 for CSF.&lt;/AbstractText&gt;\n&lt;AbstractText Label=\"CONCLUSIONS\" NlmCategory=\"CONCLUSIONS\"&gt;A single 100 mg dose of intravenous tigecycline produced considerably higher tissue/fluid concentrations in bile, gall bladder, colon and lung compared with simultaneous serum concentrations. On average, the systemic exposure of tigecycline in bone, SF and CSF ranged from 11% to 41% of serum concentrations. The results in bone are inconsistent with previous radiolabelled studies in animals and it is unclear if tight binding to bone (versus low bone uptake) or poor extraction of tigecycline for LC/MS/MS detection or both may have contributed to the differences we observed in humans.&lt;/AbstractText&gt;","container-title":"The Journal of Antimicrobial Chemotherapy","DOI":"10.1093/jac/dkl403","ISSN":"0305-7453","issue":"6","journalAbbreviation":"J. Antimicrob. Chemother","page":"1221-1229","source":"NCBI PubMed","title":"Serum, tissue and body fluid concentrations of tigecycline after a single 100 mg dose","volume":"58","author":[{"family":"Rodvold","given":"Keith A"},{"family":"Gotfried","given":"Mark H"},{"family":"Cwik","given":"Michael"},{"family":"Korth-Bradley","given":"Joan M"},{"family":"Dukart","given":"Gary"},{"family":"Ellis-Grosse","given":"Evelyn J"}],"issued":{"date-parts":[["2006",12]]}}}],"schema":"https://github.com/citation-style-language/schema/raw/master/csl-citation.json"} </w:instrText>
      </w:r>
      <w:r w:rsidR="00176E5C" w:rsidRPr="002739BB">
        <w:rPr>
          <w:lang w:val="en-US"/>
        </w:rPr>
        <w:fldChar w:fldCharType="separate"/>
      </w:r>
      <w:r w:rsidR="00963B2F" w:rsidRPr="002739BB">
        <w:rPr>
          <w:rFonts w:ascii="Calibri" w:hAnsi="Calibri" w:cs="Calibri"/>
          <w:lang w:val="en-GB"/>
        </w:rPr>
        <w:t>[6]</w:t>
      </w:r>
      <w:r w:rsidR="00176E5C" w:rsidRPr="002739BB">
        <w:rPr>
          <w:lang w:val="en-US"/>
        </w:rPr>
        <w:fldChar w:fldCharType="end"/>
      </w:r>
      <w:r w:rsidR="00176E5C" w:rsidRPr="002739BB">
        <w:rPr>
          <w:lang w:val="en-US"/>
        </w:rPr>
        <w:t xml:space="preserve">. </w:t>
      </w:r>
      <w:r w:rsidR="00252F1E" w:rsidRPr="002739BB">
        <w:rPr>
          <w:lang w:val="en-US"/>
        </w:rPr>
        <w:t>Concentrations equaling the free plasma concentrations were observed in subcutaneous interstitial fluid (ISF) of patient</w:t>
      </w:r>
      <w:r w:rsidR="00FF2770" w:rsidRPr="002739BB">
        <w:rPr>
          <w:lang w:val="en-US"/>
        </w:rPr>
        <w:t>s</w:t>
      </w:r>
      <w:r w:rsidR="00252F1E" w:rsidRPr="002739BB">
        <w:rPr>
          <w:lang w:val="en-US"/>
        </w:rPr>
        <w:t xml:space="preserve"> </w:t>
      </w:r>
      <w:r w:rsidR="003F64CB" w:rsidRPr="002739BB">
        <w:rPr>
          <w:lang w:val="en-US"/>
        </w:rPr>
        <w:t xml:space="preserve">with diabetes </w:t>
      </w:r>
      <w:r w:rsidR="00252F1E" w:rsidRPr="002739BB">
        <w:rPr>
          <w:lang w:val="en-US"/>
        </w:rPr>
        <w:t xml:space="preserve">after multiple dosing </w:t>
      </w:r>
      <w:r w:rsidR="00252F1E" w:rsidRPr="002739BB">
        <w:rPr>
          <w:lang w:val="en-US"/>
        </w:rPr>
        <w:fldChar w:fldCharType="begin"/>
      </w:r>
      <w:r w:rsidR="00B55DD5" w:rsidRPr="002739BB">
        <w:rPr>
          <w:lang w:val="en-US"/>
        </w:rPr>
        <w:instrText xml:space="preserve"> ADDIN ZOTERO_ITEM CSL_CITATION {"citationID":"Cm4yEw1l","properties":{"formattedCitation":"[7]","plainCitation":"[7]","noteIndex":0},"citationItems":[{"id":117,"uris":["http://zotero.org/users/2542560/items/4MQSAJBG"],"itemData":{"id":117,"type":"article-journal","abstract":"Tissue penetration of systemic antibiotics is an important consideration for positive outcomes in diabetic patients. Herein we describe the exposure profile and penetration of tigecycline in the interstitial fluid of wound margins versus that of uninfected thigh tissue in 8 adult diabetic patients intravenously (IV) administered 100 mg and then 50 mg of tigecycline twice daily for 3 to 5 doses. Prior to administration of the first dose, 2 microdialysis catheters were inserted into the subcutaneous tissue, the first within 10 cm of the wound margin and the second in the thigh of the same extremity. Samples for determination of plasma and tissue concentrations were simultaneously collected over 12 h under steady-state conditions. Tissue concentrations were corrected for percent in vivo recovery by the retrodialysis technique. Plasma samples were also collected for determination of protein binding at 1, 6, and 12 h postdose for each patient. Protein binding data were corrected using a fitted polynomial equation. The mean patient weight was 95.1 kg (range, 63.6 to 149.2 kg), the mean patient age was 63.5 ± 9.4 years, and 75% of the patients were males. The mean values for the plasma, thigh, and wound free area under the concentration-time curve from 0 to 24 h (fAUC(0-24)) were 2.65 ± 0.33, 2.52 ± 1.15, and 2.60 ± 1.02 μg·h/ml, respectively. Protein binding was nonlinear, with the percentage of free drug increasing with decreasing serum concentrations. Exposure values for thigh tissue and wound tissue were similar (P = 0.986). Mean steady-state tissue concentrations for the thigh and wound were similar at 0.12 ± 0.02 μg/ml, and clearance from the tissues appeared similar to that from plasma. Tissue penetration ratios (tissue fAUC/plasma fAUC) were 99% in the thigh and 100% in the wound (P = 0.964). Tigecycline penetrated equally well into wound and uninfected tissue of the same extremity.","container-title":"Antimicrobial Agents and Chemotherapy","DOI":"10.1128/AAC.01051-10","ISSN":"1098-6596","issue":"12","journalAbbreviation":"Antimicrob. Agents Chemother","page":"5209-5213","source":"NCBI PubMed","title":"Tissue penetration and pharmacokinetics of tigecycline in diabetic patients with chronic wound infections described by using in vivo microdialysis","volume":"54","author":[{"family":"Bulik","given":"Catharine C"},{"family":"Wiskirchen","given":"Dora E"},{"family":"Shepard","given":"Ashley"},{"family":"Sutherland","given":"Christina A"},{"family":"Kuti","given":"Joseph L"},{"family":"Nicolau","given":"David P"}],"issued":{"date-parts":[["2010",12]]}}}],"schema":"https://github.com/citation-style-language/schema/raw/master/csl-citation.json"} </w:instrText>
      </w:r>
      <w:r w:rsidR="00252F1E" w:rsidRPr="002739BB">
        <w:rPr>
          <w:lang w:val="en-US"/>
        </w:rPr>
        <w:fldChar w:fldCharType="separate"/>
      </w:r>
      <w:r w:rsidR="00963B2F" w:rsidRPr="002739BB">
        <w:rPr>
          <w:rFonts w:ascii="Calibri" w:hAnsi="Calibri" w:cs="Calibri"/>
          <w:lang w:val="en-GB"/>
        </w:rPr>
        <w:t>[7]</w:t>
      </w:r>
      <w:r w:rsidR="00252F1E" w:rsidRPr="002739BB">
        <w:rPr>
          <w:lang w:val="en-US"/>
        </w:rPr>
        <w:fldChar w:fldCharType="end"/>
      </w:r>
      <w:r w:rsidR="00252F1E" w:rsidRPr="002739BB">
        <w:rPr>
          <w:lang w:val="en-US"/>
        </w:rPr>
        <w:t>.</w:t>
      </w:r>
      <w:r w:rsidR="0039134B" w:rsidRPr="002739BB">
        <w:rPr>
          <w:lang w:val="en-US"/>
        </w:rPr>
        <w:t xml:space="preserve"> </w:t>
      </w:r>
      <w:r w:rsidR="00F561FE" w:rsidRPr="002739BB">
        <w:rPr>
          <w:lang w:val="en-US"/>
        </w:rPr>
        <w:t>I</w:t>
      </w:r>
      <w:r w:rsidR="00A73FC6" w:rsidRPr="002739BB">
        <w:rPr>
          <w:lang w:val="en-US"/>
        </w:rPr>
        <w:t>n that study</w:t>
      </w:r>
      <w:r w:rsidR="00E73083" w:rsidRPr="002739BB">
        <w:rPr>
          <w:lang w:val="en-US"/>
        </w:rPr>
        <w:t xml:space="preserve">, three of eight patients had a </w:t>
      </w:r>
      <w:r w:rsidR="00A73FC6" w:rsidRPr="002739BB">
        <w:rPr>
          <w:lang w:val="en-US"/>
        </w:rPr>
        <w:t>body mass index (</w:t>
      </w:r>
      <w:r w:rsidR="00E73083" w:rsidRPr="002739BB">
        <w:rPr>
          <w:lang w:val="en-US"/>
        </w:rPr>
        <w:t>BMI</w:t>
      </w:r>
      <w:r w:rsidR="00A73FC6" w:rsidRPr="002739BB">
        <w:rPr>
          <w:lang w:val="en-US"/>
        </w:rPr>
        <w:t>)</w:t>
      </w:r>
      <w:r w:rsidR="00E73083" w:rsidRPr="002739BB">
        <w:rPr>
          <w:lang w:val="en-US"/>
        </w:rPr>
        <w:t xml:space="preserve"> of at least 30</w:t>
      </w:r>
      <w:r w:rsidR="00A73FC6" w:rsidRPr="002739BB">
        <w:rPr>
          <w:lang w:val="en-US"/>
        </w:rPr>
        <w:t xml:space="preserve"> kg/m²</w:t>
      </w:r>
      <w:r w:rsidR="00E73083" w:rsidRPr="002739BB">
        <w:rPr>
          <w:lang w:val="en-US"/>
        </w:rPr>
        <w:t xml:space="preserve">, with a single </w:t>
      </w:r>
      <w:r w:rsidR="00165464" w:rsidRPr="002739BB">
        <w:rPr>
          <w:lang w:val="en-US"/>
        </w:rPr>
        <w:t>class III</w:t>
      </w:r>
      <w:r w:rsidR="00E73083" w:rsidRPr="002739BB">
        <w:rPr>
          <w:lang w:val="en-US"/>
        </w:rPr>
        <w:t xml:space="preserve"> obese individual </w:t>
      </w:r>
      <w:r w:rsidR="00CE2DAF" w:rsidRPr="002739BB">
        <w:rPr>
          <w:lang w:val="en-US"/>
        </w:rPr>
        <w:t xml:space="preserve">(BMI of 41 kg/m²) </w:t>
      </w:r>
      <w:r w:rsidR="00E73083" w:rsidRPr="002739BB">
        <w:rPr>
          <w:lang w:val="en-US"/>
        </w:rPr>
        <w:t xml:space="preserve">who had </w:t>
      </w:r>
      <w:r w:rsidR="00A73FC6" w:rsidRPr="002739BB">
        <w:rPr>
          <w:lang w:val="en-US"/>
        </w:rPr>
        <w:t xml:space="preserve">a </w:t>
      </w:r>
      <w:r w:rsidR="002E52C2" w:rsidRPr="002739BB">
        <w:rPr>
          <w:lang w:val="en-US"/>
        </w:rPr>
        <w:t xml:space="preserve">significantly lower tissue penetration ratio compared with the remaining group </w:t>
      </w:r>
      <w:r w:rsidR="00A73FC6" w:rsidRPr="002739BB">
        <w:rPr>
          <w:lang w:val="en-US"/>
        </w:rPr>
        <w:fldChar w:fldCharType="begin"/>
      </w:r>
      <w:r w:rsidR="00A73FC6" w:rsidRPr="002739BB">
        <w:rPr>
          <w:lang w:val="en-US"/>
        </w:rPr>
        <w:instrText xml:space="preserve"> ADDIN ZOTERO_ITEM CSL_CITATION {"citationID":"iLXm8hJK","properties":{"formattedCitation":"[7,8]","plainCitation":"[7,8]","noteIndex":0},"citationItems":[{"id":117,"uris":["http://zotero.org/users/2542560/items/4MQSAJBG"],"itemData":{"id":117,"type":"article-journal","abstract":"Tissue penetration of systemic antibiotics is an important consideration for positive outcomes in diabetic patients. Herein we describe the exposure profile and penetration of tigecycline in the interstitial fluid of wound margins versus that of uninfected thigh tissue in 8 adult diabetic patients intravenously (IV) administered 100 mg and then 50 mg of tigecycline twice daily for 3 to 5 doses. Prior to administration of the first dose, 2 microdialysis catheters were inserted into the subcutaneous tissue, the first within 10 cm of the wound margin and the second in the thigh of the same extremity. Samples for determination of plasma and tissue concentrations were simultaneously collected over 12 h under steady-state conditions. Tissue concentrations were corrected for percent in vivo recovery by the retrodialysis technique. Plasma samples were also collected for determination of protein binding at 1, 6, and 12 h postdose for each patient. Protein binding data were corrected using a fitted polynomial equation. The mean patient weight was 95.1 kg (range, 63.6 to 149.2 kg), the mean patient age was 63.5 ± 9.4 years, and 75% of the patients were males. The mean values for the plasma, thigh, and wound free area under the concentration-time curve from 0 to 24 h (fAUC(0-24)) were 2.65 ± 0.33, 2.52 ± 1.15, and 2.60 ± 1.02 μg·h/ml, respectively. Protein binding was nonlinear, with the percentage of free drug increasing with decreasing serum concentrations. Exposure values for thigh tissue and wound tissue were similar (P = 0.986). Mean steady-state tissue concentrations for the thigh and wound were similar at 0.12 ± 0.02 μg/ml, and clearance from the tissues appeared similar to that from plasma. Tissue penetration ratios (tissue fAUC/plasma fAUC) were 99% in the thigh and 100% in the wound (P = 0.964). Tigecycline penetrated equally well into wound and uninfected tissue of the same extremity.","container-title":"Antimicrobial Agents and Chemotherapy","DOI":"10.1128/AAC.01051-10","ISSN":"1098-6596","issue":"12","journalAbbreviation":"Antimicrob. Agents Chemother","page":"5209-5213","source":"NCBI PubMed","title":"Tissue penetration and pharmacokinetics of tigecycline in diabetic patients with chronic wound infections described by using in vivo microdialysis","volume":"54","author":[{"family":"Bulik","given":"Catharine C"},{"family":"Wiskirchen","given":"Dora E"},{"family":"Shepard","given":"Ashley"},{"family":"Sutherland","given":"Christina A"},{"family":"Kuti","given":"Joseph L"},{"family":"Nicolau","given":"David P"}],"issued":{"date-parts":[["2010",12]]}}},{"id":3860,"uris":["http://zotero.org/users/2542560/items/QTELX3MJ"],"itemData":{"id":3860,"type":"article-journal","abstract":"Purpose of review \n        Skin and soft tissue infections (SSTIs) are prevalent in the obese population, with rising trend expected. Although numerous antibiotics are available for the prevention and treatment of SSTIs, their characterization in obese patients is not a regulatory mandate. Consequently, information that carries importance for optimizing the dosing regimen in the obese population may not be readily available. This review focuses on the most recent pharmacokinetic and pharmacodynamic data on this topic with attention to cefazolin for surgical prophylaxis as well as antibiotics that are active against methicillin-resistant Staphylococcus aureus (MRSA). Moreover, the implications for optimizing SSTIs prevention and treatment in the obese population will also be discussed.\n        Recent findings \n        On the basis of pharmacokinetic/pharmacodynamic considerations, most studies found a perioperative prophylactic cefazolin regimen of 2 g to be reasonable in the case of obese patients undergoing cesarean delivery or bariatric surgery. There is general paucity of data regarding the pharmacokinetic/pharmacodynamic characteristics of antimicrobials active against MRSA in obese patients, especially for the target tissue. Therapeutic drug monitoring has been correlated with pharmacokinetic/pharmacodynamic optimization for vancomycin and teicoplanin, and should be used in these cases. There is more supportive evidence for the use of oxazolidinones (linezolid and tedizolid), daptomycin and lipoglycopeptides (telavancin, dalbavancin and oritavancin) in the management of SSTIs in this population.\n        Summary \n        The pharmacokinetic/pharmacodynamic approach, which can be used as a basis or supplement to clinical trials, provides valuable data and decision-making tools for optimizing regimens used for both prevention and treatment of SSTIs in the obese population. Important pharmacokinetic/pharmacodynamic characteristics of antibiotics, such as the penetration into the subcutaneous tissue and the probability of reaching the pharmacodynamic, target dictate efficacy, and thus should be taken into account and further investigated.","container-title":"Current Opinion in Infectious Diseases","DOI":"10.1097/QCO.0000000000000356","ISSN":"0951-7375","issue":"2","language":"en-US","page":"180–191","source":"journals.lww.com","title":"Obesity and skin and soft tissue infections: how to optimize antimicrobial usage for prevention and treatment?","title-short":"Obesity and skin and soft tissue infections","volume":"30","author":[{"family":"Grupper","given":"Mordechai"},{"family":"Nicolau","given":"David P."}],"issued":{"date-parts":[["2017",4]]}}}],"schema":"https://github.com/citation-style-language/schema/raw/master/csl-citation.json"} </w:instrText>
      </w:r>
      <w:r w:rsidR="00A73FC6" w:rsidRPr="002739BB">
        <w:rPr>
          <w:lang w:val="en-US"/>
        </w:rPr>
        <w:fldChar w:fldCharType="separate"/>
      </w:r>
      <w:r w:rsidR="00963B2F" w:rsidRPr="002739BB">
        <w:rPr>
          <w:rFonts w:ascii="Calibri" w:hAnsi="Calibri" w:cs="Calibri"/>
          <w:lang w:val="en-GB"/>
        </w:rPr>
        <w:t>[7,8]</w:t>
      </w:r>
      <w:r w:rsidR="00A73FC6" w:rsidRPr="002739BB">
        <w:rPr>
          <w:lang w:val="en-US"/>
        </w:rPr>
        <w:fldChar w:fldCharType="end"/>
      </w:r>
      <w:r w:rsidR="00A73FC6" w:rsidRPr="002739BB">
        <w:rPr>
          <w:lang w:val="en-US"/>
        </w:rPr>
        <w:t xml:space="preserve">. </w:t>
      </w:r>
      <w:r w:rsidR="00AD19A8" w:rsidRPr="002739BB">
        <w:rPr>
          <w:lang w:val="en-US"/>
        </w:rPr>
        <w:t xml:space="preserve">This may indicate an impaired tissue penetration of tigecycline </w:t>
      </w:r>
      <w:r w:rsidR="007007DE" w:rsidRPr="002739BB">
        <w:rPr>
          <w:lang w:val="en-US"/>
        </w:rPr>
        <w:t>in</w:t>
      </w:r>
      <w:r w:rsidR="002E52C2" w:rsidRPr="002739BB">
        <w:rPr>
          <w:lang w:val="en-US"/>
        </w:rPr>
        <w:t xml:space="preserve"> heavily</w:t>
      </w:r>
      <w:r w:rsidR="007007DE" w:rsidRPr="002739BB">
        <w:rPr>
          <w:lang w:val="en-US"/>
        </w:rPr>
        <w:t xml:space="preserve"> </w:t>
      </w:r>
      <w:r w:rsidR="00AD19A8" w:rsidRPr="002739BB">
        <w:rPr>
          <w:lang w:val="en-US"/>
        </w:rPr>
        <w:t xml:space="preserve">obese </w:t>
      </w:r>
      <w:r w:rsidR="00165464" w:rsidRPr="002739BB">
        <w:rPr>
          <w:lang w:val="en-US"/>
        </w:rPr>
        <w:t>subjects</w:t>
      </w:r>
      <w:r w:rsidR="002E52C2" w:rsidRPr="002739BB">
        <w:rPr>
          <w:lang w:val="en-GB"/>
        </w:rPr>
        <w:t xml:space="preserve"> </w:t>
      </w:r>
      <w:r w:rsidR="002E52C2" w:rsidRPr="002739BB">
        <w:rPr>
          <w:lang w:val="en-US"/>
        </w:rPr>
        <w:t xml:space="preserve">despite similar plasma pharmacokinetics </w:t>
      </w:r>
      <w:r w:rsidR="002E52C2" w:rsidRPr="002739BB">
        <w:rPr>
          <w:lang w:val="en-US"/>
        </w:rPr>
        <w:fldChar w:fldCharType="begin"/>
      </w:r>
      <w:r w:rsidR="002E52C2" w:rsidRPr="002739BB">
        <w:rPr>
          <w:lang w:val="en-US"/>
        </w:rPr>
        <w:instrText xml:space="preserve"> ADDIN ZOTERO_ITEM CSL_CITATION {"citationID":"WgjPUNlN","properties":{"formattedCitation":"[9]","plainCitation":"[9]","noteIndex":0},"citationItems":[{"id":349,"uris":["http://zotero.org/users/2542560/items/SCCB5CIC"],"itemData":{"id":349,"type":"article-journal","abstract":"OBJECTIVES: To compare the serum and urine pharmacokinetics (PK) of intravenous tigecycline in obese class III (obese-C3) adults with those in normal weight (NW) adults.\nPATIENTS AND METHODS: Obese-C3 (n = 8) and NW (n = 4) healthy adult volunteers received a single intravenous dose of 100 mg of tigecycline for 30 min. Serum (0-96 h) and urine (0-48 h) tigecycline concentrations were assayed by liquid chromatography with tandem mass spectrometry. Parametric population PK systems ana</w:instrText>
      </w:r>
      <w:r w:rsidR="002E52C2" w:rsidRPr="002739BB">
        <w:rPr>
          <w:rFonts w:hint="eastAsia"/>
          <w:lang w:val="en-US"/>
        </w:rPr>
        <w:instrText>lyses were used to model the data and assess the effects of total body weight (TBW) on PK parameters. The area under the concentration-time curve extrapolated to infinity (AUC0-</w:instrText>
      </w:r>
      <w:r w:rsidR="002E52C2" w:rsidRPr="002739BB">
        <w:rPr>
          <w:rFonts w:hint="eastAsia"/>
          <w:lang w:val="en-US"/>
        </w:rPr>
        <w:instrText>∞</w:instrText>
      </w:r>
      <w:r w:rsidR="002E52C2" w:rsidRPr="002739BB">
        <w:rPr>
          <w:rFonts w:hint="eastAsia"/>
          <w:lang w:val="en-US"/>
        </w:rPr>
        <w:instrText>) was simulated to estimate the probability of AUC0-</w:instrText>
      </w:r>
      <w:r w:rsidR="002E52C2" w:rsidRPr="002739BB">
        <w:rPr>
          <w:rFonts w:hint="eastAsia"/>
          <w:lang w:val="en-US"/>
        </w:rPr>
        <w:instrText>∞</w:instrText>
      </w:r>
      <w:r w:rsidR="002E52C2" w:rsidRPr="002739BB">
        <w:rPr>
          <w:rFonts w:hint="eastAsia"/>
          <w:lang w:val="en-US"/>
        </w:rPr>
        <w:instrText xml:space="preserve"> : MIC target attainment</w:instrText>
      </w:r>
      <w:r w:rsidR="002E52C2" w:rsidRPr="002739BB">
        <w:rPr>
          <w:lang w:val="en-US"/>
        </w:rPr>
        <w:instrText xml:space="preserve"> and cumulative fraction of response (CFR) based on wild-type MIC distributions of select pathogens. Clinicaltrials.gov: NCT01560143.\nRESULTS: The median (range) age, TBW and initial body mass index were 42 (20-50) years, 121 (61-160) kg and 43.8 (20.8-5</w:instrText>
      </w:r>
      <w:r w:rsidR="002E52C2" w:rsidRPr="002739BB">
        <w:rPr>
          <w:rFonts w:hint="eastAsia"/>
          <w:lang w:val="en-US"/>
        </w:rPr>
        <w:instrText>3.8) kg/m(2), respectively. The serum concentration-time profiles and exposures were similar in the obese-C3 and NW adults, with a mean urine recovery of 15.8% and 13.4%, respectively. The median (range) AUC0-</w:instrText>
      </w:r>
      <w:r w:rsidR="002E52C2" w:rsidRPr="002739BB">
        <w:rPr>
          <w:rFonts w:hint="eastAsia"/>
          <w:lang w:val="en-US"/>
        </w:rPr>
        <w:instrText>∞</w:instrText>
      </w:r>
      <w:r w:rsidR="002E52C2" w:rsidRPr="002739BB">
        <w:rPr>
          <w:rFonts w:hint="eastAsia"/>
          <w:lang w:val="en-US"/>
        </w:rPr>
        <w:instrText xml:space="preserve"> was 8.19 (6.12, 11.2) and 7.50 (6.78, 9.13) </w:instrText>
      </w:r>
      <w:r w:rsidR="002E52C2" w:rsidRPr="002739BB">
        <w:rPr>
          <w:lang w:val="en-US"/>
        </w:rPr>
        <w:instrText>mg · h/L in the obese-C3 and NW groups, respectively. The clearance of tigecycline was not related to TBW. The CFR was calculated to be &lt;90% against Acinetobacter baumannii, Enterobacter cloacae and Klebsiella pneumoniae for an AUC0-</w:instrText>
      </w:r>
      <w:r w:rsidR="002E52C2" w:rsidRPr="002739BB">
        <w:rPr>
          <w:rFonts w:hint="eastAsia"/>
          <w:lang w:val="en-US"/>
        </w:rPr>
        <w:instrText>∞</w:instrText>
      </w:r>
      <w:r w:rsidR="002E52C2" w:rsidRPr="002739BB">
        <w:rPr>
          <w:lang w:val="en-US"/>
        </w:rPr>
        <w:instrText xml:space="preserve"> : MIC target ≥ 6.96.\nCONCLUSIONS: The serum and urine PK of tigecycline is similar in obese-C3 and NW healthy adults. A lower CFR is predicted against certain Gram-negative pathogens with the current standard tigecycline dosing regimen, irrespective of TBW.","container-title":"The Journal of antimicrobial chemotherapy","DOI":"10.1093/jac/dkt299","ISSN":"1460-2091","issue":"1","journalAbbreviation":"J. Antimicrob. Chemother.","language":"eng","page":"190-199","source":"NCBI PubMed","title":"Serum and urine pharmacokinetics of tigecycline in obese class III and normal weight adults","volume":"69","author":[{"family":"Pai","given":"Manjunath P"}],"issued":{"date-parts":[["2014",1]]}}}],"schema":"https://github.com/citation-style-language/schema/raw/master/csl-citation.json"} </w:instrText>
      </w:r>
      <w:r w:rsidR="002E52C2" w:rsidRPr="002739BB">
        <w:rPr>
          <w:lang w:val="en-US"/>
        </w:rPr>
        <w:fldChar w:fldCharType="separate"/>
      </w:r>
      <w:r w:rsidR="00963B2F" w:rsidRPr="002739BB">
        <w:rPr>
          <w:rFonts w:ascii="Calibri" w:hAnsi="Calibri" w:cs="Calibri"/>
          <w:lang w:val="en-GB"/>
        </w:rPr>
        <w:t>[9]</w:t>
      </w:r>
      <w:r w:rsidR="002E52C2" w:rsidRPr="002739BB">
        <w:rPr>
          <w:lang w:val="en-US"/>
        </w:rPr>
        <w:fldChar w:fldCharType="end"/>
      </w:r>
      <w:r w:rsidR="002E52C2" w:rsidRPr="002739BB">
        <w:rPr>
          <w:lang w:val="en-US"/>
        </w:rPr>
        <w:t xml:space="preserve">. </w:t>
      </w:r>
      <w:r w:rsidR="002B1DAB" w:rsidRPr="002739BB">
        <w:rPr>
          <w:lang w:val="en-US"/>
        </w:rPr>
        <w:t xml:space="preserve">In line with this assumption, </w:t>
      </w:r>
      <w:r w:rsidR="00817F60" w:rsidRPr="002739BB">
        <w:rPr>
          <w:lang w:val="en-US"/>
        </w:rPr>
        <w:t>a higher dose than the standard dose of 50 mg tigecycline b.i.d. has been suggested</w:t>
      </w:r>
      <w:r w:rsidR="002B1DAB" w:rsidRPr="002739BB">
        <w:rPr>
          <w:lang w:val="en-US"/>
        </w:rPr>
        <w:t>,</w:t>
      </w:r>
      <w:r w:rsidR="00817F60" w:rsidRPr="002739BB">
        <w:rPr>
          <w:lang w:val="en-US"/>
        </w:rPr>
        <w:t xml:space="preserve"> </w:t>
      </w:r>
      <w:r w:rsidR="00E94DC4" w:rsidRPr="002739BB">
        <w:rPr>
          <w:lang w:val="en-US"/>
        </w:rPr>
        <w:t xml:space="preserve">especially </w:t>
      </w:r>
      <w:r w:rsidR="002B1DAB" w:rsidRPr="002739BB">
        <w:rPr>
          <w:lang w:val="en-US"/>
        </w:rPr>
        <w:t>for</w:t>
      </w:r>
      <w:r w:rsidR="00E94DC4" w:rsidRPr="002739BB">
        <w:rPr>
          <w:lang w:val="en-US"/>
        </w:rPr>
        <w:t xml:space="preserve"> patients </w:t>
      </w:r>
      <w:r w:rsidR="002B1DAB" w:rsidRPr="002739BB">
        <w:rPr>
          <w:lang w:val="en-US"/>
        </w:rPr>
        <w:t>with</w:t>
      </w:r>
      <w:r w:rsidR="00E94DC4" w:rsidRPr="002739BB">
        <w:rPr>
          <w:lang w:val="en-US"/>
        </w:rPr>
        <w:t xml:space="preserve"> high BMI</w:t>
      </w:r>
      <w:r w:rsidR="002B1DAB" w:rsidRPr="002739BB">
        <w:rPr>
          <w:lang w:val="en-US"/>
        </w:rPr>
        <w:t>, based on a retrospective clinical study in ICU patients</w:t>
      </w:r>
      <w:r w:rsidR="00081972" w:rsidRPr="002739BB">
        <w:rPr>
          <w:lang w:val="en-US"/>
        </w:rPr>
        <w:t xml:space="preserve">. </w:t>
      </w:r>
      <w:r w:rsidR="00C6235A" w:rsidRPr="002739BB">
        <w:rPr>
          <w:lang w:val="en-US"/>
        </w:rPr>
        <w:t>Of note</w:t>
      </w:r>
      <w:r w:rsidR="00081972" w:rsidRPr="002739BB">
        <w:rPr>
          <w:lang w:val="en-US"/>
        </w:rPr>
        <w:t xml:space="preserve">, the authors regretted the lack of </w:t>
      </w:r>
      <w:r w:rsidR="0074340D" w:rsidRPr="002739BB">
        <w:rPr>
          <w:lang w:val="en-US"/>
        </w:rPr>
        <w:t xml:space="preserve">tissue level measurement </w:t>
      </w:r>
      <w:r w:rsidR="00081972" w:rsidRPr="002739BB">
        <w:rPr>
          <w:lang w:val="en-US"/>
        </w:rPr>
        <w:t>in that study to support their recommendation</w:t>
      </w:r>
      <w:r w:rsidR="00FB58D1" w:rsidRPr="002739BB">
        <w:rPr>
          <w:lang w:val="en-US"/>
        </w:rPr>
        <w:t xml:space="preserve"> </w:t>
      </w:r>
      <w:r w:rsidR="00FB58D1" w:rsidRPr="002739BB">
        <w:rPr>
          <w:lang w:val="en-US"/>
        </w:rPr>
        <w:fldChar w:fldCharType="begin"/>
      </w:r>
      <w:r w:rsidR="00FB58D1" w:rsidRPr="002739BB">
        <w:rPr>
          <w:lang w:val="en-US"/>
        </w:rPr>
        <w:instrText xml:space="preserve"> ADDIN ZOTERO_ITEM CSL_CITATION {"citationID":"mItsOnnh","properties":{"formattedCitation":"[10]","plainCitation":"[10]","noteIndex":0},"citationItems":[{"id":3872,"uris":["http://zotero.org/users/2542560/items/3NKU5BZA"],"itemData":{"id":3872,"type":"article-journal","abstract":"Background\nThe intensive care unit (ICU) is a center of multidrug-resistant (MDR) pathogens. This is due to overuse of antibiotics in the treatment of critically ill patients. Tigecycline is a broad-spectrum antibiotic that belongs to the glycylcycline group. Tigecycline has been indicated in treatment of complicated intra-abdominal infections (cIAIs) and complicated skin and soft-tissue infections (cSSTIs).\n\nObjective\nThis study was done to discover the best dose regimen of tigecycline in treatment of cSSTIs and cIAIs, especially in patients who are critically ill and obese, for clinical outcomes and safety.\n\nSetting\nThe study was conducted in an adult ICU that consists of 25 beds in a general hospital and was conducted within 2 years. A total of 954 patients were screened in this study.\n\nMethods\nThis was a retrospective cohort study that compared the clinical outcomes of patients: mortality, ICU stay, and safety of using two different dose regimens of tigecycline between patients with different body weight who were treated for infections caused by MDR pathogens in the ICU. The study was conducted within 2 years. All results were collected from patients’ files and were analyzed with SPSS version 20.\n\nMain outcome\nThe study was implemented to figure out the best dose regimen of tigecycline to achieve a reduction in mortality, ICU stay, treatment duration, and secondary septic-shock incidence with minimum side effects in treatment of cSSTIs and cIAIs in patients with different body weight.\n\nResults\nThere was a significant improvement in mortality, ICU stay, recurrent infection by the same organism, duration of tigecycline treatment, number of patients who had first negative culture after starting treatment, secondary bacteremia, and secondary septic shock with patients who used high-dose regimens of tigecycline in different subgroups of body weight, with no significant difference in side effects.\n\nConclusion\nThe use of high-dose tigecycline resulted in a significant enhancement in all clinical outcomes, especially mortality and ICU stay when used in treatment of overweight and obese patients with cSSTIs and cIAIs.","container-title":"Drug Design, Development and Therapy","DOI":"10.2147/DDDT.S181834","ISSN":"1177-8881","journalAbbreviation":"Drug Des Devel Ther","note":"PMID: 30584281\nPMCID: PMC6290867","page":"4171-4179","source":"PubMed Central","title":"Best tigecycline dosing for treatment of infections caused by multidrug-resistant pathogens in critically ill patients with different body weights","volume":"12","author":[{"family":"Ibrahim","given":"Mohamed M"},{"family":"Abuelmatty","given":"Abdulla M"},{"family":"Mohamed","given":"Gehan H"},{"family":"Nasr","given":"Mohsen A"},{"family":"Hussein","given":"Amal K"},{"family":"Ebaed","given":"Mohy El Deen"},{"family":"Sarhan","given":"Hatem A"}],"issued":{"date-parts":[["2018",12,7]]}}}],"schema":"https://github.com/citation-style-language/schema/raw/master/csl-citation.json"} </w:instrText>
      </w:r>
      <w:r w:rsidR="00FB58D1" w:rsidRPr="002739BB">
        <w:rPr>
          <w:lang w:val="en-US"/>
        </w:rPr>
        <w:fldChar w:fldCharType="separate"/>
      </w:r>
      <w:r w:rsidR="00963B2F" w:rsidRPr="002739BB">
        <w:rPr>
          <w:rFonts w:ascii="Calibri" w:hAnsi="Calibri" w:cs="Calibri"/>
          <w:lang w:val="en-GB"/>
        </w:rPr>
        <w:t>[10]</w:t>
      </w:r>
      <w:r w:rsidR="00FB58D1" w:rsidRPr="002739BB">
        <w:rPr>
          <w:lang w:val="en-US"/>
        </w:rPr>
        <w:fldChar w:fldCharType="end"/>
      </w:r>
      <w:r w:rsidR="00FB58D1" w:rsidRPr="002739BB">
        <w:rPr>
          <w:lang w:val="en-US"/>
        </w:rPr>
        <w:t xml:space="preserve">. </w:t>
      </w:r>
      <w:r w:rsidR="00A625EA" w:rsidRPr="002739BB">
        <w:rPr>
          <w:lang w:val="en-US"/>
        </w:rPr>
        <w:t xml:space="preserve">Till now, the impact of obesity on the penetration of tigecycline </w:t>
      </w:r>
      <w:r w:rsidR="00A625EA" w:rsidRPr="002739BB">
        <w:rPr>
          <w:lang w:val="en-GB"/>
        </w:rPr>
        <w:t xml:space="preserve">into the ISF of subcutaneous tissue, a main site of bacterial infection, </w:t>
      </w:r>
      <w:r w:rsidR="00A625EA" w:rsidRPr="002739BB">
        <w:rPr>
          <w:lang w:val="en-US"/>
        </w:rPr>
        <w:t>has not been investigated.</w:t>
      </w:r>
      <w:bookmarkStart w:id="3" w:name="_Toc380657952"/>
      <w:bookmarkEnd w:id="2"/>
      <w:r w:rsidR="00431495" w:rsidRPr="002739BB">
        <w:rPr>
          <w:lang w:val="en-US"/>
        </w:rPr>
        <w:br/>
      </w:r>
      <w:r w:rsidR="00BE36B0" w:rsidRPr="002739BB">
        <w:rPr>
          <w:lang w:val="en-GB"/>
        </w:rPr>
        <w:t xml:space="preserve">The objective of this study was to assess the penetration of tigecycline into the ISF of subcutaneous adipose tissue using </w:t>
      </w:r>
      <w:proofErr w:type="spellStart"/>
      <w:r w:rsidR="00BE36B0" w:rsidRPr="002739BB">
        <w:rPr>
          <w:lang w:val="en-GB"/>
        </w:rPr>
        <w:t>microdialysis</w:t>
      </w:r>
      <w:proofErr w:type="spellEnd"/>
      <w:r w:rsidR="00BE36B0" w:rsidRPr="002739BB">
        <w:rPr>
          <w:lang w:val="en-GB"/>
        </w:rPr>
        <w:t xml:space="preserve"> in obese and non-obese patients following a single dose of tigecycline as part of perioperative antibiotic prophylaxis.</w:t>
      </w:r>
    </w:p>
    <w:bookmarkEnd w:id="3"/>
    <w:p w14:paraId="18F3AA0C" w14:textId="77777777" w:rsidR="002739BB" w:rsidRDefault="002739BB">
      <w:pPr>
        <w:spacing w:after="0"/>
        <w:rPr>
          <w:b/>
          <w:sz w:val="24"/>
          <w:lang w:val="en-US"/>
        </w:rPr>
      </w:pPr>
      <w:r>
        <w:rPr>
          <w:b/>
          <w:sz w:val="24"/>
          <w:lang w:val="en-US"/>
        </w:rPr>
        <w:br w:type="page"/>
      </w:r>
    </w:p>
    <w:p w14:paraId="6C982363" w14:textId="4375CAD8" w:rsidR="00620BEF" w:rsidRPr="00F574E7" w:rsidRDefault="00FC20B6" w:rsidP="006915C9">
      <w:pPr>
        <w:spacing w:line="276" w:lineRule="auto"/>
        <w:rPr>
          <w:b/>
          <w:sz w:val="24"/>
          <w:lang w:val="en-US"/>
        </w:rPr>
      </w:pPr>
      <w:bookmarkStart w:id="4" w:name="_GoBack"/>
      <w:bookmarkEnd w:id="4"/>
      <w:r w:rsidRPr="00F574E7">
        <w:rPr>
          <w:b/>
          <w:sz w:val="24"/>
          <w:lang w:val="en-US"/>
        </w:rPr>
        <w:lastRenderedPageBreak/>
        <w:t>R</w:t>
      </w:r>
      <w:r w:rsidR="00E752DF" w:rsidRPr="00F574E7">
        <w:rPr>
          <w:b/>
          <w:sz w:val="24"/>
          <w:lang w:val="en-US"/>
        </w:rPr>
        <w:t>eferences</w:t>
      </w:r>
    </w:p>
    <w:p w14:paraId="17A3F56A" w14:textId="77777777" w:rsidR="002739BB" w:rsidRPr="002739BB" w:rsidRDefault="001A13AD" w:rsidP="002739BB">
      <w:pPr>
        <w:pStyle w:val="Literaturverzeichnis"/>
        <w:rPr>
          <w:rFonts w:ascii="Calibri" w:hAnsi="Calibri" w:cs="Calibri"/>
          <w:lang w:val="en-GB"/>
        </w:rPr>
      </w:pPr>
      <w:r w:rsidRPr="00F574E7">
        <w:rPr>
          <w:rFonts w:cstheme="majorHAnsi"/>
          <w:b/>
          <w:bCs/>
          <w:szCs w:val="22"/>
          <w:lang w:val="en-US"/>
        </w:rPr>
        <w:fldChar w:fldCharType="begin"/>
      </w:r>
      <w:r w:rsidR="002739BB">
        <w:rPr>
          <w:rFonts w:cstheme="majorHAnsi"/>
          <w:b/>
          <w:bCs/>
          <w:szCs w:val="22"/>
          <w:lang w:val="en-GB"/>
        </w:rPr>
        <w:instrText xml:space="preserve"> ADDIN ZOTERO_BIBL {"uncited":[],"omitted":[],"custom":[]} CSL_BIBLIOGRAPHY </w:instrText>
      </w:r>
      <w:r w:rsidRPr="00F574E7">
        <w:rPr>
          <w:rFonts w:cstheme="majorHAnsi"/>
          <w:b/>
          <w:bCs/>
          <w:szCs w:val="22"/>
          <w:lang w:val="en-US"/>
        </w:rPr>
        <w:fldChar w:fldCharType="separate"/>
      </w:r>
      <w:r w:rsidR="002739BB" w:rsidRPr="002739BB">
        <w:rPr>
          <w:rFonts w:ascii="Calibri" w:hAnsi="Calibri" w:cs="Calibri"/>
          <w:lang w:val="en-GB"/>
        </w:rPr>
        <w:t xml:space="preserve">1. </w:t>
      </w:r>
      <w:proofErr w:type="spellStart"/>
      <w:r w:rsidR="002739BB" w:rsidRPr="002739BB">
        <w:rPr>
          <w:rFonts w:ascii="Calibri" w:hAnsi="Calibri" w:cs="Calibri"/>
          <w:lang w:val="en-GB"/>
        </w:rPr>
        <w:t>Alobaid</w:t>
      </w:r>
      <w:proofErr w:type="spellEnd"/>
      <w:r w:rsidR="002739BB" w:rsidRPr="002739BB">
        <w:rPr>
          <w:rFonts w:ascii="Calibri" w:hAnsi="Calibri" w:cs="Calibri"/>
          <w:lang w:val="en-GB"/>
        </w:rPr>
        <w:t xml:space="preserve"> AS, </w:t>
      </w:r>
      <w:proofErr w:type="spellStart"/>
      <w:r w:rsidR="002739BB" w:rsidRPr="002739BB">
        <w:rPr>
          <w:rFonts w:ascii="Calibri" w:hAnsi="Calibri" w:cs="Calibri"/>
          <w:lang w:val="en-GB"/>
        </w:rPr>
        <w:t>Hites</w:t>
      </w:r>
      <w:proofErr w:type="spellEnd"/>
      <w:r w:rsidR="002739BB" w:rsidRPr="002739BB">
        <w:rPr>
          <w:rFonts w:ascii="Calibri" w:hAnsi="Calibri" w:cs="Calibri"/>
          <w:lang w:val="en-GB"/>
        </w:rPr>
        <w:t xml:space="preserve"> M, Lipman J, </w:t>
      </w:r>
      <w:proofErr w:type="spellStart"/>
      <w:r w:rsidR="002739BB" w:rsidRPr="002739BB">
        <w:rPr>
          <w:rFonts w:ascii="Calibri" w:hAnsi="Calibri" w:cs="Calibri"/>
          <w:lang w:val="en-GB"/>
        </w:rPr>
        <w:t>Taccone</w:t>
      </w:r>
      <w:proofErr w:type="spellEnd"/>
      <w:r w:rsidR="002739BB" w:rsidRPr="002739BB">
        <w:rPr>
          <w:rFonts w:ascii="Calibri" w:hAnsi="Calibri" w:cs="Calibri"/>
          <w:lang w:val="en-GB"/>
        </w:rPr>
        <w:t xml:space="preserve"> FS, Roberts JA. Effect of obesity on the pharmacokinetics of antimicrobials in critically ill patients: A structured review. Int J </w:t>
      </w:r>
      <w:proofErr w:type="spellStart"/>
      <w:r w:rsidR="002739BB" w:rsidRPr="002739BB">
        <w:rPr>
          <w:rFonts w:ascii="Calibri" w:hAnsi="Calibri" w:cs="Calibri"/>
          <w:lang w:val="en-GB"/>
        </w:rPr>
        <w:t>Antimicrob</w:t>
      </w:r>
      <w:proofErr w:type="spellEnd"/>
      <w:r w:rsidR="002739BB" w:rsidRPr="002739BB">
        <w:rPr>
          <w:rFonts w:ascii="Calibri" w:hAnsi="Calibri" w:cs="Calibri"/>
          <w:lang w:val="en-GB"/>
        </w:rPr>
        <w:t xml:space="preserve"> Agents. </w:t>
      </w:r>
      <w:proofErr w:type="gramStart"/>
      <w:r w:rsidR="002739BB" w:rsidRPr="002739BB">
        <w:rPr>
          <w:rFonts w:ascii="Calibri" w:hAnsi="Calibri" w:cs="Calibri"/>
          <w:lang w:val="en-GB"/>
        </w:rPr>
        <w:t>2016;47:259</w:t>
      </w:r>
      <w:proofErr w:type="gramEnd"/>
      <w:r w:rsidR="002739BB" w:rsidRPr="002739BB">
        <w:rPr>
          <w:rFonts w:ascii="Calibri" w:hAnsi="Calibri" w:cs="Calibri"/>
          <w:lang w:val="en-GB"/>
        </w:rPr>
        <w:t xml:space="preserve">–68. </w:t>
      </w:r>
    </w:p>
    <w:p w14:paraId="080AA7EC" w14:textId="77777777" w:rsidR="002739BB" w:rsidRPr="002739BB" w:rsidRDefault="002739BB" w:rsidP="002739BB">
      <w:pPr>
        <w:pStyle w:val="Literaturverzeichnis"/>
        <w:rPr>
          <w:rFonts w:ascii="Calibri" w:hAnsi="Calibri" w:cs="Calibri"/>
          <w:lang w:val="en-GB"/>
        </w:rPr>
      </w:pPr>
      <w:r w:rsidRPr="002739BB">
        <w:rPr>
          <w:rFonts w:ascii="Calibri" w:hAnsi="Calibri" w:cs="Calibri"/>
          <w:lang w:val="en-GB"/>
        </w:rPr>
        <w:t xml:space="preserve">2. Hanley MJ, Abernethy DR, Greenblatt DJ. Effect of Obesity on the Pharmacokinetics of Drugs in Humans. Clin </w:t>
      </w:r>
      <w:proofErr w:type="spellStart"/>
      <w:r w:rsidRPr="002739BB">
        <w:rPr>
          <w:rFonts w:ascii="Calibri" w:hAnsi="Calibri" w:cs="Calibri"/>
          <w:lang w:val="en-GB"/>
        </w:rPr>
        <w:t>Pharmacokinet</w:t>
      </w:r>
      <w:proofErr w:type="spellEnd"/>
      <w:r w:rsidRPr="002739BB">
        <w:rPr>
          <w:rFonts w:ascii="Calibri" w:hAnsi="Calibri" w:cs="Calibri"/>
          <w:lang w:val="en-GB"/>
        </w:rPr>
        <w:t xml:space="preserve">. </w:t>
      </w:r>
      <w:proofErr w:type="gramStart"/>
      <w:r w:rsidRPr="002739BB">
        <w:rPr>
          <w:rFonts w:ascii="Calibri" w:hAnsi="Calibri" w:cs="Calibri"/>
          <w:lang w:val="en-GB"/>
        </w:rPr>
        <w:t>2010;49:71</w:t>
      </w:r>
      <w:proofErr w:type="gramEnd"/>
      <w:r w:rsidRPr="002739BB">
        <w:rPr>
          <w:rFonts w:ascii="Calibri" w:hAnsi="Calibri" w:cs="Calibri"/>
          <w:lang w:val="en-GB"/>
        </w:rPr>
        <w:t xml:space="preserve">–87. </w:t>
      </w:r>
    </w:p>
    <w:p w14:paraId="1BD8B5FE" w14:textId="77777777" w:rsidR="002739BB" w:rsidRPr="002739BB" w:rsidRDefault="002739BB" w:rsidP="002739BB">
      <w:pPr>
        <w:pStyle w:val="Literaturverzeichnis"/>
        <w:rPr>
          <w:rFonts w:ascii="Calibri" w:hAnsi="Calibri" w:cs="Calibri"/>
          <w:lang w:val="en-GB"/>
        </w:rPr>
      </w:pPr>
      <w:r w:rsidRPr="002739BB">
        <w:rPr>
          <w:rFonts w:ascii="Calibri" w:hAnsi="Calibri" w:cs="Calibri"/>
          <w:lang w:val="en-GB"/>
        </w:rPr>
        <w:t xml:space="preserve">3. Pai MP. Antimicrobial Dosing in Specific Populations and Novel Clinical Methodologies: Obesity. Clin </w:t>
      </w:r>
      <w:proofErr w:type="spellStart"/>
      <w:r w:rsidRPr="002739BB">
        <w:rPr>
          <w:rFonts w:ascii="Calibri" w:hAnsi="Calibri" w:cs="Calibri"/>
          <w:lang w:val="en-GB"/>
        </w:rPr>
        <w:t>Pharmacol</w:t>
      </w:r>
      <w:proofErr w:type="spellEnd"/>
      <w:r w:rsidRPr="002739BB">
        <w:rPr>
          <w:rFonts w:ascii="Calibri" w:hAnsi="Calibri" w:cs="Calibri"/>
          <w:lang w:val="en-GB"/>
        </w:rPr>
        <w:t xml:space="preserve"> </w:t>
      </w:r>
      <w:proofErr w:type="spellStart"/>
      <w:r w:rsidRPr="002739BB">
        <w:rPr>
          <w:rFonts w:ascii="Calibri" w:hAnsi="Calibri" w:cs="Calibri"/>
          <w:lang w:val="en-GB"/>
        </w:rPr>
        <w:t>Ther</w:t>
      </w:r>
      <w:proofErr w:type="spellEnd"/>
      <w:r w:rsidRPr="002739BB">
        <w:rPr>
          <w:rFonts w:ascii="Calibri" w:hAnsi="Calibri" w:cs="Calibri"/>
          <w:lang w:val="en-GB"/>
        </w:rPr>
        <w:t xml:space="preserve">. </w:t>
      </w:r>
      <w:proofErr w:type="gramStart"/>
      <w:r w:rsidRPr="002739BB">
        <w:rPr>
          <w:rFonts w:ascii="Calibri" w:hAnsi="Calibri" w:cs="Calibri"/>
          <w:lang w:val="en-GB"/>
        </w:rPr>
        <w:t>2021;109:942</w:t>
      </w:r>
      <w:proofErr w:type="gramEnd"/>
      <w:r w:rsidRPr="002739BB">
        <w:rPr>
          <w:rFonts w:ascii="Calibri" w:hAnsi="Calibri" w:cs="Calibri"/>
          <w:lang w:val="en-GB"/>
        </w:rPr>
        <w:t xml:space="preserve">–51. </w:t>
      </w:r>
    </w:p>
    <w:p w14:paraId="63CAA005" w14:textId="77777777" w:rsidR="002739BB" w:rsidRPr="002739BB" w:rsidRDefault="002739BB" w:rsidP="002739BB">
      <w:pPr>
        <w:pStyle w:val="Literaturverzeichnis"/>
        <w:rPr>
          <w:rFonts w:ascii="Calibri" w:hAnsi="Calibri" w:cs="Calibri"/>
          <w:lang w:val="en-GB"/>
        </w:rPr>
      </w:pPr>
      <w:r w:rsidRPr="002739BB">
        <w:rPr>
          <w:rFonts w:ascii="Calibri" w:hAnsi="Calibri" w:cs="Calibri"/>
          <w:lang w:val="en-GB"/>
        </w:rPr>
        <w:t xml:space="preserve">4. Barbour A, Schmidt S, Ma B, </w:t>
      </w:r>
      <w:proofErr w:type="spellStart"/>
      <w:r w:rsidRPr="002739BB">
        <w:rPr>
          <w:rFonts w:ascii="Calibri" w:hAnsi="Calibri" w:cs="Calibri"/>
          <w:lang w:val="en-GB"/>
        </w:rPr>
        <w:t>Schiefelbein</w:t>
      </w:r>
      <w:proofErr w:type="spellEnd"/>
      <w:r w:rsidRPr="002739BB">
        <w:rPr>
          <w:rFonts w:ascii="Calibri" w:hAnsi="Calibri" w:cs="Calibri"/>
          <w:lang w:val="en-GB"/>
        </w:rPr>
        <w:t xml:space="preserve"> L, Rand KH, Burkhardt O, et al. Clinical pharmacokinetics and pharmacodynamics of tigecycline. Clin </w:t>
      </w:r>
      <w:proofErr w:type="spellStart"/>
      <w:r w:rsidRPr="002739BB">
        <w:rPr>
          <w:rFonts w:ascii="Calibri" w:hAnsi="Calibri" w:cs="Calibri"/>
          <w:lang w:val="en-GB"/>
        </w:rPr>
        <w:t>Pharmacokinet</w:t>
      </w:r>
      <w:proofErr w:type="spellEnd"/>
      <w:r w:rsidRPr="002739BB">
        <w:rPr>
          <w:rFonts w:ascii="Calibri" w:hAnsi="Calibri" w:cs="Calibri"/>
          <w:lang w:val="en-GB"/>
        </w:rPr>
        <w:t xml:space="preserve">. </w:t>
      </w:r>
      <w:proofErr w:type="gramStart"/>
      <w:r w:rsidRPr="002739BB">
        <w:rPr>
          <w:rFonts w:ascii="Calibri" w:hAnsi="Calibri" w:cs="Calibri"/>
          <w:lang w:val="en-GB"/>
        </w:rPr>
        <w:t>2009;48:575</w:t>
      </w:r>
      <w:proofErr w:type="gramEnd"/>
      <w:r w:rsidRPr="002739BB">
        <w:rPr>
          <w:rFonts w:ascii="Calibri" w:hAnsi="Calibri" w:cs="Calibri"/>
          <w:lang w:val="en-GB"/>
        </w:rPr>
        <w:t xml:space="preserve">–84. </w:t>
      </w:r>
    </w:p>
    <w:p w14:paraId="6F69DC58" w14:textId="77777777" w:rsidR="002739BB" w:rsidRPr="002739BB" w:rsidRDefault="002739BB" w:rsidP="002739BB">
      <w:pPr>
        <w:pStyle w:val="Literaturverzeichnis"/>
        <w:rPr>
          <w:rFonts w:ascii="Calibri" w:hAnsi="Calibri" w:cs="Calibri"/>
          <w:lang w:val="en-GB"/>
        </w:rPr>
      </w:pPr>
      <w:r w:rsidRPr="002739BB">
        <w:rPr>
          <w:rFonts w:ascii="Calibri" w:hAnsi="Calibri" w:cs="Calibri"/>
          <w:lang w:val="en-GB"/>
        </w:rPr>
        <w:t>5. Wyeth Pharmaceuticals LLC. TYGACIL® (tigecycline) for injection, for intravenous use, Prescribing information [Internet]. 2021. Available from: https://labeling.pfizer.com/ShowLabeling.aspx?id=491</w:t>
      </w:r>
    </w:p>
    <w:p w14:paraId="4B3717D3" w14:textId="77777777" w:rsidR="002739BB" w:rsidRPr="002739BB" w:rsidRDefault="002739BB" w:rsidP="002739BB">
      <w:pPr>
        <w:pStyle w:val="Literaturverzeichnis"/>
        <w:rPr>
          <w:rFonts w:ascii="Calibri" w:hAnsi="Calibri" w:cs="Calibri"/>
          <w:lang w:val="en-GB"/>
        </w:rPr>
      </w:pPr>
      <w:r w:rsidRPr="002739BB">
        <w:rPr>
          <w:rFonts w:ascii="Calibri" w:hAnsi="Calibri" w:cs="Calibri"/>
          <w:lang w:val="en-GB"/>
        </w:rPr>
        <w:t xml:space="preserve">6. </w:t>
      </w:r>
      <w:proofErr w:type="spellStart"/>
      <w:r w:rsidRPr="002739BB">
        <w:rPr>
          <w:rFonts w:ascii="Calibri" w:hAnsi="Calibri" w:cs="Calibri"/>
          <w:lang w:val="en-GB"/>
        </w:rPr>
        <w:t>Rodvold</w:t>
      </w:r>
      <w:proofErr w:type="spellEnd"/>
      <w:r w:rsidRPr="002739BB">
        <w:rPr>
          <w:rFonts w:ascii="Calibri" w:hAnsi="Calibri" w:cs="Calibri"/>
          <w:lang w:val="en-GB"/>
        </w:rPr>
        <w:t xml:space="preserve"> KA, </w:t>
      </w:r>
      <w:proofErr w:type="spellStart"/>
      <w:r w:rsidRPr="002739BB">
        <w:rPr>
          <w:rFonts w:ascii="Calibri" w:hAnsi="Calibri" w:cs="Calibri"/>
          <w:lang w:val="en-GB"/>
        </w:rPr>
        <w:t>Gotfried</w:t>
      </w:r>
      <w:proofErr w:type="spellEnd"/>
      <w:r w:rsidRPr="002739BB">
        <w:rPr>
          <w:rFonts w:ascii="Calibri" w:hAnsi="Calibri" w:cs="Calibri"/>
          <w:lang w:val="en-GB"/>
        </w:rPr>
        <w:t xml:space="preserve"> MH, </w:t>
      </w:r>
      <w:proofErr w:type="spellStart"/>
      <w:r w:rsidRPr="002739BB">
        <w:rPr>
          <w:rFonts w:ascii="Calibri" w:hAnsi="Calibri" w:cs="Calibri"/>
          <w:lang w:val="en-GB"/>
        </w:rPr>
        <w:t>Cwik</w:t>
      </w:r>
      <w:proofErr w:type="spellEnd"/>
      <w:r w:rsidRPr="002739BB">
        <w:rPr>
          <w:rFonts w:ascii="Calibri" w:hAnsi="Calibri" w:cs="Calibri"/>
          <w:lang w:val="en-GB"/>
        </w:rPr>
        <w:t xml:space="preserve"> M, </w:t>
      </w:r>
      <w:proofErr w:type="spellStart"/>
      <w:r w:rsidRPr="002739BB">
        <w:rPr>
          <w:rFonts w:ascii="Calibri" w:hAnsi="Calibri" w:cs="Calibri"/>
          <w:lang w:val="en-GB"/>
        </w:rPr>
        <w:t>Korth</w:t>
      </w:r>
      <w:proofErr w:type="spellEnd"/>
      <w:r w:rsidRPr="002739BB">
        <w:rPr>
          <w:rFonts w:ascii="Calibri" w:hAnsi="Calibri" w:cs="Calibri"/>
          <w:lang w:val="en-GB"/>
        </w:rPr>
        <w:t xml:space="preserve">-Bradley JM, </w:t>
      </w:r>
      <w:proofErr w:type="spellStart"/>
      <w:r w:rsidRPr="002739BB">
        <w:rPr>
          <w:rFonts w:ascii="Calibri" w:hAnsi="Calibri" w:cs="Calibri"/>
          <w:lang w:val="en-GB"/>
        </w:rPr>
        <w:t>Dukart</w:t>
      </w:r>
      <w:proofErr w:type="spellEnd"/>
      <w:r w:rsidRPr="002739BB">
        <w:rPr>
          <w:rFonts w:ascii="Calibri" w:hAnsi="Calibri" w:cs="Calibri"/>
          <w:lang w:val="en-GB"/>
        </w:rPr>
        <w:t xml:space="preserve"> G, Ellis-Grosse EJ. Serum, tissue and body fluid concentrations of tigecycline after a single 100 mg dose. J </w:t>
      </w:r>
      <w:proofErr w:type="spellStart"/>
      <w:r w:rsidRPr="002739BB">
        <w:rPr>
          <w:rFonts w:ascii="Calibri" w:hAnsi="Calibri" w:cs="Calibri"/>
          <w:lang w:val="en-GB"/>
        </w:rPr>
        <w:t>Antimicrob</w:t>
      </w:r>
      <w:proofErr w:type="spellEnd"/>
      <w:r w:rsidRPr="002739BB">
        <w:rPr>
          <w:rFonts w:ascii="Calibri" w:hAnsi="Calibri" w:cs="Calibri"/>
          <w:lang w:val="en-GB"/>
        </w:rPr>
        <w:t xml:space="preserve"> Chemother. </w:t>
      </w:r>
      <w:proofErr w:type="gramStart"/>
      <w:r w:rsidRPr="002739BB">
        <w:rPr>
          <w:rFonts w:ascii="Calibri" w:hAnsi="Calibri" w:cs="Calibri"/>
          <w:lang w:val="en-GB"/>
        </w:rPr>
        <w:t>2006;58:1221</w:t>
      </w:r>
      <w:proofErr w:type="gramEnd"/>
      <w:r w:rsidRPr="002739BB">
        <w:rPr>
          <w:rFonts w:ascii="Calibri" w:hAnsi="Calibri" w:cs="Calibri"/>
          <w:lang w:val="en-GB"/>
        </w:rPr>
        <w:t xml:space="preserve">–9. </w:t>
      </w:r>
    </w:p>
    <w:p w14:paraId="1B99DD3C" w14:textId="77777777" w:rsidR="002739BB" w:rsidRPr="002739BB" w:rsidRDefault="002739BB" w:rsidP="002739BB">
      <w:pPr>
        <w:pStyle w:val="Literaturverzeichnis"/>
        <w:rPr>
          <w:rFonts w:ascii="Calibri" w:hAnsi="Calibri" w:cs="Calibri"/>
          <w:lang w:val="en-GB"/>
        </w:rPr>
      </w:pPr>
      <w:r w:rsidRPr="002739BB">
        <w:rPr>
          <w:rFonts w:ascii="Calibri" w:hAnsi="Calibri" w:cs="Calibri"/>
          <w:lang w:val="en-GB"/>
        </w:rPr>
        <w:t xml:space="preserve">7. </w:t>
      </w:r>
      <w:proofErr w:type="spellStart"/>
      <w:r w:rsidRPr="002739BB">
        <w:rPr>
          <w:rFonts w:ascii="Calibri" w:hAnsi="Calibri" w:cs="Calibri"/>
          <w:lang w:val="en-GB"/>
        </w:rPr>
        <w:t>Bulik</w:t>
      </w:r>
      <w:proofErr w:type="spellEnd"/>
      <w:r w:rsidRPr="002739BB">
        <w:rPr>
          <w:rFonts w:ascii="Calibri" w:hAnsi="Calibri" w:cs="Calibri"/>
          <w:lang w:val="en-GB"/>
        </w:rPr>
        <w:t xml:space="preserve"> CC, </w:t>
      </w:r>
      <w:proofErr w:type="spellStart"/>
      <w:r w:rsidRPr="002739BB">
        <w:rPr>
          <w:rFonts w:ascii="Calibri" w:hAnsi="Calibri" w:cs="Calibri"/>
          <w:lang w:val="en-GB"/>
        </w:rPr>
        <w:t>Wiskirchen</w:t>
      </w:r>
      <w:proofErr w:type="spellEnd"/>
      <w:r w:rsidRPr="002739BB">
        <w:rPr>
          <w:rFonts w:ascii="Calibri" w:hAnsi="Calibri" w:cs="Calibri"/>
          <w:lang w:val="en-GB"/>
        </w:rPr>
        <w:t xml:space="preserve"> DE, Shepard A, Sutherland CA, </w:t>
      </w:r>
      <w:proofErr w:type="spellStart"/>
      <w:r w:rsidRPr="002739BB">
        <w:rPr>
          <w:rFonts w:ascii="Calibri" w:hAnsi="Calibri" w:cs="Calibri"/>
          <w:lang w:val="en-GB"/>
        </w:rPr>
        <w:t>Kuti</w:t>
      </w:r>
      <w:proofErr w:type="spellEnd"/>
      <w:r w:rsidRPr="002739BB">
        <w:rPr>
          <w:rFonts w:ascii="Calibri" w:hAnsi="Calibri" w:cs="Calibri"/>
          <w:lang w:val="en-GB"/>
        </w:rPr>
        <w:t xml:space="preserve"> JL, </w:t>
      </w:r>
      <w:proofErr w:type="spellStart"/>
      <w:r w:rsidRPr="002739BB">
        <w:rPr>
          <w:rFonts w:ascii="Calibri" w:hAnsi="Calibri" w:cs="Calibri"/>
          <w:lang w:val="en-GB"/>
        </w:rPr>
        <w:t>Nicolau</w:t>
      </w:r>
      <w:proofErr w:type="spellEnd"/>
      <w:r w:rsidRPr="002739BB">
        <w:rPr>
          <w:rFonts w:ascii="Calibri" w:hAnsi="Calibri" w:cs="Calibri"/>
          <w:lang w:val="en-GB"/>
        </w:rPr>
        <w:t xml:space="preserve"> DP. Tissue penetration and pharmacokinetics of tigecycline in diabetic patients with chronic wound infections described by using in vivo </w:t>
      </w:r>
      <w:proofErr w:type="spellStart"/>
      <w:r w:rsidRPr="002739BB">
        <w:rPr>
          <w:rFonts w:ascii="Calibri" w:hAnsi="Calibri" w:cs="Calibri"/>
          <w:lang w:val="en-GB"/>
        </w:rPr>
        <w:t>microdialysis</w:t>
      </w:r>
      <w:proofErr w:type="spellEnd"/>
      <w:r w:rsidRPr="002739BB">
        <w:rPr>
          <w:rFonts w:ascii="Calibri" w:hAnsi="Calibri" w:cs="Calibri"/>
          <w:lang w:val="en-GB"/>
        </w:rPr>
        <w:t xml:space="preserve">. </w:t>
      </w:r>
      <w:proofErr w:type="spellStart"/>
      <w:r w:rsidRPr="002739BB">
        <w:rPr>
          <w:rFonts w:ascii="Calibri" w:hAnsi="Calibri" w:cs="Calibri"/>
          <w:lang w:val="en-GB"/>
        </w:rPr>
        <w:t>Antimicrob</w:t>
      </w:r>
      <w:proofErr w:type="spellEnd"/>
      <w:r w:rsidRPr="002739BB">
        <w:rPr>
          <w:rFonts w:ascii="Calibri" w:hAnsi="Calibri" w:cs="Calibri"/>
          <w:lang w:val="en-GB"/>
        </w:rPr>
        <w:t xml:space="preserve"> Agents Chemother. </w:t>
      </w:r>
      <w:proofErr w:type="gramStart"/>
      <w:r w:rsidRPr="002739BB">
        <w:rPr>
          <w:rFonts w:ascii="Calibri" w:hAnsi="Calibri" w:cs="Calibri"/>
          <w:lang w:val="en-GB"/>
        </w:rPr>
        <w:t>2010;54:5209</w:t>
      </w:r>
      <w:proofErr w:type="gramEnd"/>
      <w:r w:rsidRPr="002739BB">
        <w:rPr>
          <w:rFonts w:ascii="Calibri" w:hAnsi="Calibri" w:cs="Calibri"/>
          <w:lang w:val="en-GB"/>
        </w:rPr>
        <w:t xml:space="preserve">–13. </w:t>
      </w:r>
    </w:p>
    <w:p w14:paraId="78C909A1" w14:textId="77777777" w:rsidR="002739BB" w:rsidRPr="002739BB" w:rsidRDefault="002739BB" w:rsidP="002739BB">
      <w:pPr>
        <w:pStyle w:val="Literaturverzeichnis"/>
        <w:rPr>
          <w:rFonts w:ascii="Calibri" w:hAnsi="Calibri" w:cs="Calibri"/>
          <w:lang w:val="en-GB"/>
        </w:rPr>
      </w:pPr>
      <w:r w:rsidRPr="002739BB">
        <w:rPr>
          <w:rFonts w:ascii="Calibri" w:hAnsi="Calibri" w:cs="Calibri"/>
          <w:lang w:val="en-GB"/>
        </w:rPr>
        <w:t xml:space="preserve">8. </w:t>
      </w:r>
      <w:proofErr w:type="spellStart"/>
      <w:r w:rsidRPr="002739BB">
        <w:rPr>
          <w:rFonts w:ascii="Calibri" w:hAnsi="Calibri" w:cs="Calibri"/>
          <w:lang w:val="en-GB"/>
        </w:rPr>
        <w:t>Grupper</w:t>
      </w:r>
      <w:proofErr w:type="spellEnd"/>
      <w:r w:rsidRPr="002739BB">
        <w:rPr>
          <w:rFonts w:ascii="Calibri" w:hAnsi="Calibri" w:cs="Calibri"/>
          <w:lang w:val="en-GB"/>
        </w:rPr>
        <w:t xml:space="preserve"> M, </w:t>
      </w:r>
      <w:proofErr w:type="spellStart"/>
      <w:r w:rsidRPr="002739BB">
        <w:rPr>
          <w:rFonts w:ascii="Calibri" w:hAnsi="Calibri" w:cs="Calibri"/>
          <w:lang w:val="en-GB"/>
        </w:rPr>
        <w:t>Nicolau</w:t>
      </w:r>
      <w:proofErr w:type="spellEnd"/>
      <w:r w:rsidRPr="002739BB">
        <w:rPr>
          <w:rFonts w:ascii="Calibri" w:hAnsi="Calibri" w:cs="Calibri"/>
          <w:lang w:val="en-GB"/>
        </w:rPr>
        <w:t xml:space="preserve"> DP. Obesity and skin and soft tissue infections: how to optimize antimicrobial usage for prevention and treatment? Current Opinion in Infectious Diseases. </w:t>
      </w:r>
      <w:proofErr w:type="gramStart"/>
      <w:r w:rsidRPr="002739BB">
        <w:rPr>
          <w:rFonts w:ascii="Calibri" w:hAnsi="Calibri" w:cs="Calibri"/>
          <w:lang w:val="en-GB"/>
        </w:rPr>
        <w:t>2017;30:180</w:t>
      </w:r>
      <w:proofErr w:type="gramEnd"/>
      <w:r w:rsidRPr="002739BB">
        <w:rPr>
          <w:rFonts w:ascii="Calibri" w:hAnsi="Calibri" w:cs="Calibri"/>
          <w:lang w:val="en-GB"/>
        </w:rPr>
        <w:t xml:space="preserve">–91. </w:t>
      </w:r>
    </w:p>
    <w:p w14:paraId="53836697" w14:textId="77777777" w:rsidR="002739BB" w:rsidRPr="002739BB" w:rsidRDefault="002739BB" w:rsidP="002739BB">
      <w:pPr>
        <w:pStyle w:val="Literaturverzeichnis"/>
        <w:rPr>
          <w:rFonts w:ascii="Calibri" w:hAnsi="Calibri" w:cs="Calibri"/>
          <w:lang w:val="en-GB"/>
        </w:rPr>
      </w:pPr>
      <w:r w:rsidRPr="002739BB">
        <w:rPr>
          <w:rFonts w:ascii="Calibri" w:hAnsi="Calibri" w:cs="Calibri"/>
          <w:lang w:val="en-GB"/>
        </w:rPr>
        <w:t xml:space="preserve">9. Pai MP. Serum and urine pharmacokinetics of tigecycline in obese class III and normal weight adults. J </w:t>
      </w:r>
      <w:proofErr w:type="spellStart"/>
      <w:r w:rsidRPr="002739BB">
        <w:rPr>
          <w:rFonts w:ascii="Calibri" w:hAnsi="Calibri" w:cs="Calibri"/>
          <w:lang w:val="en-GB"/>
        </w:rPr>
        <w:t>Antimicrob</w:t>
      </w:r>
      <w:proofErr w:type="spellEnd"/>
      <w:r w:rsidRPr="002739BB">
        <w:rPr>
          <w:rFonts w:ascii="Calibri" w:hAnsi="Calibri" w:cs="Calibri"/>
          <w:lang w:val="en-GB"/>
        </w:rPr>
        <w:t xml:space="preserve"> Chemother. </w:t>
      </w:r>
      <w:proofErr w:type="gramStart"/>
      <w:r w:rsidRPr="002739BB">
        <w:rPr>
          <w:rFonts w:ascii="Calibri" w:hAnsi="Calibri" w:cs="Calibri"/>
          <w:lang w:val="en-GB"/>
        </w:rPr>
        <w:t>2014;69:190</w:t>
      </w:r>
      <w:proofErr w:type="gramEnd"/>
      <w:r w:rsidRPr="002739BB">
        <w:rPr>
          <w:rFonts w:ascii="Calibri" w:hAnsi="Calibri" w:cs="Calibri"/>
          <w:lang w:val="en-GB"/>
        </w:rPr>
        <w:t xml:space="preserve">–9. </w:t>
      </w:r>
    </w:p>
    <w:p w14:paraId="7303877E" w14:textId="77777777" w:rsidR="002739BB" w:rsidRPr="002739BB" w:rsidRDefault="002739BB" w:rsidP="002739BB">
      <w:pPr>
        <w:pStyle w:val="Literaturverzeichnis"/>
        <w:rPr>
          <w:rFonts w:ascii="Calibri" w:hAnsi="Calibri" w:cs="Calibri"/>
        </w:rPr>
      </w:pPr>
      <w:r w:rsidRPr="002739BB">
        <w:rPr>
          <w:rFonts w:ascii="Calibri" w:hAnsi="Calibri" w:cs="Calibri"/>
          <w:lang w:val="en-GB"/>
        </w:rPr>
        <w:t xml:space="preserve">10. Ibrahim MM, </w:t>
      </w:r>
      <w:proofErr w:type="spellStart"/>
      <w:r w:rsidRPr="002739BB">
        <w:rPr>
          <w:rFonts w:ascii="Calibri" w:hAnsi="Calibri" w:cs="Calibri"/>
          <w:lang w:val="en-GB"/>
        </w:rPr>
        <w:t>Abuelmatty</w:t>
      </w:r>
      <w:proofErr w:type="spellEnd"/>
      <w:r w:rsidRPr="002739BB">
        <w:rPr>
          <w:rFonts w:ascii="Calibri" w:hAnsi="Calibri" w:cs="Calibri"/>
          <w:lang w:val="en-GB"/>
        </w:rPr>
        <w:t xml:space="preserve"> AM, Mohamed GH, Nasr MA, Hussein AK, </w:t>
      </w:r>
      <w:proofErr w:type="spellStart"/>
      <w:r w:rsidRPr="002739BB">
        <w:rPr>
          <w:rFonts w:ascii="Calibri" w:hAnsi="Calibri" w:cs="Calibri"/>
          <w:lang w:val="en-GB"/>
        </w:rPr>
        <w:t>Ebaed</w:t>
      </w:r>
      <w:proofErr w:type="spellEnd"/>
      <w:r w:rsidRPr="002739BB">
        <w:rPr>
          <w:rFonts w:ascii="Calibri" w:hAnsi="Calibri" w:cs="Calibri"/>
          <w:lang w:val="en-GB"/>
        </w:rPr>
        <w:t xml:space="preserve"> MED, et al. Best tigecycline dosing for treatment of infections caused by multidrug-resistant pathogens in critically ill patients with different body weights. </w:t>
      </w:r>
      <w:r w:rsidRPr="002739BB">
        <w:rPr>
          <w:rFonts w:ascii="Calibri" w:hAnsi="Calibri" w:cs="Calibri"/>
        </w:rPr>
        <w:t xml:space="preserve">Drug Des </w:t>
      </w:r>
      <w:proofErr w:type="spellStart"/>
      <w:r w:rsidRPr="002739BB">
        <w:rPr>
          <w:rFonts w:ascii="Calibri" w:hAnsi="Calibri" w:cs="Calibri"/>
        </w:rPr>
        <w:t>Devel</w:t>
      </w:r>
      <w:proofErr w:type="spellEnd"/>
      <w:r w:rsidRPr="002739BB">
        <w:rPr>
          <w:rFonts w:ascii="Calibri" w:hAnsi="Calibri" w:cs="Calibri"/>
        </w:rPr>
        <w:t xml:space="preserve"> </w:t>
      </w:r>
      <w:proofErr w:type="spellStart"/>
      <w:r w:rsidRPr="002739BB">
        <w:rPr>
          <w:rFonts w:ascii="Calibri" w:hAnsi="Calibri" w:cs="Calibri"/>
        </w:rPr>
        <w:t>Ther</w:t>
      </w:r>
      <w:proofErr w:type="spellEnd"/>
      <w:r w:rsidRPr="002739BB">
        <w:rPr>
          <w:rFonts w:ascii="Calibri" w:hAnsi="Calibri" w:cs="Calibri"/>
        </w:rPr>
        <w:t xml:space="preserve">. </w:t>
      </w:r>
      <w:proofErr w:type="gramStart"/>
      <w:r w:rsidRPr="002739BB">
        <w:rPr>
          <w:rFonts w:ascii="Calibri" w:hAnsi="Calibri" w:cs="Calibri"/>
        </w:rPr>
        <w:t>2018;12:4171</w:t>
      </w:r>
      <w:proofErr w:type="gramEnd"/>
      <w:r w:rsidRPr="002739BB">
        <w:rPr>
          <w:rFonts w:ascii="Calibri" w:hAnsi="Calibri" w:cs="Calibri"/>
        </w:rPr>
        <w:t xml:space="preserve">–9. </w:t>
      </w:r>
    </w:p>
    <w:p w14:paraId="42AE018E" w14:textId="6971E867" w:rsidR="001A13AD" w:rsidRPr="00F574E7" w:rsidRDefault="001A13AD" w:rsidP="006915C9">
      <w:pPr>
        <w:spacing w:after="0" w:line="276" w:lineRule="auto"/>
        <w:rPr>
          <w:rFonts w:cstheme="majorHAnsi"/>
          <w:b/>
          <w:bCs/>
          <w:szCs w:val="22"/>
          <w:lang w:val="en-US"/>
        </w:rPr>
      </w:pPr>
      <w:r w:rsidRPr="00F574E7">
        <w:rPr>
          <w:rFonts w:cstheme="majorHAnsi"/>
          <w:b/>
          <w:bCs/>
          <w:szCs w:val="22"/>
          <w:lang w:val="en-US"/>
        </w:rPr>
        <w:fldChar w:fldCharType="end"/>
      </w:r>
    </w:p>
    <w:sectPr w:rsidR="001A13AD" w:rsidRPr="00F574E7" w:rsidSect="00BD0388">
      <w:footerReference w:type="default" r:id="rId8"/>
      <w:pgSz w:w="11901" w:h="16834"/>
      <w:pgMar w:top="1134" w:right="851" w:bottom="1134" w:left="1134" w:header="720" w:footer="720" w:gutter="0"/>
      <w:lnNumType w:countBy="1" w:restart="continuous"/>
      <w:cols w:space="72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79BEA8" w16cex:dateUtc="2022-07-13T19:59:00Z"/>
  <w16cex:commentExtensible w16cex:durableId="2679C110" w16cex:dateUtc="2022-07-13T20:09:00Z"/>
  <w16cex:commentExtensible w16cex:durableId="2679C152" w16cex:dateUtc="2022-07-13T20:10:00Z"/>
  <w16cex:commentExtensible w16cex:durableId="2679C1A6" w16cex:dateUtc="2022-07-13T20:11:00Z"/>
  <w16cex:commentExtensible w16cex:durableId="2679C90E" w16cex:dateUtc="2022-07-13T20:43:00Z"/>
  <w16cex:commentExtensible w16cex:durableId="2679CA00" w16cex:dateUtc="2022-07-13T20:47:00Z"/>
  <w16cex:commentExtensible w16cex:durableId="26785C4C" w16cex:dateUtc="2022-07-12T18:47:00Z"/>
  <w16cex:commentExtensible w16cex:durableId="2679CAF6" w16cex:dateUtc="2022-07-13T20:51:00Z"/>
  <w16cex:commentExtensible w16cex:durableId="2679CB32" w16cex:dateUtc="2022-07-13T20:52:00Z"/>
  <w16cex:commentExtensible w16cex:durableId="2679CC1D" w16cex:dateUtc="2022-07-13T20:56:00Z"/>
  <w16cex:commentExtensible w16cex:durableId="2679CC8F" w16cex:dateUtc="2022-07-13T20:58:00Z"/>
  <w16cex:commentExtensible w16cex:durableId="2679CCA9" w16cex:dateUtc="2022-07-13T20:58:00Z"/>
  <w16cex:commentExtensible w16cex:durableId="2679CE33" w16cex:dateUtc="2022-07-13T21:05:00Z"/>
  <w16cex:commentExtensible w16cex:durableId="2679D264" w16cex:dateUtc="2022-07-13T21:23:00Z"/>
  <w16cex:commentExtensible w16cex:durableId="2679D370" w16cex:dateUtc="2022-07-13T21:27:00Z"/>
  <w16cex:commentExtensible w16cex:durableId="2679D26F" w16cex:dateUtc="2022-07-13T21:23:00Z"/>
  <w16cex:commentExtensible w16cex:durableId="2679D55F" w16cex:dateUtc="2022-07-13T21:35:00Z"/>
  <w16cex:commentExtensible w16cex:durableId="267A4EB3" w16cex:dateUtc="2022-07-14T06:13:00Z"/>
  <w16cex:commentExtensible w16cex:durableId="267A4F41" w16cex:dateUtc="2022-07-14T06:1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3C04C6" w14:textId="77777777" w:rsidR="00D83B44" w:rsidRDefault="00D83B44">
      <w:r>
        <w:separator/>
      </w:r>
    </w:p>
  </w:endnote>
  <w:endnote w:type="continuationSeparator" w:id="0">
    <w:p w14:paraId="5DE37B6D" w14:textId="77777777" w:rsidR="00D83B44" w:rsidRDefault="00D83B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72DD8A" w14:textId="02832995" w:rsidR="00CA2744" w:rsidRPr="00F1353A" w:rsidRDefault="00CA2744" w:rsidP="00BD0388">
    <w:pPr>
      <w:pStyle w:val="Fuzeile"/>
      <w:tabs>
        <w:tab w:val="clear" w:pos="9071"/>
        <w:tab w:val="right" w:pos="9923"/>
      </w:tabs>
      <w:jc w:val="right"/>
      <w:rPr>
        <w:i/>
        <w:sz w:val="16"/>
        <w:szCs w:val="16"/>
        <w:lang w:val="en-US"/>
      </w:rPr>
    </w:pPr>
    <w:r w:rsidRPr="00F1353A">
      <w:rPr>
        <w:i/>
        <w:sz w:val="16"/>
        <w:szCs w:val="16"/>
        <w:lang w:val="en-US"/>
      </w:rPr>
      <w:tab/>
    </w:r>
    <w:r w:rsidRPr="004453FE">
      <w:rPr>
        <w:sz w:val="18"/>
        <w:szCs w:val="18"/>
        <w:lang w:val="en-US"/>
      </w:rPr>
      <w:t xml:space="preserve">- </w:t>
    </w:r>
    <w:r w:rsidRPr="004453FE">
      <w:rPr>
        <w:rStyle w:val="Seitenzahl"/>
        <w:sz w:val="18"/>
        <w:szCs w:val="18"/>
      </w:rPr>
      <w:fldChar w:fldCharType="begin"/>
    </w:r>
    <w:r w:rsidRPr="004453FE">
      <w:rPr>
        <w:rStyle w:val="Seitenzahl"/>
        <w:sz w:val="18"/>
        <w:szCs w:val="18"/>
        <w:lang w:val="en-US"/>
      </w:rPr>
      <w:instrText xml:space="preserve"> PAGE </w:instrText>
    </w:r>
    <w:r w:rsidRPr="004453FE">
      <w:rPr>
        <w:rStyle w:val="Seitenzahl"/>
        <w:sz w:val="18"/>
        <w:szCs w:val="18"/>
      </w:rPr>
      <w:fldChar w:fldCharType="separate"/>
    </w:r>
    <w:r w:rsidRPr="004453FE">
      <w:rPr>
        <w:rStyle w:val="Seitenzahl"/>
        <w:noProof/>
        <w:sz w:val="18"/>
        <w:szCs w:val="18"/>
        <w:lang w:val="en-US"/>
      </w:rPr>
      <w:t>5</w:t>
    </w:r>
    <w:r w:rsidRPr="004453FE">
      <w:rPr>
        <w:rStyle w:val="Seitenzahl"/>
        <w:sz w:val="18"/>
        <w:szCs w:val="18"/>
      </w:rPr>
      <w:fldChar w:fldCharType="end"/>
    </w:r>
    <w:r w:rsidRPr="004453FE">
      <w:rPr>
        <w:rStyle w:val="Seitenzahl"/>
        <w:sz w:val="18"/>
        <w:szCs w:val="18"/>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4E6716" w14:textId="77777777" w:rsidR="00D83B44" w:rsidRDefault="00D83B44">
      <w:r>
        <w:separator/>
      </w:r>
    </w:p>
  </w:footnote>
  <w:footnote w:type="continuationSeparator" w:id="0">
    <w:p w14:paraId="54A03057" w14:textId="77777777" w:rsidR="00D83B44" w:rsidRDefault="00D83B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B"/>
    <w:multiLevelType w:val="multilevel"/>
    <w:tmpl w:val="073845C4"/>
    <w:lvl w:ilvl="0">
      <w:start w:val="1"/>
      <w:numFmt w:val="decimal"/>
      <w:pStyle w:val="berschrift1"/>
      <w:lvlText w:val="%1"/>
      <w:legacy w:legacy="1" w:legacySpace="510" w:legacyIndent="0"/>
      <w:lvlJc w:val="left"/>
    </w:lvl>
    <w:lvl w:ilvl="1">
      <w:start w:val="1"/>
      <w:numFmt w:val="decimal"/>
      <w:pStyle w:val="berschrift2"/>
      <w:lvlText w:val="%1.%2"/>
      <w:legacy w:legacy="1" w:legacySpace="340" w:legacyIndent="0"/>
      <w:lvlJc w:val="left"/>
    </w:lvl>
    <w:lvl w:ilvl="2">
      <w:start w:val="1"/>
      <w:numFmt w:val="decimal"/>
      <w:pStyle w:val="berschrift3"/>
      <w:lvlText w:val="%1.%2.%3"/>
      <w:legacy w:legacy="1" w:legacySpace="170" w:legacyIndent="0"/>
      <w:lvlJc w:val="left"/>
    </w:lvl>
    <w:lvl w:ilvl="3">
      <w:start w:val="1"/>
      <w:numFmt w:val="decimal"/>
      <w:pStyle w:val="berschrift4"/>
      <w:lvlText w:val="%1.%2.%3.%4"/>
      <w:legacy w:legacy="1" w:legacySpace="144" w:legacyIndent="0"/>
      <w:lvlJc w:val="left"/>
    </w:lvl>
    <w:lvl w:ilvl="4">
      <w:start w:val="1"/>
      <w:numFmt w:val="decimal"/>
      <w:pStyle w:val="berschrift5"/>
      <w:lvlText w:val="%1.%2.%3.%4.%5"/>
      <w:legacy w:legacy="1" w:legacySpace="144" w:legacyIndent="0"/>
      <w:lvlJc w:val="left"/>
    </w:lvl>
    <w:lvl w:ilvl="5">
      <w:start w:val="1"/>
      <w:numFmt w:val="decimal"/>
      <w:pStyle w:val="berschrift6"/>
      <w:lvlText w:val="%1.%2.%3.%4.%5.%6"/>
      <w:legacy w:legacy="1" w:legacySpace="144" w:legacyIndent="0"/>
      <w:lvlJc w:val="left"/>
    </w:lvl>
    <w:lvl w:ilvl="6">
      <w:start w:val="1"/>
      <w:numFmt w:val="decimal"/>
      <w:pStyle w:val="berschrift7"/>
      <w:lvlText w:val="%1.%2.%3.%4.%5.%6.%7"/>
      <w:legacy w:legacy="1" w:legacySpace="144" w:legacyIndent="0"/>
      <w:lvlJc w:val="left"/>
    </w:lvl>
    <w:lvl w:ilvl="7">
      <w:start w:val="1"/>
      <w:numFmt w:val="decimal"/>
      <w:pStyle w:val="berschrift8"/>
      <w:lvlText w:val="%1.%2.%3.%4.%5.%6.%7.%8"/>
      <w:legacy w:legacy="1" w:legacySpace="144" w:legacyIndent="0"/>
      <w:lvlJc w:val="left"/>
    </w:lvl>
    <w:lvl w:ilvl="8">
      <w:start w:val="1"/>
      <w:numFmt w:val="decimal"/>
      <w:pStyle w:val="berschrift9"/>
      <w:lvlText w:val="%1.%2.%3.%4.%5.%6.%7.%8.%9"/>
      <w:legacy w:legacy="1" w:legacySpace="144" w:legacyIndent="0"/>
      <w:lvlJc w:val="left"/>
    </w:lvl>
  </w:abstractNum>
  <w:abstractNum w:abstractNumId="1" w15:restartNumberingAfterBreak="0">
    <w:nsid w:val="03F156AB"/>
    <w:multiLevelType w:val="multilevel"/>
    <w:tmpl w:val="F184DA40"/>
    <w:lvl w:ilvl="0">
      <w:start w:val="1"/>
      <w:numFmt w:val="decimal"/>
      <w:lvlText w:val="%1."/>
      <w:lvlJc w:val="righ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6825FBF"/>
    <w:multiLevelType w:val="hybridMultilevel"/>
    <w:tmpl w:val="18BAE4B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9ED5A98"/>
    <w:multiLevelType w:val="hybridMultilevel"/>
    <w:tmpl w:val="A9AE14D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1ACE0E60"/>
    <w:multiLevelType w:val="hybridMultilevel"/>
    <w:tmpl w:val="4D8EB620"/>
    <w:lvl w:ilvl="0" w:tplc="117C0A3C">
      <w:start w:val="1"/>
      <w:numFmt w:val="decimal"/>
      <w:lvlText w:val="%1."/>
      <w:lvlJc w:val="right"/>
      <w:pPr>
        <w:tabs>
          <w:tab w:val="num" w:pos="397"/>
        </w:tabs>
        <w:ind w:left="397" w:hanging="113"/>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1C0B7D36"/>
    <w:multiLevelType w:val="hybridMultilevel"/>
    <w:tmpl w:val="9EAE2B8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1DD53100"/>
    <w:multiLevelType w:val="hybridMultilevel"/>
    <w:tmpl w:val="F184DA40"/>
    <w:lvl w:ilvl="0" w:tplc="30442C4C">
      <w:start w:val="1"/>
      <w:numFmt w:val="decimal"/>
      <w:lvlText w:val="%1."/>
      <w:lvlJc w:val="right"/>
      <w:pPr>
        <w:ind w:left="36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259A5164"/>
    <w:multiLevelType w:val="hybridMultilevel"/>
    <w:tmpl w:val="580E769C"/>
    <w:lvl w:ilvl="0" w:tplc="3E08453C">
      <w:start w:val="1"/>
      <w:numFmt w:val="bullet"/>
      <w:lvlText w:val=""/>
      <w:lvlJc w:val="left"/>
      <w:pPr>
        <w:tabs>
          <w:tab w:val="num" w:pos="284"/>
        </w:tabs>
        <w:ind w:left="284" w:hanging="284"/>
      </w:pPr>
      <w:rPr>
        <w:rFonts w:ascii="Symbol" w:hAnsi="Symbol" w:hint="default"/>
        <w:b w:val="0"/>
        <w:i w:val="0"/>
        <w:color w:val="auto"/>
        <w:sz w:val="20"/>
        <w:szCs w:val="20"/>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65259C"/>
    <w:multiLevelType w:val="hybridMultilevel"/>
    <w:tmpl w:val="435ECCF4"/>
    <w:lvl w:ilvl="0" w:tplc="397CA8C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AFB1F8E"/>
    <w:multiLevelType w:val="singleLevel"/>
    <w:tmpl w:val="DF8C7F86"/>
    <w:lvl w:ilvl="0">
      <w:start w:val="1"/>
      <w:numFmt w:val="decimal"/>
      <w:lvlText w:val="%1."/>
      <w:legacy w:legacy="1" w:legacySpace="0" w:legacyIndent="283"/>
      <w:lvlJc w:val="left"/>
      <w:pPr>
        <w:ind w:left="283" w:hanging="283"/>
      </w:pPr>
    </w:lvl>
  </w:abstractNum>
  <w:abstractNum w:abstractNumId="10" w15:restartNumberingAfterBreak="0">
    <w:nsid w:val="2C933CD8"/>
    <w:multiLevelType w:val="multilevel"/>
    <w:tmpl w:val="B8B48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52642D0"/>
    <w:multiLevelType w:val="singleLevel"/>
    <w:tmpl w:val="DF8C7F86"/>
    <w:lvl w:ilvl="0">
      <w:start w:val="1"/>
      <w:numFmt w:val="decimal"/>
      <w:lvlText w:val="%1."/>
      <w:legacy w:legacy="1" w:legacySpace="0" w:legacyIndent="283"/>
      <w:lvlJc w:val="left"/>
      <w:pPr>
        <w:ind w:left="283" w:hanging="283"/>
      </w:pPr>
    </w:lvl>
  </w:abstractNum>
  <w:abstractNum w:abstractNumId="12" w15:restartNumberingAfterBreak="0">
    <w:nsid w:val="3A423346"/>
    <w:multiLevelType w:val="hybridMultilevel"/>
    <w:tmpl w:val="8056D9E0"/>
    <w:lvl w:ilvl="0" w:tplc="397CA8C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3E8B128B"/>
    <w:multiLevelType w:val="hybridMultilevel"/>
    <w:tmpl w:val="3AAA005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420028E0"/>
    <w:multiLevelType w:val="hybridMultilevel"/>
    <w:tmpl w:val="893405F6"/>
    <w:lvl w:ilvl="0" w:tplc="DF8C7F86">
      <w:start w:val="1"/>
      <w:numFmt w:val="decimal"/>
      <w:lvlText w:val="%1."/>
      <w:legacy w:legacy="1" w:legacySpace="0" w:legacyIndent="283"/>
      <w:lvlJc w:val="left"/>
      <w:pPr>
        <w:ind w:left="283" w:hanging="283"/>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5" w15:restartNumberingAfterBreak="0">
    <w:nsid w:val="46085D04"/>
    <w:multiLevelType w:val="hybridMultilevel"/>
    <w:tmpl w:val="5A1A2D7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4A5F75C6"/>
    <w:multiLevelType w:val="hybridMultilevel"/>
    <w:tmpl w:val="D7A8CB78"/>
    <w:lvl w:ilvl="0" w:tplc="C8C82206">
      <w:start w:val="1"/>
      <w:numFmt w:val="decimal"/>
      <w:lvlText w:val="%1."/>
      <w:lvlJc w:val="right"/>
      <w:pPr>
        <w:tabs>
          <w:tab w:val="num" w:pos="397"/>
        </w:tabs>
        <w:ind w:left="397" w:hanging="397"/>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5B267FAC"/>
    <w:multiLevelType w:val="multilevel"/>
    <w:tmpl w:val="531CE264"/>
    <w:lvl w:ilvl="0">
      <w:start w:val="1"/>
      <w:numFmt w:val="decimal"/>
      <w:lvlText w:val="%1."/>
      <w:lvlJc w:val="righ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09204B1"/>
    <w:multiLevelType w:val="hybridMultilevel"/>
    <w:tmpl w:val="531CE264"/>
    <w:lvl w:ilvl="0" w:tplc="30442C4C">
      <w:start w:val="1"/>
      <w:numFmt w:val="decimal"/>
      <w:lvlText w:val="%1."/>
      <w:lvlJc w:val="righ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774030DB"/>
    <w:multiLevelType w:val="hybridMultilevel"/>
    <w:tmpl w:val="A6A24120"/>
    <w:lvl w:ilvl="0" w:tplc="30442C4C">
      <w:start w:val="1"/>
      <w:numFmt w:val="decimal"/>
      <w:lvlText w:val="%1."/>
      <w:lvlJc w:val="right"/>
      <w:pPr>
        <w:tabs>
          <w:tab w:val="num" w:pos="397"/>
        </w:tabs>
        <w:ind w:left="397" w:hanging="109"/>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7B7763AF"/>
    <w:multiLevelType w:val="hybridMultilevel"/>
    <w:tmpl w:val="1170325E"/>
    <w:lvl w:ilvl="0" w:tplc="0407000F">
      <w:start w:val="1"/>
      <w:numFmt w:val="decimal"/>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14"/>
  </w:num>
  <w:num w:numId="4">
    <w:abstractNumId w:val="7"/>
  </w:num>
  <w:num w:numId="5">
    <w:abstractNumId w:val="11"/>
  </w:num>
  <w:num w:numId="6">
    <w:abstractNumId w:val="8"/>
  </w:num>
  <w:num w:numId="7">
    <w:abstractNumId w:val="19"/>
  </w:num>
  <w:num w:numId="8">
    <w:abstractNumId w:val="18"/>
  </w:num>
  <w:num w:numId="9">
    <w:abstractNumId w:val="17"/>
  </w:num>
  <w:num w:numId="10">
    <w:abstractNumId w:val="16"/>
  </w:num>
  <w:num w:numId="11">
    <w:abstractNumId w:val="6"/>
  </w:num>
  <w:num w:numId="12">
    <w:abstractNumId w:val="1"/>
  </w:num>
  <w:num w:numId="13">
    <w:abstractNumId w:val="4"/>
  </w:num>
  <w:num w:numId="14">
    <w:abstractNumId w:val="3"/>
  </w:num>
  <w:num w:numId="15">
    <w:abstractNumId w:val="15"/>
  </w:num>
  <w:num w:numId="16">
    <w:abstractNumId w:val="12"/>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10"/>
  </w:num>
  <w:num w:numId="28">
    <w:abstractNumId w:val="2"/>
  </w:num>
  <w:num w:numId="29">
    <w:abstractNumId w:val="20"/>
  </w:num>
  <w:num w:numId="30">
    <w:abstractNumId w:val="5"/>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intFractionalCharacterWidth/>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1B3"/>
    <w:rsid w:val="00000037"/>
    <w:rsid w:val="00001071"/>
    <w:rsid w:val="00001311"/>
    <w:rsid w:val="00001AC9"/>
    <w:rsid w:val="00001EAB"/>
    <w:rsid w:val="00001F28"/>
    <w:rsid w:val="00002294"/>
    <w:rsid w:val="000024BC"/>
    <w:rsid w:val="000024F1"/>
    <w:rsid w:val="0000251C"/>
    <w:rsid w:val="00003949"/>
    <w:rsid w:val="00004ABF"/>
    <w:rsid w:val="00004F4C"/>
    <w:rsid w:val="00004FD6"/>
    <w:rsid w:val="0000528C"/>
    <w:rsid w:val="00005F32"/>
    <w:rsid w:val="00006085"/>
    <w:rsid w:val="0000628D"/>
    <w:rsid w:val="0000635E"/>
    <w:rsid w:val="0000666F"/>
    <w:rsid w:val="00006C89"/>
    <w:rsid w:val="00006FD8"/>
    <w:rsid w:val="00007362"/>
    <w:rsid w:val="00007499"/>
    <w:rsid w:val="00007B50"/>
    <w:rsid w:val="000101EB"/>
    <w:rsid w:val="00010AC4"/>
    <w:rsid w:val="000129B7"/>
    <w:rsid w:val="00012DDE"/>
    <w:rsid w:val="00012F44"/>
    <w:rsid w:val="00014634"/>
    <w:rsid w:val="00014AE2"/>
    <w:rsid w:val="00015AF3"/>
    <w:rsid w:val="00016C85"/>
    <w:rsid w:val="00016F66"/>
    <w:rsid w:val="000176D3"/>
    <w:rsid w:val="0001794F"/>
    <w:rsid w:val="00017FEC"/>
    <w:rsid w:val="00020528"/>
    <w:rsid w:val="00020AD4"/>
    <w:rsid w:val="00021500"/>
    <w:rsid w:val="00021C03"/>
    <w:rsid w:val="00021C5D"/>
    <w:rsid w:val="000229BA"/>
    <w:rsid w:val="0002309C"/>
    <w:rsid w:val="000233A6"/>
    <w:rsid w:val="0002347A"/>
    <w:rsid w:val="00023F58"/>
    <w:rsid w:val="0002501A"/>
    <w:rsid w:val="00025819"/>
    <w:rsid w:val="00026605"/>
    <w:rsid w:val="00026AF3"/>
    <w:rsid w:val="00026B1E"/>
    <w:rsid w:val="000272BE"/>
    <w:rsid w:val="000276C9"/>
    <w:rsid w:val="000276F9"/>
    <w:rsid w:val="00030C92"/>
    <w:rsid w:val="0003149F"/>
    <w:rsid w:val="00031EB2"/>
    <w:rsid w:val="00032090"/>
    <w:rsid w:val="000320B7"/>
    <w:rsid w:val="000320E9"/>
    <w:rsid w:val="00032288"/>
    <w:rsid w:val="000330DB"/>
    <w:rsid w:val="000340E8"/>
    <w:rsid w:val="00036D60"/>
    <w:rsid w:val="00037A39"/>
    <w:rsid w:val="00037D9E"/>
    <w:rsid w:val="00040107"/>
    <w:rsid w:val="00040F67"/>
    <w:rsid w:val="00040FEC"/>
    <w:rsid w:val="0004124A"/>
    <w:rsid w:val="000414CD"/>
    <w:rsid w:val="000418B7"/>
    <w:rsid w:val="0004244F"/>
    <w:rsid w:val="00042EE2"/>
    <w:rsid w:val="00042F5F"/>
    <w:rsid w:val="00043A88"/>
    <w:rsid w:val="0004408F"/>
    <w:rsid w:val="00044C98"/>
    <w:rsid w:val="00044F1B"/>
    <w:rsid w:val="00045A67"/>
    <w:rsid w:val="00045C00"/>
    <w:rsid w:val="000469D2"/>
    <w:rsid w:val="00046C94"/>
    <w:rsid w:val="00047CD9"/>
    <w:rsid w:val="00047DE1"/>
    <w:rsid w:val="00047EE1"/>
    <w:rsid w:val="0005010F"/>
    <w:rsid w:val="00050842"/>
    <w:rsid w:val="00053D31"/>
    <w:rsid w:val="0005562A"/>
    <w:rsid w:val="00055B1A"/>
    <w:rsid w:val="00056368"/>
    <w:rsid w:val="00056C0B"/>
    <w:rsid w:val="0005792E"/>
    <w:rsid w:val="00057CC2"/>
    <w:rsid w:val="000603C1"/>
    <w:rsid w:val="0006126E"/>
    <w:rsid w:val="00061400"/>
    <w:rsid w:val="00061BF5"/>
    <w:rsid w:val="0006210B"/>
    <w:rsid w:val="00062920"/>
    <w:rsid w:val="00062D9F"/>
    <w:rsid w:val="00062EAB"/>
    <w:rsid w:val="0006406E"/>
    <w:rsid w:val="00064D9F"/>
    <w:rsid w:val="00064F43"/>
    <w:rsid w:val="00065461"/>
    <w:rsid w:val="00066502"/>
    <w:rsid w:val="000674AF"/>
    <w:rsid w:val="000675A8"/>
    <w:rsid w:val="00067C1E"/>
    <w:rsid w:val="00070820"/>
    <w:rsid w:val="0007157C"/>
    <w:rsid w:val="000732A2"/>
    <w:rsid w:val="00074667"/>
    <w:rsid w:val="00074D1F"/>
    <w:rsid w:val="00074D9A"/>
    <w:rsid w:val="00075CE5"/>
    <w:rsid w:val="000779A1"/>
    <w:rsid w:val="0008092C"/>
    <w:rsid w:val="00080B1E"/>
    <w:rsid w:val="00080F97"/>
    <w:rsid w:val="00081972"/>
    <w:rsid w:val="00081BBC"/>
    <w:rsid w:val="00081FA6"/>
    <w:rsid w:val="00082075"/>
    <w:rsid w:val="00082B44"/>
    <w:rsid w:val="0008306D"/>
    <w:rsid w:val="0008315A"/>
    <w:rsid w:val="00083252"/>
    <w:rsid w:val="00084CB8"/>
    <w:rsid w:val="00084D0E"/>
    <w:rsid w:val="00086BD6"/>
    <w:rsid w:val="00086EC4"/>
    <w:rsid w:val="00087DD7"/>
    <w:rsid w:val="00091E4A"/>
    <w:rsid w:val="000920A1"/>
    <w:rsid w:val="000930FD"/>
    <w:rsid w:val="00093303"/>
    <w:rsid w:val="00093C48"/>
    <w:rsid w:val="00094901"/>
    <w:rsid w:val="00094E41"/>
    <w:rsid w:val="00095048"/>
    <w:rsid w:val="00095373"/>
    <w:rsid w:val="00095B80"/>
    <w:rsid w:val="00096D72"/>
    <w:rsid w:val="000970EC"/>
    <w:rsid w:val="00097566"/>
    <w:rsid w:val="00097B06"/>
    <w:rsid w:val="00097B8F"/>
    <w:rsid w:val="00097EB9"/>
    <w:rsid w:val="000A02BA"/>
    <w:rsid w:val="000A0D1C"/>
    <w:rsid w:val="000A1102"/>
    <w:rsid w:val="000A1312"/>
    <w:rsid w:val="000A1CC4"/>
    <w:rsid w:val="000A28B1"/>
    <w:rsid w:val="000A303C"/>
    <w:rsid w:val="000A38DF"/>
    <w:rsid w:val="000A3F81"/>
    <w:rsid w:val="000A4D76"/>
    <w:rsid w:val="000A5306"/>
    <w:rsid w:val="000A5373"/>
    <w:rsid w:val="000A569A"/>
    <w:rsid w:val="000B1FBA"/>
    <w:rsid w:val="000B2477"/>
    <w:rsid w:val="000B2C1B"/>
    <w:rsid w:val="000B30D5"/>
    <w:rsid w:val="000B3333"/>
    <w:rsid w:val="000B3941"/>
    <w:rsid w:val="000B44CE"/>
    <w:rsid w:val="000B4779"/>
    <w:rsid w:val="000B5F3F"/>
    <w:rsid w:val="000B7EE8"/>
    <w:rsid w:val="000C02E7"/>
    <w:rsid w:val="000C0C2D"/>
    <w:rsid w:val="000C0CDB"/>
    <w:rsid w:val="000C0ECC"/>
    <w:rsid w:val="000C23E4"/>
    <w:rsid w:val="000C327D"/>
    <w:rsid w:val="000C3D83"/>
    <w:rsid w:val="000C3E41"/>
    <w:rsid w:val="000C405C"/>
    <w:rsid w:val="000C413D"/>
    <w:rsid w:val="000C44C6"/>
    <w:rsid w:val="000C53C2"/>
    <w:rsid w:val="000C5D86"/>
    <w:rsid w:val="000C6F94"/>
    <w:rsid w:val="000C73E3"/>
    <w:rsid w:val="000C75EE"/>
    <w:rsid w:val="000C7DC4"/>
    <w:rsid w:val="000D1E26"/>
    <w:rsid w:val="000D2817"/>
    <w:rsid w:val="000D2E77"/>
    <w:rsid w:val="000D2FFF"/>
    <w:rsid w:val="000D3325"/>
    <w:rsid w:val="000D37D9"/>
    <w:rsid w:val="000D46EF"/>
    <w:rsid w:val="000D4A8E"/>
    <w:rsid w:val="000D5010"/>
    <w:rsid w:val="000D546C"/>
    <w:rsid w:val="000D54AC"/>
    <w:rsid w:val="000D560F"/>
    <w:rsid w:val="000D62B8"/>
    <w:rsid w:val="000D77C2"/>
    <w:rsid w:val="000E0343"/>
    <w:rsid w:val="000E066A"/>
    <w:rsid w:val="000E15CF"/>
    <w:rsid w:val="000E1F0A"/>
    <w:rsid w:val="000E307F"/>
    <w:rsid w:val="000E38F8"/>
    <w:rsid w:val="000E3974"/>
    <w:rsid w:val="000E4A59"/>
    <w:rsid w:val="000E55CA"/>
    <w:rsid w:val="000E58EC"/>
    <w:rsid w:val="000E5F57"/>
    <w:rsid w:val="000E61E4"/>
    <w:rsid w:val="000E6D50"/>
    <w:rsid w:val="000F07CC"/>
    <w:rsid w:val="000F090D"/>
    <w:rsid w:val="000F1C42"/>
    <w:rsid w:val="000F224B"/>
    <w:rsid w:val="000F2E98"/>
    <w:rsid w:val="000F2F78"/>
    <w:rsid w:val="000F3B33"/>
    <w:rsid w:val="000F4159"/>
    <w:rsid w:val="000F43B2"/>
    <w:rsid w:val="000F454E"/>
    <w:rsid w:val="000F4C14"/>
    <w:rsid w:val="000F5E17"/>
    <w:rsid w:val="000F5E44"/>
    <w:rsid w:val="000F6235"/>
    <w:rsid w:val="000F6510"/>
    <w:rsid w:val="000F6542"/>
    <w:rsid w:val="000F7419"/>
    <w:rsid w:val="000F76C4"/>
    <w:rsid w:val="00100151"/>
    <w:rsid w:val="00100DD6"/>
    <w:rsid w:val="00100F37"/>
    <w:rsid w:val="001010E2"/>
    <w:rsid w:val="001011DE"/>
    <w:rsid w:val="001013A8"/>
    <w:rsid w:val="00102296"/>
    <w:rsid w:val="00103345"/>
    <w:rsid w:val="0010393E"/>
    <w:rsid w:val="001049D7"/>
    <w:rsid w:val="00105AA0"/>
    <w:rsid w:val="00105AAC"/>
    <w:rsid w:val="00105F0D"/>
    <w:rsid w:val="00106C73"/>
    <w:rsid w:val="00107041"/>
    <w:rsid w:val="00107706"/>
    <w:rsid w:val="00107BC3"/>
    <w:rsid w:val="00107DA8"/>
    <w:rsid w:val="001104A6"/>
    <w:rsid w:val="00111089"/>
    <w:rsid w:val="00111960"/>
    <w:rsid w:val="001135EC"/>
    <w:rsid w:val="001136BC"/>
    <w:rsid w:val="0011371F"/>
    <w:rsid w:val="00113B93"/>
    <w:rsid w:val="00114166"/>
    <w:rsid w:val="00114611"/>
    <w:rsid w:val="001149CA"/>
    <w:rsid w:val="00114F77"/>
    <w:rsid w:val="00115AC6"/>
    <w:rsid w:val="00115EF7"/>
    <w:rsid w:val="0011627B"/>
    <w:rsid w:val="00116E37"/>
    <w:rsid w:val="00117B8E"/>
    <w:rsid w:val="00117D3F"/>
    <w:rsid w:val="00120099"/>
    <w:rsid w:val="001209A4"/>
    <w:rsid w:val="00120FF6"/>
    <w:rsid w:val="00122220"/>
    <w:rsid w:val="0012286F"/>
    <w:rsid w:val="001239E4"/>
    <w:rsid w:val="00124166"/>
    <w:rsid w:val="00124210"/>
    <w:rsid w:val="001242FD"/>
    <w:rsid w:val="00124A39"/>
    <w:rsid w:val="00124C45"/>
    <w:rsid w:val="001251AA"/>
    <w:rsid w:val="001263F5"/>
    <w:rsid w:val="0012673C"/>
    <w:rsid w:val="00126A7D"/>
    <w:rsid w:val="00131099"/>
    <w:rsid w:val="001320B7"/>
    <w:rsid w:val="0013241A"/>
    <w:rsid w:val="0013257B"/>
    <w:rsid w:val="001326FD"/>
    <w:rsid w:val="00132706"/>
    <w:rsid w:val="001330B5"/>
    <w:rsid w:val="00133CAA"/>
    <w:rsid w:val="00133DE9"/>
    <w:rsid w:val="00134060"/>
    <w:rsid w:val="0013478B"/>
    <w:rsid w:val="0013507E"/>
    <w:rsid w:val="001355B4"/>
    <w:rsid w:val="00135924"/>
    <w:rsid w:val="001364AE"/>
    <w:rsid w:val="00136AF8"/>
    <w:rsid w:val="0013746B"/>
    <w:rsid w:val="00140029"/>
    <w:rsid w:val="0014070D"/>
    <w:rsid w:val="00140E1E"/>
    <w:rsid w:val="00141415"/>
    <w:rsid w:val="00141604"/>
    <w:rsid w:val="001420B0"/>
    <w:rsid w:val="0014237A"/>
    <w:rsid w:val="00142400"/>
    <w:rsid w:val="001434E3"/>
    <w:rsid w:val="00144144"/>
    <w:rsid w:val="00146144"/>
    <w:rsid w:val="00146302"/>
    <w:rsid w:val="00146725"/>
    <w:rsid w:val="001467C7"/>
    <w:rsid w:val="00146920"/>
    <w:rsid w:val="00146940"/>
    <w:rsid w:val="001469BD"/>
    <w:rsid w:val="00146E03"/>
    <w:rsid w:val="00147BF5"/>
    <w:rsid w:val="00150BDD"/>
    <w:rsid w:val="00151520"/>
    <w:rsid w:val="00152982"/>
    <w:rsid w:val="00152B54"/>
    <w:rsid w:val="00153B58"/>
    <w:rsid w:val="00153F1E"/>
    <w:rsid w:val="00154391"/>
    <w:rsid w:val="00154AAF"/>
    <w:rsid w:val="00154C35"/>
    <w:rsid w:val="001552B4"/>
    <w:rsid w:val="001558CE"/>
    <w:rsid w:val="00155B64"/>
    <w:rsid w:val="00155F39"/>
    <w:rsid w:val="00156320"/>
    <w:rsid w:val="001569B6"/>
    <w:rsid w:val="00156FF0"/>
    <w:rsid w:val="001607F3"/>
    <w:rsid w:val="00160C75"/>
    <w:rsid w:val="0016129F"/>
    <w:rsid w:val="0016136D"/>
    <w:rsid w:val="0016210F"/>
    <w:rsid w:val="00162409"/>
    <w:rsid w:val="0016386F"/>
    <w:rsid w:val="00163C2D"/>
    <w:rsid w:val="00164ABC"/>
    <w:rsid w:val="00164E1E"/>
    <w:rsid w:val="00164F31"/>
    <w:rsid w:val="00165464"/>
    <w:rsid w:val="00167277"/>
    <w:rsid w:val="001678F0"/>
    <w:rsid w:val="00167E0E"/>
    <w:rsid w:val="0017034D"/>
    <w:rsid w:val="0017326C"/>
    <w:rsid w:val="00173682"/>
    <w:rsid w:val="00174581"/>
    <w:rsid w:val="00174D00"/>
    <w:rsid w:val="00174E3C"/>
    <w:rsid w:val="001759B4"/>
    <w:rsid w:val="0017660F"/>
    <w:rsid w:val="001767AA"/>
    <w:rsid w:val="00176E5C"/>
    <w:rsid w:val="001817BC"/>
    <w:rsid w:val="00181F71"/>
    <w:rsid w:val="00182E1C"/>
    <w:rsid w:val="00182F4F"/>
    <w:rsid w:val="001834A5"/>
    <w:rsid w:val="00183720"/>
    <w:rsid w:val="00183AC1"/>
    <w:rsid w:val="00183BB1"/>
    <w:rsid w:val="00184829"/>
    <w:rsid w:val="00184CB8"/>
    <w:rsid w:val="00184DD3"/>
    <w:rsid w:val="001856D2"/>
    <w:rsid w:val="00185913"/>
    <w:rsid w:val="00185BBC"/>
    <w:rsid w:val="00187020"/>
    <w:rsid w:val="00187901"/>
    <w:rsid w:val="001901A1"/>
    <w:rsid w:val="00190526"/>
    <w:rsid w:val="0019063D"/>
    <w:rsid w:val="00190AB8"/>
    <w:rsid w:val="00191604"/>
    <w:rsid w:val="00192922"/>
    <w:rsid w:val="001931AD"/>
    <w:rsid w:val="00193210"/>
    <w:rsid w:val="00193DE5"/>
    <w:rsid w:val="00193FA7"/>
    <w:rsid w:val="00194666"/>
    <w:rsid w:val="00195A2F"/>
    <w:rsid w:val="00196179"/>
    <w:rsid w:val="001961EA"/>
    <w:rsid w:val="00196273"/>
    <w:rsid w:val="00196470"/>
    <w:rsid w:val="001A0014"/>
    <w:rsid w:val="001A13AD"/>
    <w:rsid w:val="001A15C4"/>
    <w:rsid w:val="001A20F6"/>
    <w:rsid w:val="001A24A6"/>
    <w:rsid w:val="001A251C"/>
    <w:rsid w:val="001A2F70"/>
    <w:rsid w:val="001A2F78"/>
    <w:rsid w:val="001A3E5D"/>
    <w:rsid w:val="001A532C"/>
    <w:rsid w:val="001A53FC"/>
    <w:rsid w:val="001A5E23"/>
    <w:rsid w:val="001A60D9"/>
    <w:rsid w:val="001A67B0"/>
    <w:rsid w:val="001A7727"/>
    <w:rsid w:val="001B0A13"/>
    <w:rsid w:val="001B0F3C"/>
    <w:rsid w:val="001B17FF"/>
    <w:rsid w:val="001B28A4"/>
    <w:rsid w:val="001B5463"/>
    <w:rsid w:val="001B6457"/>
    <w:rsid w:val="001B67DC"/>
    <w:rsid w:val="001B69FD"/>
    <w:rsid w:val="001B6A7A"/>
    <w:rsid w:val="001B7A96"/>
    <w:rsid w:val="001B7C2C"/>
    <w:rsid w:val="001B7D2B"/>
    <w:rsid w:val="001C076E"/>
    <w:rsid w:val="001C16C7"/>
    <w:rsid w:val="001C2113"/>
    <w:rsid w:val="001C31EA"/>
    <w:rsid w:val="001C38C5"/>
    <w:rsid w:val="001C3F0F"/>
    <w:rsid w:val="001C4517"/>
    <w:rsid w:val="001C570F"/>
    <w:rsid w:val="001C583B"/>
    <w:rsid w:val="001C58AC"/>
    <w:rsid w:val="001C610B"/>
    <w:rsid w:val="001C6134"/>
    <w:rsid w:val="001C660F"/>
    <w:rsid w:val="001C73C1"/>
    <w:rsid w:val="001C7C2E"/>
    <w:rsid w:val="001D06F8"/>
    <w:rsid w:val="001D0B6D"/>
    <w:rsid w:val="001D0D57"/>
    <w:rsid w:val="001D18D6"/>
    <w:rsid w:val="001D1B15"/>
    <w:rsid w:val="001D1DD6"/>
    <w:rsid w:val="001D2456"/>
    <w:rsid w:val="001D2550"/>
    <w:rsid w:val="001D288E"/>
    <w:rsid w:val="001D2DC5"/>
    <w:rsid w:val="001D2E26"/>
    <w:rsid w:val="001D35BC"/>
    <w:rsid w:val="001D396C"/>
    <w:rsid w:val="001D3E98"/>
    <w:rsid w:val="001D3FAC"/>
    <w:rsid w:val="001D431E"/>
    <w:rsid w:val="001D7079"/>
    <w:rsid w:val="001D70D3"/>
    <w:rsid w:val="001D7180"/>
    <w:rsid w:val="001D7215"/>
    <w:rsid w:val="001D7AFD"/>
    <w:rsid w:val="001D7BD1"/>
    <w:rsid w:val="001D7BFF"/>
    <w:rsid w:val="001D7D20"/>
    <w:rsid w:val="001E01E1"/>
    <w:rsid w:val="001E02A1"/>
    <w:rsid w:val="001E1044"/>
    <w:rsid w:val="001E1347"/>
    <w:rsid w:val="001E13CD"/>
    <w:rsid w:val="001E147F"/>
    <w:rsid w:val="001E23C4"/>
    <w:rsid w:val="001E2417"/>
    <w:rsid w:val="001E273E"/>
    <w:rsid w:val="001E3D0E"/>
    <w:rsid w:val="001E49AD"/>
    <w:rsid w:val="001E51D6"/>
    <w:rsid w:val="001E5263"/>
    <w:rsid w:val="001E6660"/>
    <w:rsid w:val="001E6D37"/>
    <w:rsid w:val="001E6DF0"/>
    <w:rsid w:val="001E6FC0"/>
    <w:rsid w:val="001E7B5A"/>
    <w:rsid w:val="001E7C5C"/>
    <w:rsid w:val="001F02BE"/>
    <w:rsid w:val="001F1390"/>
    <w:rsid w:val="001F186F"/>
    <w:rsid w:val="001F1B33"/>
    <w:rsid w:val="001F2345"/>
    <w:rsid w:val="001F24F5"/>
    <w:rsid w:val="001F2732"/>
    <w:rsid w:val="001F3198"/>
    <w:rsid w:val="001F31F6"/>
    <w:rsid w:val="001F345D"/>
    <w:rsid w:val="001F414A"/>
    <w:rsid w:val="001F5A49"/>
    <w:rsid w:val="001F669C"/>
    <w:rsid w:val="001F6D2C"/>
    <w:rsid w:val="002000E3"/>
    <w:rsid w:val="002003C7"/>
    <w:rsid w:val="002006A1"/>
    <w:rsid w:val="002008BA"/>
    <w:rsid w:val="00201701"/>
    <w:rsid w:val="00202C80"/>
    <w:rsid w:val="0020537F"/>
    <w:rsid w:val="00205507"/>
    <w:rsid w:val="002062B7"/>
    <w:rsid w:val="0020649F"/>
    <w:rsid w:val="00207B05"/>
    <w:rsid w:val="0021114A"/>
    <w:rsid w:val="0021163D"/>
    <w:rsid w:val="00211FE8"/>
    <w:rsid w:val="00212368"/>
    <w:rsid w:val="002123CB"/>
    <w:rsid w:val="00212ACC"/>
    <w:rsid w:val="00213D7E"/>
    <w:rsid w:val="00213E90"/>
    <w:rsid w:val="0021401A"/>
    <w:rsid w:val="00214AB8"/>
    <w:rsid w:val="00215410"/>
    <w:rsid w:val="002160DB"/>
    <w:rsid w:val="002163C5"/>
    <w:rsid w:val="00217262"/>
    <w:rsid w:val="00217594"/>
    <w:rsid w:val="00217701"/>
    <w:rsid w:val="002202D2"/>
    <w:rsid w:val="00220625"/>
    <w:rsid w:val="00220B56"/>
    <w:rsid w:val="00220D56"/>
    <w:rsid w:val="00221194"/>
    <w:rsid w:val="00221640"/>
    <w:rsid w:val="00221BCB"/>
    <w:rsid w:val="00222AAB"/>
    <w:rsid w:val="00222B32"/>
    <w:rsid w:val="00222C66"/>
    <w:rsid w:val="002234E9"/>
    <w:rsid w:val="002235C9"/>
    <w:rsid w:val="00223C62"/>
    <w:rsid w:val="00226356"/>
    <w:rsid w:val="00226885"/>
    <w:rsid w:val="00226FE3"/>
    <w:rsid w:val="00227C40"/>
    <w:rsid w:val="00227FA2"/>
    <w:rsid w:val="00227FEB"/>
    <w:rsid w:val="00230323"/>
    <w:rsid w:val="0023130D"/>
    <w:rsid w:val="00231C58"/>
    <w:rsid w:val="00231DC3"/>
    <w:rsid w:val="002322FF"/>
    <w:rsid w:val="002323D1"/>
    <w:rsid w:val="00232C31"/>
    <w:rsid w:val="00232ED2"/>
    <w:rsid w:val="00233332"/>
    <w:rsid w:val="00233404"/>
    <w:rsid w:val="002338CB"/>
    <w:rsid w:val="00234C14"/>
    <w:rsid w:val="00234F27"/>
    <w:rsid w:val="00235558"/>
    <w:rsid w:val="00235F6B"/>
    <w:rsid w:val="00236190"/>
    <w:rsid w:val="00236D5C"/>
    <w:rsid w:val="00237482"/>
    <w:rsid w:val="00241B8B"/>
    <w:rsid w:val="002427E7"/>
    <w:rsid w:val="0024304F"/>
    <w:rsid w:val="00243318"/>
    <w:rsid w:val="002436A1"/>
    <w:rsid w:val="00243892"/>
    <w:rsid w:val="00243E1A"/>
    <w:rsid w:val="00243F99"/>
    <w:rsid w:val="002440D0"/>
    <w:rsid w:val="0024445C"/>
    <w:rsid w:val="00245687"/>
    <w:rsid w:val="0024613A"/>
    <w:rsid w:val="002461DB"/>
    <w:rsid w:val="00246C3F"/>
    <w:rsid w:val="00247632"/>
    <w:rsid w:val="0025019F"/>
    <w:rsid w:val="002501D1"/>
    <w:rsid w:val="0025054E"/>
    <w:rsid w:val="0025112D"/>
    <w:rsid w:val="00251C83"/>
    <w:rsid w:val="00252A77"/>
    <w:rsid w:val="00252E1E"/>
    <w:rsid w:val="00252F1E"/>
    <w:rsid w:val="00253DF2"/>
    <w:rsid w:val="00253EEC"/>
    <w:rsid w:val="002542EC"/>
    <w:rsid w:val="002548FF"/>
    <w:rsid w:val="00254E38"/>
    <w:rsid w:val="002557AB"/>
    <w:rsid w:val="002558CB"/>
    <w:rsid w:val="00255F9A"/>
    <w:rsid w:val="002562D2"/>
    <w:rsid w:val="002574F8"/>
    <w:rsid w:val="00257975"/>
    <w:rsid w:val="00260E0B"/>
    <w:rsid w:val="002620FD"/>
    <w:rsid w:val="00262199"/>
    <w:rsid w:val="002624E2"/>
    <w:rsid w:val="0026269F"/>
    <w:rsid w:val="00262D58"/>
    <w:rsid w:val="0026394C"/>
    <w:rsid w:val="00263C2B"/>
    <w:rsid w:val="00264059"/>
    <w:rsid w:val="002645A2"/>
    <w:rsid w:val="00264721"/>
    <w:rsid w:val="00265991"/>
    <w:rsid w:val="00265B0A"/>
    <w:rsid w:val="0026662E"/>
    <w:rsid w:val="002672CB"/>
    <w:rsid w:val="00267678"/>
    <w:rsid w:val="002677CE"/>
    <w:rsid w:val="00270146"/>
    <w:rsid w:val="00270380"/>
    <w:rsid w:val="00270683"/>
    <w:rsid w:val="00271DF0"/>
    <w:rsid w:val="00271EB3"/>
    <w:rsid w:val="00271F3B"/>
    <w:rsid w:val="00271FBD"/>
    <w:rsid w:val="00271FC3"/>
    <w:rsid w:val="0027221B"/>
    <w:rsid w:val="002723BD"/>
    <w:rsid w:val="002730A9"/>
    <w:rsid w:val="002739BB"/>
    <w:rsid w:val="0027402F"/>
    <w:rsid w:val="002743FB"/>
    <w:rsid w:val="00275C26"/>
    <w:rsid w:val="002767CA"/>
    <w:rsid w:val="00276F2A"/>
    <w:rsid w:val="00277318"/>
    <w:rsid w:val="0028077D"/>
    <w:rsid w:val="00280C79"/>
    <w:rsid w:val="00280E35"/>
    <w:rsid w:val="00281AE7"/>
    <w:rsid w:val="00282179"/>
    <w:rsid w:val="0028274C"/>
    <w:rsid w:val="0028339C"/>
    <w:rsid w:val="002838E7"/>
    <w:rsid w:val="00284028"/>
    <w:rsid w:val="002843EA"/>
    <w:rsid w:val="00284454"/>
    <w:rsid w:val="00284964"/>
    <w:rsid w:val="00285B47"/>
    <w:rsid w:val="00286B94"/>
    <w:rsid w:val="00287455"/>
    <w:rsid w:val="00287B35"/>
    <w:rsid w:val="002909FF"/>
    <w:rsid w:val="002929D0"/>
    <w:rsid w:val="00292B9E"/>
    <w:rsid w:val="00293050"/>
    <w:rsid w:val="00293931"/>
    <w:rsid w:val="002950F6"/>
    <w:rsid w:val="00295E6B"/>
    <w:rsid w:val="00296254"/>
    <w:rsid w:val="00296304"/>
    <w:rsid w:val="00296379"/>
    <w:rsid w:val="00296BFF"/>
    <w:rsid w:val="002970C8"/>
    <w:rsid w:val="002A0152"/>
    <w:rsid w:val="002A0895"/>
    <w:rsid w:val="002A0C2C"/>
    <w:rsid w:val="002A0F82"/>
    <w:rsid w:val="002A1042"/>
    <w:rsid w:val="002A1C55"/>
    <w:rsid w:val="002A239C"/>
    <w:rsid w:val="002A2E08"/>
    <w:rsid w:val="002A4800"/>
    <w:rsid w:val="002A4A2D"/>
    <w:rsid w:val="002A4DF3"/>
    <w:rsid w:val="002A6A5C"/>
    <w:rsid w:val="002A6EB8"/>
    <w:rsid w:val="002A7341"/>
    <w:rsid w:val="002A755C"/>
    <w:rsid w:val="002B0DB5"/>
    <w:rsid w:val="002B1649"/>
    <w:rsid w:val="002B1AAE"/>
    <w:rsid w:val="002B1D93"/>
    <w:rsid w:val="002B1DAB"/>
    <w:rsid w:val="002B21A3"/>
    <w:rsid w:val="002B21B5"/>
    <w:rsid w:val="002B237D"/>
    <w:rsid w:val="002B318E"/>
    <w:rsid w:val="002B3274"/>
    <w:rsid w:val="002B48A2"/>
    <w:rsid w:val="002B4EDF"/>
    <w:rsid w:val="002B560D"/>
    <w:rsid w:val="002B5750"/>
    <w:rsid w:val="002B5861"/>
    <w:rsid w:val="002B5AC2"/>
    <w:rsid w:val="002B6526"/>
    <w:rsid w:val="002B6A70"/>
    <w:rsid w:val="002B6C61"/>
    <w:rsid w:val="002B73BB"/>
    <w:rsid w:val="002B7AF4"/>
    <w:rsid w:val="002B7F3A"/>
    <w:rsid w:val="002C007D"/>
    <w:rsid w:val="002C00B7"/>
    <w:rsid w:val="002C0CEF"/>
    <w:rsid w:val="002C0D8B"/>
    <w:rsid w:val="002C0E57"/>
    <w:rsid w:val="002C15A6"/>
    <w:rsid w:val="002C290E"/>
    <w:rsid w:val="002C336B"/>
    <w:rsid w:val="002C3545"/>
    <w:rsid w:val="002C37C1"/>
    <w:rsid w:val="002C3C7B"/>
    <w:rsid w:val="002C3F0E"/>
    <w:rsid w:val="002C3F6A"/>
    <w:rsid w:val="002C477C"/>
    <w:rsid w:val="002C482A"/>
    <w:rsid w:val="002C4AD7"/>
    <w:rsid w:val="002C53C1"/>
    <w:rsid w:val="002C5D6B"/>
    <w:rsid w:val="002C5DFF"/>
    <w:rsid w:val="002C6280"/>
    <w:rsid w:val="002C7701"/>
    <w:rsid w:val="002C7837"/>
    <w:rsid w:val="002C7AEF"/>
    <w:rsid w:val="002C7BAA"/>
    <w:rsid w:val="002D2748"/>
    <w:rsid w:val="002D297A"/>
    <w:rsid w:val="002D31A0"/>
    <w:rsid w:val="002D3C0D"/>
    <w:rsid w:val="002D477A"/>
    <w:rsid w:val="002D54F7"/>
    <w:rsid w:val="002D57F7"/>
    <w:rsid w:val="002D58B6"/>
    <w:rsid w:val="002D62B7"/>
    <w:rsid w:val="002D64B8"/>
    <w:rsid w:val="002D6653"/>
    <w:rsid w:val="002D688A"/>
    <w:rsid w:val="002D722C"/>
    <w:rsid w:val="002D7370"/>
    <w:rsid w:val="002D7912"/>
    <w:rsid w:val="002D7CEA"/>
    <w:rsid w:val="002D7F22"/>
    <w:rsid w:val="002E0A99"/>
    <w:rsid w:val="002E0F39"/>
    <w:rsid w:val="002E186A"/>
    <w:rsid w:val="002E24F2"/>
    <w:rsid w:val="002E3928"/>
    <w:rsid w:val="002E403F"/>
    <w:rsid w:val="002E42F3"/>
    <w:rsid w:val="002E45B6"/>
    <w:rsid w:val="002E52C2"/>
    <w:rsid w:val="002E55BB"/>
    <w:rsid w:val="002E55E4"/>
    <w:rsid w:val="002E5742"/>
    <w:rsid w:val="002E634B"/>
    <w:rsid w:val="002E63A7"/>
    <w:rsid w:val="002E6793"/>
    <w:rsid w:val="002E67BC"/>
    <w:rsid w:val="002E68D7"/>
    <w:rsid w:val="002E6AF4"/>
    <w:rsid w:val="002E6CA1"/>
    <w:rsid w:val="002E6DA8"/>
    <w:rsid w:val="002E720F"/>
    <w:rsid w:val="002E7350"/>
    <w:rsid w:val="002E73A6"/>
    <w:rsid w:val="002E77AF"/>
    <w:rsid w:val="002E78A6"/>
    <w:rsid w:val="002E7D07"/>
    <w:rsid w:val="002F0465"/>
    <w:rsid w:val="002F1A3E"/>
    <w:rsid w:val="002F1B64"/>
    <w:rsid w:val="002F3699"/>
    <w:rsid w:val="002F3708"/>
    <w:rsid w:val="002F3CA5"/>
    <w:rsid w:val="002F3D5C"/>
    <w:rsid w:val="002F791A"/>
    <w:rsid w:val="00302102"/>
    <w:rsid w:val="00303143"/>
    <w:rsid w:val="00303A1D"/>
    <w:rsid w:val="00303E9F"/>
    <w:rsid w:val="00304825"/>
    <w:rsid w:val="00304B78"/>
    <w:rsid w:val="00304E5E"/>
    <w:rsid w:val="00305CBC"/>
    <w:rsid w:val="003061C9"/>
    <w:rsid w:val="0030634D"/>
    <w:rsid w:val="00306B5C"/>
    <w:rsid w:val="0030789F"/>
    <w:rsid w:val="0031001A"/>
    <w:rsid w:val="0031043F"/>
    <w:rsid w:val="003121DB"/>
    <w:rsid w:val="00312848"/>
    <w:rsid w:val="0031437D"/>
    <w:rsid w:val="0031461C"/>
    <w:rsid w:val="00314864"/>
    <w:rsid w:val="00314B22"/>
    <w:rsid w:val="00314D0B"/>
    <w:rsid w:val="0031533E"/>
    <w:rsid w:val="00316336"/>
    <w:rsid w:val="00317DD1"/>
    <w:rsid w:val="00317EE2"/>
    <w:rsid w:val="00320860"/>
    <w:rsid w:val="00320A49"/>
    <w:rsid w:val="00320F8D"/>
    <w:rsid w:val="003211F3"/>
    <w:rsid w:val="00321285"/>
    <w:rsid w:val="00322733"/>
    <w:rsid w:val="003227BF"/>
    <w:rsid w:val="00322C83"/>
    <w:rsid w:val="0032311F"/>
    <w:rsid w:val="0032341A"/>
    <w:rsid w:val="003238F0"/>
    <w:rsid w:val="00324343"/>
    <w:rsid w:val="0032480B"/>
    <w:rsid w:val="00324C61"/>
    <w:rsid w:val="0032509F"/>
    <w:rsid w:val="003263E0"/>
    <w:rsid w:val="00326573"/>
    <w:rsid w:val="00326A6F"/>
    <w:rsid w:val="00326D81"/>
    <w:rsid w:val="00327D02"/>
    <w:rsid w:val="0033009F"/>
    <w:rsid w:val="00330419"/>
    <w:rsid w:val="00330BFF"/>
    <w:rsid w:val="00331596"/>
    <w:rsid w:val="00331913"/>
    <w:rsid w:val="00331A09"/>
    <w:rsid w:val="00331A21"/>
    <w:rsid w:val="00331EFC"/>
    <w:rsid w:val="003328E2"/>
    <w:rsid w:val="0033361E"/>
    <w:rsid w:val="0033366E"/>
    <w:rsid w:val="00333FA8"/>
    <w:rsid w:val="00334229"/>
    <w:rsid w:val="003347C3"/>
    <w:rsid w:val="00334816"/>
    <w:rsid w:val="003355A3"/>
    <w:rsid w:val="00335D92"/>
    <w:rsid w:val="00336461"/>
    <w:rsid w:val="00336E72"/>
    <w:rsid w:val="00336EDA"/>
    <w:rsid w:val="00336FFE"/>
    <w:rsid w:val="003373BC"/>
    <w:rsid w:val="00337F5E"/>
    <w:rsid w:val="0034027E"/>
    <w:rsid w:val="003409D2"/>
    <w:rsid w:val="00341921"/>
    <w:rsid w:val="00341C7B"/>
    <w:rsid w:val="00341EFC"/>
    <w:rsid w:val="00341FDF"/>
    <w:rsid w:val="00341FEB"/>
    <w:rsid w:val="00342021"/>
    <w:rsid w:val="0034224E"/>
    <w:rsid w:val="003425F1"/>
    <w:rsid w:val="003427D4"/>
    <w:rsid w:val="003427F2"/>
    <w:rsid w:val="0034351E"/>
    <w:rsid w:val="003437EC"/>
    <w:rsid w:val="003454E3"/>
    <w:rsid w:val="00346562"/>
    <w:rsid w:val="00346CD9"/>
    <w:rsid w:val="00347B2C"/>
    <w:rsid w:val="00347D58"/>
    <w:rsid w:val="00347D5A"/>
    <w:rsid w:val="00347D67"/>
    <w:rsid w:val="00350DA9"/>
    <w:rsid w:val="00350F84"/>
    <w:rsid w:val="00351520"/>
    <w:rsid w:val="00351E9E"/>
    <w:rsid w:val="00352134"/>
    <w:rsid w:val="0035276E"/>
    <w:rsid w:val="003532F2"/>
    <w:rsid w:val="003534B5"/>
    <w:rsid w:val="0035538D"/>
    <w:rsid w:val="00355B2D"/>
    <w:rsid w:val="00356B56"/>
    <w:rsid w:val="00357BAA"/>
    <w:rsid w:val="00360375"/>
    <w:rsid w:val="00360385"/>
    <w:rsid w:val="00360E24"/>
    <w:rsid w:val="0036146D"/>
    <w:rsid w:val="003619AB"/>
    <w:rsid w:val="00362166"/>
    <w:rsid w:val="00362244"/>
    <w:rsid w:val="00363626"/>
    <w:rsid w:val="003636A3"/>
    <w:rsid w:val="00363AAF"/>
    <w:rsid w:val="00365872"/>
    <w:rsid w:val="00365BB4"/>
    <w:rsid w:val="00366467"/>
    <w:rsid w:val="003665B5"/>
    <w:rsid w:val="00366BF0"/>
    <w:rsid w:val="00367FC3"/>
    <w:rsid w:val="00370C81"/>
    <w:rsid w:val="00370F89"/>
    <w:rsid w:val="00371305"/>
    <w:rsid w:val="00371C9D"/>
    <w:rsid w:val="0037234C"/>
    <w:rsid w:val="003725E8"/>
    <w:rsid w:val="00372696"/>
    <w:rsid w:val="003729D4"/>
    <w:rsid w:val="0037359E"/>
    <w:rsid w:val="00375352"/>
    <w:rsid w:val="00375EC3"/>
    <w:rsid w:val="00376B70"/>
    <w:rsid w:val="00377876"/>
    <w:rsid w:val="0037799D"/>
    <w:rsid w:val="003800FA"/>
    <w:rsid w:val="003801FE"/>
    <w:rsid w:val="003809C8"/>
    <w:rsid w:val="00380F57"/>
    <w:rsid w:val="0038136A"/>
    <w:rsid w:val="003814F1"/>
    <w:rsid w:val="00381BCE"/>
    <w:rsid w:val="00382598"/>
    <w:rsid w:val="00382D0F"/>
    <w:rsid w:val="0038598C"/>
    <w:rsid w:val="0038652D"/>
    <w:rsid w:val="0038774F"/>
    <w:rsid w:val="0038785F"/>
    <w:rsid w:val="00387B4F"/>
    <w:rsid w:val="00387D49"/>
    <w:rsid w:val="00387E88"/>
    <w:rsid w:val="00390618"/>
    <w:rsid w:val="003906D7"/>
    <w:rsid w:val="0039134B"/>
    <w:rsid w:val="0039162F"/>
    <w:rsid w:val="003918A4"/>
    <w:rsid w:val="00391BE0"/>
    <w:rsid w:val="00392B45"/>
    <w:rsid w:val="00392FF6"/>
    <w:rsid w:val="003932CB"/>
    <w:rsid w:val="00393FAA"/>
    <w:rsid w:val="0039493B"/>
    <w:rsid w:val="00394B47"/>
    <w:rsid w:val="00395617"/>
    <w:rsid w:val="003959DD"/>
    <w:rsid w:val="00395B43"/>
    <w:rsid w:val="00395CF9"/>
    <w:rsid w:val="003962DC"/>
    <w:rsid w:val="00397100"/>
    <w:rsid w:val="00397FB9"/>
    <w:rsid w:val="003A0C9B"/>
    <w:rsid w:val="003A0D53"/>
    <w:rsid w:val="003A0EEE"/>
    <w:rsid w:val="003A16F4"/>
    <w:rsid w:val="003A23EC"/>
    <w:rsid w:val="003A280B"/>
    <w:rsid w:val="003A2BB8"/>
    <w:rsid w:val="003A496C"/>
    <w:rsid w:val="003A4C57"/>
    <w:rsid w:val="003A58B8"/>
    <w:rsid w:val="003A5D30"/>
    <w:rsid w:val="003A63A7"/>
    <w:rsid w:val="003A7013"/>
    <w:rsid w:val="003A731B"/>
    <w:rsid w:val="003A73AA"/>
    <w:rsid w:val="003A7882"/>
    <w:rsid w:val="003B08AD"/>
    <w:rsid w:val="003B0C1F"/>
    <w:rsid w:val="003B1DFC"/>
    <w:rsid w:val="003B2AB3"/>
    <w:rsid w:val="003B3101"/>
    <w:rsid w:val="003B3C9C"/>
    <w:rsid w:val="003B41CF"/>
    <w:rsid w:val="003B436D"/>
    <w:rsid w:val="003B4E61"/>
    <w:rsid w:val="003B509D"/>
    <w:rsid w:val="003B522F"/>
    <w:rsid w:val="003B5915"/>
    <w:rsid w:val="003B59F4"/>
    <w:rsid w:val="003B6495"/>
    <w:rsid w:val="003B67BD"/>
    <w:rsid w:val="003C0369"/>
    <w:rsid w:val="003C1339"/>
    <w:rsid w:val="003C1E60"/>
    <w:rsid w:val="003C2F17"/>
    <w:rsid w:val="003C3F14"/>
    <w:rsid w:val="003C40F8"/>
    <w:rsid w:val="003C4769"/>
    <w:rsid w:val="003C4A80"/>
    <w:rsid w:val="003C4A8F"/>
    <w:rsid w:val="003C50FD"/>
    <w:rsid w:val="003C5A09"/>
    <w:rsid w:val="003C71C4"/>
    <w:rsid w:val="003C74A7"/>
    <w:rsid w:val="003D0F08"/>
    <w:rsid w:val="003D215A"/>
    <w:rsid w:val="003D25D9"/>
    <w:rsid w:val="003D2A0D"/>
    <w:rsid w:val="003D3AEF"/>
    <w:rsid w:val="003D3B50"/>
    <w:rsid w:val="003D45F4"/>
    <w:rsid w:val="003D4B24"/>
    <w:rsid w:val="003D4D0D"/>
    <w:rsid w:val="003D570B"/>
    <w:rsid w:val="003D5A3E"/>
    <w:rsid w:val="003D6E7D"/>
    <w:rsid w:val="003E0598"/>
    <w:rsid w:val="003E0794"/>
    <w:rsid w:val="003E09A3"/>
    <w:rsid w:val="003E120A"/>
    <w:rsid w:val="003E1354"/>
    <w:rsid w:val="003E1CF4"/>
    <w:rsid w:val="003E200F"/>
    <w:rsid w:val="003E33A0"/>
    <w:rsid w:val="003E41D6"/>
    <w:rsid w:val="003E420F"/>
    <w:rsid w:val="003E4BD2"/>
    <w:rsid w:val="003E4D5F"/>
    <w:rsid w:val="003E6011"/>
    <w:rsid w:val="003E688F"/>
    <w:rsid w:val="003E70FB"/>
    <w:rsid w:val="003E757B"/>
    <w:rsid w:val="003E78B5"/>
    <w:rsid w:val="003F0143"/>
    <w:rsid w:val="003F0251"/>
    <w:rsid w:val="003F0350"/>
    <w:rsid w:val="003F0979"/>
    <w:rsid w:val="003F0D03"/>
    <w:rsid w:val="003F3C4A"/>
    <w:rsid w:val="003F45DC"/>
    <w:rsid w:val="003F4A97"/>
    <w:rsid w:val="003F4BAB"/>
    <w:rsid w:val="003F64CB"/>
    <w:rsid w:val="003F679B"/>
    <w:rsid w:val="003F71B1"/>
    <w:rsid w:val="003F78FA"/>
    <w:rsid w:val="0040017C"/>
    <w:rsid w:val="0040041B"/>
    <w:rsid w:val="00400D99"/>
    <w:rsid w:val="00401130"/>
    <w:rsid w:val="0040131D"/>
    <w:rsid w:val="00401939"/>
    <w:rsid w:val="004019BD"/>
    <w:rsid w:val="00401CD5"/>
    <w:rsid w:val="004029ED"/>
    <w:rsid w:val="004031B3"/>
    <w:rsid w:val="0040344F"/>
    <w:rsid w:val="00403609"/>
    <w:rsid w:val="00403649"/>
    <w:rsid w:val="00403780"/>
    <w:rsid w:val="00403CF6"/>
    <w:rsid w:val="0040425A"/>
    <w:rsid w:val="0040546E"/>
    <w:rsid w:val="004061E1"/>
    <w:rsid w:val="0040698B"/>
    <w:rsid w:val="00406DB9"/>
    <w:rsid w:val="00407FD1"/>
    <w:rsid w:val="00410EAD"/>
    <w:rsid w:val="00412E15"/>
    <w:rsid w:val="00413324"/>
    <w:rsid w:val="004136EC"/>
    <w:rsid w:val="00413E50"/>
    <w:rsid w:val="004140BA"/>
    <w:rsid w:val="0041446D"/>
    <w:rsid w:val="00414747"/>
    <w:rsid w:val="0041491D"/>
    <w:rsid w:val="00414ADD"/>
    <w:rsid w:val="00414F5B"/>
    <w:rsid w:val="00415B75"/>
    <w:rsid w:val="004163EE"/>
    <w:rsid w:val="00417597"/>
    <w:rsid w:val="00417B3D"/>
    <w:rsid w:val="004218CB"/>
    <w:rsid w:val="00421DF1"/>
    <w:rsid w:val="0042211C"/>
    <w:rsid w:val="004228DD"/>
    <w:rsid w:val="00422BBC"/>
    <w:rsid w:val="00423842"/>
    <w:rsid w:val="004239FA"/>
    <w:rsid w:val="00423F95"/>
    <w:rsid w:val="004246E8"/>
    <w:rsid w:val="004253D1"/>
    <w:rsid w:val="00425FD3"/>
    <w:rsid w:val="00426616"/>
    <w:rsid w:val="00426698"/>
    <w:rsid w:val="004271C4"/>
    <w:rsid w:val="004276D9"/>
    <w:rsid w:val="00427D56"/>
    <w:rsid w:val="00430305"/>
    <w:rsid w:val="00431117"/>
    <w:rsid w:val="00431495"/>
    <w:rsid w:val="0043183B"/>
    <w:rsid w:val="004320C6"/>
    <w:rsid w:val="004323FE"/>
    <w:rsid w:val="0043245F"/>
    <w:rsid w:val="00432C52"/>
    <w:rsid w:val="00432CB4"/>
    <w:rsid w:val="00434042"/>
    <w:rsid w:val="0043413D"/>
    <w:rsid w:val="004346E9"/>
    <w:rsid w:val="00436768"/>
    <w:rsid w:val="004367DA"/>
    <w:rsid w:val="00436B60"/>
    <w:rsid w:val="004372B2"/>
    <w:rsid w:val="004405F2"/>
    <w:rsid w:val="00440F90"/>
    <w:rsid w:val="00441852"/>
    <w:rsid w:val="004418EB"/>
    <w:rsid w:val="00442006"/>
    <w:rsid w:val="00442E0D"/>
    <w:rsid w:val="004430F3"/>
    <w:rsid w:val="004452A2"/>
    <w:rsid w:val="004453FE"/>
    <w:rsid w:val="00445A50"/>
    <w:rsid w:val="00445C8C"/>
    <w:rsid w:val="00445FBA"/>
    <w:rsid w:val="00446728"/>
    <w:rsid w:val="0044694E"/>
    <w:rsid w:val="00446C19"/>
    <w:rsid w:val="00446FCE"/>
    <w:rsid w:val="00447FC9"/>
    <w:rsid w:val="004509EC"/>
    <w:rsid w:val="00451571"/>
    <w:rsid w:val="00453CAC"/>
    <w:rsid w:val="0045418C"/>
    <w:rsid w:val="00454554"/>
    <w:rsid w:val="00455EA1"/>
    <w:rsid w:val="00456247"/>
    <w:rsid w:val="00456B86"/>
    <w:rsid w:val="00457044"/>
    <w:rsid w:val="004576FA"/>
    <w:rsid w:val="004605E4"/>
    <w:rsid w:val="00460773"/>
    <w:rsid w:val="00461B57"/>
    <w:rsid w:val="00462566"/>
    <w:rsid w:val="004643D4"/>
    <w:rsid w:val="0046472F"/>
    <w:rsid w:val="0046477F"/>
    <w:rsid w:val="00464D0E"/>
    <w:rsid w:val="00465688"/>
    <w:rsid w:val="00465A5B"/>
    <w:rsid w:val="00465F7B"/>
    <w:rsid w:val="00467951"/>
    <w:rsid w:val="00467A5D"/>
    <w:rsid w:val="00467FF6"/>
    <w:rsid w:val="0047021B"/>
    <w:rsid w:val="004704CE"/>
    <w:rsid w:val="00470792"/>
    <w:rsid w:val="00470E7D"/>
    <w:rsid w:val="004715E3"/>
    <w:rsid w:val="00471D1C"/>
    <w:rsid w:val="0047203C"/>
    <w:rsid w:val="004729CB"/>
    <w:rsid w:val="0047483F"/>
    <w:rsid w:val="004748F1"/>
    <w:rsid w:val="004750B7"/>
    <w:rsid w:val="00477025"/>
    <w:rsid w:val="00477471"/>
    <w:rsid w:val="00480F57"/>
    <w:rsid w:val="0048185F"/>
    <w:rsid w:val="004823C0"/>
    <w:rsid w:val="00482BAB"/>
    <w:rsid w:val="00483DB6"/>
    <w:rsid w:val="00485141"/>
    <w:rsid w:val="00485529"/>
    <w:rsid w:val="004855BA"/>
    <w:rsid w:val="004859E5"/>
    <w:rsid w:val="00485E72"/>
    <w:rsid w:val="00486F28"/>
    <w:rsid w:val="004870EA"/>
    <w:rsid w:val="00487175"/>
    <w:rsid w:val="0048784F"/>
    <w:rsid w:val="0049005D"/>
    <w:rsid w:val="00490421"/>
    <w:rsid w:val="00490D21"/>
    <w:rsid w:val="00490DAD"/>
    <w:rsid w:val="00490DF0"/>
    <w:rsid w:val="004918D5"/>
    <w:rsid w:val="00491DE4"/>
    <w:rsid w:val="0049258D"/>
    <w:rsid w:val="00492B61"/>
    <w:rsid w:val="00492E2C"/>
    <w:rsid w:val="00493072"/>
    <w:rsid w:val="00493BA2"/>
    <w:rsid w:val="00494538"/>
    <w:rsid w:val="00494C8B"/>
    <w:rsid w:val="00496F8A"/>
    <w:rsid w:val="004978F2"/>
    <w:rsid w:val="004A0FDC"/>
    <w:rsid w:val="004A1460"/>
    <w:rsid w:val="004A1C51"/>
    <w:rsid w:val="004A2E4E"/>
    <w:rsid w:val="004A6354"/>
    <w:rsid w:val="004A66AB"/>
    <w:rsid w:val="004A675C"/>
    <w:rsid w:val="004A6CC9"/>
    <w:rsid w:val="004A7F2C"/>
    <w:rsid w:val="004B0DFF"/>
    <w:rsid w:val="004B15F0"/>
    <w:rsid w:val="004B1768"/>
    <w:rsid w:val="004B1E32"/>
    <w:rsid w:val="004B39D7"/>
    <w:rsid w:val="004B3CBA"/>
    <w:rsid w:val="004B46CB"/>
    <w:rsid w:val="004B4C30"/>
    <w:rsid w:val="004B4FFF"/>
    <w:rsid w:val="004B54B8"/>
    <w:rsid w:val="004B6166"/>
    <w:rsid w:val="004B683C"/>
    <w:rsid w:val="004B6D0A"/>
    <w:rsid w:val="004B6EE3"/>
    <w:rsid w:val="004B6F19"/>
    <w:rsid w:val="004B75BC"/>
    <w:rsid w:val="004C0716"/>
    <w:rsid w:val="004C071F"/>
    <w:rsid w:val="004C112B"/>
    <w:rsid w:val="004C2218"/>
    <w:rsid w:val="004C2498"/>
    <w:rsid w:val="004C3030"/>
    <w:rsid w:val="004C3301"/>
    <w:rsid w:val="004C42B4"/>
    <w:rsid w:val="004C458F"/>
    <w:rsid w:val="004C4668"/>
    <w:rsid w:val="004C53A3"/>
    <w:rsid w:val="004C668E"/>
    <w:rsid w:val="004C6726"/>
    <w:rsid w:val="004C6BEB"/>
    <w:rsid w:val="004C7E43"/>
    <w:rsid w:val="004D0151"/>
    <w:rsid w:val="004D0179"/>
    <w:rsid w:val="004D08C5"/>
    <w:rsid w:val="004D1729"/>
    <w:rsid w:val="004D19D3"/>
    <w:rsid w:val="004D2BAC"/>
    <w:rsid w:val="004D2C8A"/>
    <w:rsid w:val="004D2EF6"/>
    <w:rsid w:val="004D2FA2"/>
    <w:rsid w:val="004D34F0"/>
    <w:rsid w:val="004D420F"/>
    <w:rsid w:val="004D4B72"/>
    <w:rsid w:val="004D4C54"/>
    <w:rsid w:val="004D4F99"/>
    <w:rsid w:val="004D5863"/>
    <w:rsid w:val="004D5C13"/>
    <w:rsid w:val="004D5F12"/>
    <w:rsid w:val="004D6A85"/>
    <w:rsid w:val="004D6AA5"/>
    <w:rsid w:val="004D70E1"/>
    <w:rsid w:val="004D7947"/>
    <w:rsid w:val="004D7EE0"/>
    <w:rsid w:val="004D7F07"/>
    <w:rsid w:val="004E030D"/>
    <w:rsid w:val="004E089C"/>
    <w:rsid w:val="004E0C89"/>
    <w:rsid w:val="004E0E88"/>
    <w:rsid w:val="004E0F1C"/>
    <w:rsid w:val="004E2B33"/>
    <w:rsid w:val="004E303E"/>
    <w:rsid w:val="004E332F"/>
    <w:rsid w:val="004E4EDB"/>
    <w:rsid w:val="004E5DD6"/>
    <w:rsid w:val="004E5E80"/>
    <w:rsid w:val="004E6320"/>
    <w:rsid w:val="004E6708"/>
    <w:rsid w:val="004E6B9C"/>
    <w:rsid w:val="004E7DAC"/>
    <w:rsid w:val="004E7DCE"/>
    <w:rsid w:val="004E7FE3"/>
    <w:rsid w:val="004F0684"/>
    <w:rsid w:val="004F084B"/>
    <w:rsid w:val="004F0C5F"/>
    <w:rsid w:val="004F116C"/>
    <w:rsid w:val="004F2413"/>
    <w:rsid w:val="004F2811"/>
    <w:rsid w:val="004F3167"/>
    <w:rsid w:val="004F4F0D"/>
    <w:rsid w:val="004F570E"/>
    <w:rsid w:val="004F57B6"/>
    <w:rsid w:val="004F57CC"/>
    <w:rsid w:val="004F57F2"/>
    <w:rsid w:val="004F6870"/>
    <w:rsid w:val="004F6BF7"/>
    <w:rsid w:val="004F6E6F"/>
    <w:rsid w:val="005003D3"/>
    <w:rsid w:val="00501A0E"/>
    <w:rsid w:val="00503116"/>
    <w:rsid w:val="00503558"/>
    <w:rsid w:val="00503695"/>
    <w:rsid w:val="00503781"/>
    <w:rsid w:val="005042FB"/>
    <w:rsid w:val="00504CAB"/>
    <w:rsid w:val="005057D5"/>
    <w:rsid w:val="00507A12"/>
    <w:rsid w:val="0051013F"/>
    <w:rsid w:val="00512C1D"/>
    <w:rsid w:val="00513F1A"/>
    <w:rsid w:val="00514CAD"/>
    <w:rsid w:val="005155C3"/>
    <w:rsid w:val="00515725"/>
    <w:rsid w:val="0051583C"/>
    <w:rsid w:val="00515A0C"/>
    <w:rsid w:val="00515DB3"/>
    <w:rsid w:val="00516A7C"/>
    <w:rsid w:val="00516A8A"/>
    <w:rsid w:val="005174FC"/>
    <w:rsid w:val="00517760"/>
    <w:rsid w:val="005208B4"/>
    <w:rsid w:val="005208F9"/>
    <w:rsid w:val="00520A3A"/>
    <w:rsid w:val="00520A70"/>
    <w:rsid w:val="005217A1"/>
    <w:rsid w:val="00522418"/>
    <w:rsid w:val="00522D0F"/>
    <w:rsid w:val="00522E69"/>
    <w:rsid w:val="00522FB7"/>
    <w:rsid w:val="00523CCA"/>
    <w:rsid w:val="00524004"/>
    <w:rsid w:val="00524461"/>
    <w:rsid w:val="005247FF"/>
    <w:rsid w:val="005249F5"/>
    <w:rsid w:val="00524CCA"/>
    <w:rsid w:val="00525DBD"/>
    <w:rsid w:val="00525DE1"/>
    <w:rsid w:val="00526CDE"/>
    <w:rsid w:val="00526D9F"/>
    <w:rsid w:val="00526DB0"/>
    <w:rsid w:val="0052783D"/>
    <w:rsid w:val="00530970"/>
    <w:rsid w:val="00530DC8"/>
    <w:rsid w:val="00531AC4"/>
    <w:rsid w:val="00531ADC"/>
    <w:rsid w:val="00532E12"/>
    <w:rsid w:val="00533146"/>
    <w:rsid w:val="00533B95"/>
    <w:rsid w:val="00533BC4"/>
    <w:rsid w:val="005348FF"/>
    <w:rsid w:val="00535362"/>
    <w:rsid w:val="00535587"/>
    <w:rsid w:val="00535A78"/>
    <w:rsid w:val="00536D64"/>
    <w:rsid w:val="005377F0"/>
    <w:rsid w:val="00537B52"/>
    <w:rsid w:val="0054002D"/>
    <w:rsid w:val="00541864"/>
    <w:rsid w:val="00541982"/>
    <w:rsid w:val="00541A1A"/>
    <w:rsid w:val="00542473"/>
    <w:rsid w:val="00542605"/>
    <w:rsid w:val="005427CF"/>
    <w:rsid w:val="005462DE"/>
    <w:rsid w:val="00546326"/>
    <w:rsid w:val="0054661E"/>
    <w:rsid w:val="0054686F"/>
    <w:rsid w:val="00547112"/>
    <w:rsid w:val="00547905"/>
    <w:rsid w:val="00547AF2"/>
    <w:rsid w:val="00550CAC"/>
    <w:rsid w:val="005514A1"/>
    <w:rsid w:val="0055181E"/>
    <w:rsid w:val="00551D77"/>
    <w:rsid w:val="005524BF"/>
    <w:rsid w:val="005527EB"/>
    <w:rsid w:val="00552EBF"/>
    <w:rsid w:val="0055477D"/>
    <w:rsid w:val="005552BA"/>
    <w:rsid w:val="005579E1"/>
    <w:rsid w:val="005579F8"/>
    <w:rsid w:val="00560EF6"/>
    <w:rsid w:val="00561200"/>
    <w:rsid w:val="0056137E"/>
    <w:rsid w:val="005615F4"/>
    <w:rsid w:val="00561715"/>
    <w:rsid w:val="00561795"/>
    <w:rsid w:val="005627D8"/>
    <w:rsid w:val="00562B1E"/>
    <w:rsid w:val="00563F86"/>
    <w:rsid w:val="00565CB3"/>
    <w:rsid w:val="0056630B"/>
    <w:rsid w:val="00566B26"/>
    <w:rsid w:val="00566CEC"/>
    <w:rsid w:val="005672B9"/>
    <w:rsid w:val="00567AF0"/>
    <w:rsid w:val="00570193"/>
    <w:rsid w:val="00570A76"/>
    <w:rsid w:val="00573147"/>
    <w:rsid w:val="0057386B"/>
    <w:rsid w:val="005739DF"/>
    <w:rsid w:val="0057440F"/>
    <w:rsid w:val="00575585"/>
    <w:rsid w:val="00575A38"/>
    <w:rsid w:val="00575AAF"/>
    <w:rsid w:val="00575ACE"/>
    <w:rsid w:val="00576427"/>
    <w:rsid w:val="00576A1D"/>
    <w:rsid w:val="00576C36"/>
    <w:rsid w:val="00576CD3"/>
    <w:rsid w:val="005773A3"/>
    <w:rsid w:val="0057794B"/>
    <w:rsid w:val="00580CF5"/>
    <w:rsid w:val="00581D51"/>
    <w:rsid w:val="0058281A"/>
    <w:rsid w:val="00583112"/>
    <w:rsid w:val="00583349"/>
    <w:rsid w:val="005838BC"/>
    <w:rsid w:val="00583CDA"/>
    <w:rsid w:val="00583D76"/>
    <w:rsid w:val="00584A5E"/>
    <w:rsid w:val="00584B03"/>
    <w:rsid w:val="00584EF3"/>
    <w:rsid w:val="0058509A"/>
    <w:rsid w:val="00585351"/>
    <w:rsid w:val="00586356"/>
    <w:rsid w:val="00586522"/>
    <w:rsid w:val="005866BD"/>
    <w:rsid w:val="00586DA8"/>
    <w:rsid w:val="00586EC5"/>
    <w:rsid w:val="0058727C"/>
    <w:rsid w:val="00587396"/>
    <w:rsid w:val="0058759E"/>
    <w:rsid w:val="00590BFD"/>
    <w:rsid w:val="00590DA0"/>
    <w:rsid w:val="00591466"/>
    <w:rsid w:val="00591532"/>
    <w:rsid w:val="005919AC"/>
    <w:rsid w:val="00591D96"/>
    <w:rsid w:val="00591DC3"/>
    <w:rsid w:val="005932D6"/>
    <w:rsid w:val="00593454"/>
    <w:rsid w:val="005935F2"/>
    <w:rsid w:val="00593B19"/>
    <w:rsid w:val="00593E4B"/>
    <w:rsid w:val="00594CEC"/>
    <w:rsid w:val="00595081"/>
    <w:rsid w:val="005952BC"/>
    <w:rsid w:val="00595484"/>
    <w:rsid w:val="00595A3F"/>
    <w:rsid w:val="00596014"/>
    <w:rsid w:val="00596D43"/>
    <w:rsid w:val="0059703F"/>
    <w:rsid w:val="005971F1"/>
    <w:rsid w:val="005978B2"/>
    <w:rsid w:val="005A0807"/>
    <w:rsid w:val="005A0AD2"/>
    <w:rsid w:val="005A1710"/>
    <w:rsid w:val="005A1B81"/>
    <w:rsid w:val="005A28E6"/>
    <w:rsid w:val="005A306C"/>
    <w:rsid w:val="005A30E6"/>
    <w:rsid w:val="005A4005"/>
    <w:rsid w:val="005A4287"/>
    <w:rsid w:val="005A5867"/>
    <w:rsid w:val="005A6A46"/>
    <w:rsid w:val="005A6B15"/>
    <w:rsid w:val="005A79FE"/>
    <w:rsid w:val="005A7D15"/>
    <w:rsid w:val="005B0565"/>
    <w:rsid w:val="005B0698"/>
    <w:rsid w:val="005B085C"/>
    <w:rsid w:val="005B18D4"/>
    <w:rsid w:val="005B1F71"/>
    <w:rsid w:val="005B2667"/>
    <w:rsid w:val="005B3DB3"/>
    <w:rsid w:val="005B546A"/>
    <w:rsid w:val="005B6331"/>
    <w:rsid w:val="005B6526"/>
    <w:rsid w:val="005B6A13"/>
    <w:rsid w:val="005B756E"/>
    <w:rsid w:val="005C0042"/>
    <w:rsid w:val="005C00CE"/>
    <w:rsid w:val="005C09E8"/>
    <w:rsid w:val="005C1047"/>
    <w:rsid w:val="005C1159"/>
    <w:rsid w:val="005C207F"/>
    <w:rsid w:val="005C49A7"/>
    <w:rsid w:val="005C4C0A"/>
    <w:rsid w:val="005C54C0"/>
    <w:rsid w:val="005C5573"/>
    <w:rsid w:val="005C66DA"/>
    <w:rsid w:val="005C6715"/>
    <w:rsid w:val="005C7C60"/>
    <w:rsid w:val="005C7FA4"/>
    <w:rsid w:val="005D119C"/>
    <w:rsid w:val="005D2D11"/>
    <w:rsid w:val="005D2DD7"/>
    <w:rsid w:val="005D32B3"/>
    <w:rsid w:val="005D339C"/>
    <w:rsid w:val="005D37CE"/>
    <w:rsid w:val="005D3DA9"/>
    <w:rsid w:val="005D464D"/>
    <w:rsid w:val="005D5328"/>
    <w:rsid w:val="005D5552"/>
    <w:rsid w:val="005D5996"/>
    <w:rsid w:val="005D5AAB"/>
    <w:rsid w:val="005D5BA6"/>
    <w:rsid w:val="005D6063"/>
    <w:rsid w:val="005D6625"/>
    <w:rsid w:val="005D7E33"/>
    <w:rsid w:val="005E026F"/>
    <w:rsid w:val="005E0937"/>
    <w:rsid w:val="005E0DC7"/>
    <w:rsid w:val="005E1A7C"/>
    <w:rsid w:val="005E1E5D"/>
    <w:rsid w:val="005E2483"/>
    <w:rsid w:val="005E27D9"/>
    <w:rsid w:val="005E2D83"/>
    <w:rsid w:val="005E314E"/>
    <w:rsid w:val="005E323A"/>
    <w:rsid w:val="005E345B"/>
    <w:rsid w:val="005E3767"/>
    <w:rsid w:val="005E3810"/>
    <w:rsid w:val="005E417A"/>
    <w:rsid w:val="005E46D5"/>
    <w:rsid w:val="005E46FF"/>
    <w:rsid w:val="005E594C"/>
    <w:rsid w:val="005E6FE8"/>
    <w:rsid w:val="005E74F2"/>
    <w:rsid w:val="005F09EF"/>
    <w:rsid w:val="005F0D52"/>
    <w:rsid w:val="005F101B"/>
    <w:rsid w:val="005F10C2"/>
    <w:rsid w:val="005F17E7"/>
    <w:rsid w:val="005F1BB3"/>
    <w:rsid w:val="005F2CE2"/>
    <w:rsid w:val="005F4426"/>
    <w:rsid w:val="005F5F2E"/>
    <w:rsid w:val="005F5F9A"/>
    <w:rsid w:val="005F7131"/>
    <w:rsid w:val="006011F7"/>
    <w:rsid w:val="00601A3E"/>
    <w:rsid w:val="00601AFA"/>
    <w:rsid w:val="006020B9"/>
    <w:rsid w:val="006023EA"/>
    <w:rsid w:val="00602F90"/>
    <w:rsid w:val="0060300D"/>
    <w:rsid w:val="00603275"/>
    <w:rsid w:val="00603C5F"/>
    <w:rsid w:val="00604A24"/>
    <w:rsid w:val="006050CE"/>
    <w:rsid w:val="006055B4"/>
    <w:rsid w:val="00605F42"/>
    <w:rsid w:val="00607D5D"/>
    <w:rsid w:val="006108AB"/>
    <w:rsid w:val="00610DF5"/>
    <w:rsid w:val="00611E9F"/>
    <w:rsid w:val="006125D1"/>
    <w:rsid w:val="00613F57"/>
    <w:rsid w:val="00614636"/>
    <w:rsid w:val="0061483E"/>
    <w:rsid w:val="00614925"/>
    <w:rsid w:val="006152C9"/>
    <w:rsid w:val="006155AE"/>
    <w:rsid w:val="00615D48"/>
    <w:rsid w:val="00616289"/>
    <w:rsid w:val="006166F9"/>
    <w:rsid w:val="0061787F"/>
    <w:rsid w:val="00620BEF"/>
    <w:rsid w:val="0062111E"/>
    <w:rsid w:val="00622980"/>
    <w:rsid w:val="0062417F"/>
    <w:rsid w:val="00625A77"/>
    <w:rsid w:val="00626372"/>
    <w:rsid w:val="006270A1"/>
    <w:rsid w:val="00627ED9"/>
    <w:rsid w:val="00627F10"/>
    <w:rsid w:val="006302B5"/>
    <w:rsid w:val="00630A47"/>
    <w:rsid w:val="00630A66"/>
    <w:rsid w:val="00630C1C"/>
    <w:rsid w:val="00633474"/>
    <w:rsid w:val="0063362C"/>
    <w:rsid w:val="00634717"/>
    <w:rsid w:val="00635389"/>
    <w:rsid w:val="00635920"/>
    <w:rsid w:val="00635C47"/>
    <w:rsid w:val="006368FF"/>
    <w:rsid w:val="006373EE"/>
    <w:rsid w:val="0064049C"/>
    <w:rsid w:val="00640565"/>
    <w:rsid w:val="00640DFA"/>
    <w:rsid w:val="00641569"/>
    <w:rsid w:val="00642D06"/>
    <w:rsid w:val="00643738"/>
    <w:rsid w:val="00644E34"/>
    <w:rsid w:val="00646004"/>
    <w:rsid w:val="006463B2"/>
    <w:rsid w:val="00646516"/>
    <w:rsid w:val="006466F1"/>
    <w:rsid w:val="00646AEF"/>
    <w:rsid w:val="00646C8E"/>
    <w:rsid w:val="00646D61"/>
    <w:rsid w:val="006470EB"/>
    <w:rsid w:val="00647581"/>
    <w:rsid w:val="006500B1"/>
    <w:rsid w:val="006505C7"/>
    <w:rsid w:val="0065105A"/>
    <w:rsid w:val="0065126B"/>
    <w:rsid w:val="00651422"/>
    <w:rsid w:val="00652A87"/>
    <w:rsid w:val="00653E9A"/>
    <w:rsid w:val="00654A67"/>
    <w:rsid w:val="00655C0E"/>
    <w:rsid w:val="00656598"/>
    <w:rsid w:val="00657507"/>
    <w:rsid w:val="0065790F"/>
    <w:rsid w:val="00660062"/>
    <w:rsid w:val="0066022E"/>
    <w:rsid w:val="0066056C"/>
    <w:rsid w:val="006609A6"/>
    <w:rsid w:val="006617DF"/>
    <w:rsid w:val="00661824"/>
    <w:rsid w:val="00664686"/>
    <w:rsid w:val="00665169"/>
    <w:rsid w:val="00665632"/>
    <w:rsid w:val="00665E40"/>
    <w:rsid w:val="00666797"/>
    <w:rsid w:val="006669CF"/>
    <w:rsid w:val="006675C8"/>
    <w:rsid w:val="00667837"/>
    <w:rsid w:val="006701FE"/>
    <w:rsid w:val="0067042C"/>
    <w:rsid w:val="0067096C"/>
    <w:rsid w:val="006709CF"/>
    <w:rsid w:val="00670FCA"/>
    <w:rsid w:val="00671788"/>
    <w:rsid w:val="0067188F"/>
    <w:rsid w:val="0067282B"/>
    <w:rsid w:val="00672921"/>
    <w:rsid w:val="00673364"/>
    <w:rsid w:val="00673744"/>
    <w:rsid w:val="00674138"/>
    <w:rsid w:val="0067504E"/>
    <w:rsid w:val="0067519B"/>
    <w:rsid w:val="00675264"/>
    <w:rsid w:val="0067573A"/>
    <w:rsid w:val="00675CB5"/>
    <w:rsid w:val="00675D10"/>
    <w:rsid w:val="00676930"/>
    <w:rsid w:val="00677658"/>
    <w:rsid w:val="006779D6"/>
    <w:rsid w:val="00680171"/>
    <w:rsid w:val="0068018E"/>
    <w:rsid w:val="00680424"/>
    <w:rsid w:val="00680D15"/>
    <w:rsid w:val="00681276"/>
    <w:rsid w:val="00681CDB"/>
    <w:rsid w:val="00682558"/>
    <w:rsid w:val="00682E1B"/>
    <w:rsid w:val="00682E71"/>
    <w:rsid w:val="006840BF"/>
    <w:rsid w:val="00684381"/>
    <w:rsid w:val="00684689"/>
    <w:rsid w:val="00685FC6"/>
    <w:rsid w:val="00686D3B"/>
    <w:rsid w:val="0069128E"/>
    <w:rsid w:val="006915C9"/>
    <w:rsid w:val="006916D1"/>
    <w:rsid w:val="00691748"/>
    <w:rsid w:val="006939B7"/>
    <w:rsid w:val="00694170"/>
    <w:rsid w:val="00696905"/>
    <w:rsid w:val="006A0167"/>
    <w:rsid w:val="006A039A"/>
    <w:rsid w:val="006A0544"/>
    <w:rsid w:val="006A0792"/>
    <w:rsid w:val="006A0DB7"/>
    <w:rsid w:val="006A1428"/>
    <w:rsid w:val="006A161F"/>
    <w:rsid w:val="006A1807"/>
    <w:rsid w:val="006A1C53"/>
    <w:rsid w:val="006A2198"/>
    <w:rsid w:val="006A2B34"/>
    <w:rsid w:val="006A34C8"/>
    <w:rsid w:val="006A3BBD"/>
    <w:rsid w:val="006A4028"/>
    <w:rsid w:val="006A4F32"/>
    <w:rsid w:val="006A5DE5"/>
    <w:rsid w:val="006A7F0E"/>
    <w:rsid w:val="006B1286"/>
    <w:rsid w:val="006B1333"/>
    <w:rsid w:val="006B25B1"/>
    <w:rsid w:val="006B25BE"/>
    <w:rsid w:val="006B2696"/>
    <w:rsid w:val="006B2719"/>
    <w:rsid w:val="006B2CE4"/>
    <w:rsid w:val="006B3490"/>
    <w:rsid w:val="006B4290"/>
    <w:rsid w:val="006B42C1"/>
    <w:rsid w:val="006B43A5"/>
    <w:rsid w:val="006B522F"/>
    <w:rsid w:val="006B5300"/>
    <w:rsid w:val="006B60BB"/>
    <w:rsid w:val="006B731E"/>
    <w:rsid w:val="006B7776"/>
    <w:rsid w:val="006B7827"/>
    <w:rsid w:val="006B7C80"/>
    <w:rsid w:val="006C0A74"/>
    <w:rsid w:val="006C0C33"/>
    <w:rsid w:val="006C0C60"/>
    <w:rsid w:val="006C14E2"/>
    <w:rsid w:val="006C163F"/>
    <w:rsid w:val="006C1BEE"/>
    <w:rsid w:val="006C1F11"/>
    <w:rsid w:val="006C2200"/>
    <w:rsid w:val="006C2D14"/>
    <w:rsid w:val="006C30A1"/>
    <w:rsid w:val="006C4438"/>
    <w:rsid w:val="006C4702"/>
    <w:rsid w:val="006C55BA"/>
    <w:rsid w:val="006C63BF"/>
    <w:rsid w:val="006C7369"/>
    <w:rsid w:val="006C7EFC"/>
    <w:rsid w:val="006D0CEC"/>
    <w:rsid w:val="006D1EAE"/>
    <w:rsid w:val="006D21D9"/>
    <w:rsid w:val="006D38F0"/>
    <w:rsid w:val="006D410A"/>
    <w:rsid w:val="006D422D"/>
    <w:rsid w:val="006D491D"/>
    <w:rsid w:val="006D4B8D"/>
    <w:rsid w:val="006D4F42"/>
    <w:rsid w:val="006D6380"/>
    <w:rsid w:val="006D6FD0"/>
    <w:rsid w:val="006E136C"/>
    <w:rsid w:val="006E19F6"/>
    <w:rsid w:val="006E2480"/>
    <w:rsid w:val="006E2496"/>
    <w:rsid w:val="006E2BAB"/>
    <w:rsid w:val="006E2EE1"/>
    <w:rsid w:val="006E3F05"/>
    <w:rsid w:val="006E4799"/>
    <w:rsid w:val="006E4AB2"/>
    <w:rsid w:val="006E5B84"/>
    <w:rsid w:val="006E627E"/>
    <w:rsid w:val="006E641A"/>
    <w:rsid w:val="006E6DA7"/>
    <w:rsid w:val="006F009E"/>
    <w:rsid w:val="006F058D"/>
    <w:rsid w:val="006F0A68"/>
    <w:rsid w:val="006F1210"/>
    <w:rsid w:val="006F124A"/>
    <w:rsid w:val="006F201D"/>
    <w:rsid w:val="006F22DF"/>
    <w:rsid w:val="006F2511"/>
    <w:rsid w:val="006F27B3"/>
    <w:rsid w:val="006F27E0"/>
    <w:rsid w:val="006F2D5B"/>
    <w:rsid w:val="006F3901"/>
    <w:rsid w:val="006F43D1"/>
    <w:rsid w:val="006F46F3"/>
    <w:rsid w:val="006F4813"/>
    <w:rsid w:val="006F4BB5"/>
    <w:rsid w:val="006F5288"/>
    <w:rsid w:val="006F5F14"/>
    <w:rsid w:val="006F61CB"/>
    <w:rsid w:val="006F6398"/>
    <w:rsid w:val="006F6FBE"/>
    <w:rsid w:val="006F74D3"/>
    <w:rsid w:val="006F7BD7"/>
    <w:rsid w:val="007005E3"/>
    <w:rsid w:val="007007DE"/>
    <w:rsid w:val="00700DF2"/>
    <w:rsid w:val="007012E2"/>
    <w:rsid w:val="0070142C"/>
    <w:rsid w:val="00702981"/>
    <w:rsid w:val="00702DC9"/>
    <w:rsid w:val="0070321F"/>
    <w:rsid w:val="00703239"/>
    <w:rsid w:val="00703CB3"/>
    <w:rsid w:val="00703FAE"/>
    <w:rsid w:val="0070483E"/>
    <w:rsid w:val="007049B1"/>
    <w:rsid w:val="00705417"/>
    <w:rsid w:val="00706236"/>
    <w:rsid w:val="00706504"/>
    <w:rsid w:val="0071248B"/>
    <w:rsid w:val="00713E3E"/>
    <w:rsid w:val="00714CC3"/>
    <w:rsid w:val="00715B35"/>
    <w:rsid w:val="00716070"/>
    <w:rsid w:val="00716084"/>
    <w:rsid w:val="00717335"/>
    <w:rsid w:val="00720B7A"/>
    <w:rsid w:val="00721ADB"/>
    <w:rsid w:val="00721B7A"/>
    <w:rsid w:val="0072225F"/>
    <w:rsid w:val="00722474"/>
    <w:rsid w:val="00722C43"/>
    <w:rsid w:val="00722E2C"/>
    <w:rsid w:val="00723297"/>
    <w:rsid w:val="0072378F"/>
    <w:rsid w:val="00724005"/>
    <w:rsid w:val="00724071"/>
    <w:rsid w:val="00726DC9"/>
    <w:rsid w:val="0073078E"/>
    <w:rsid w:val="00730A0A"/>
    <w:rsid w:val="0073113B"/>
    <w:rsid w:val="0073142F"/>
    <w:rsid w:val="0073373C"/>
    <w:rsid w:val="00733C27"/>
    <w:rsid w:val="00733C81"/>
    <w:rsid w:val="00734739"/>
    <w:rsid w:val="007350CD"/>
    <w:rsid w:val="0073522E"/>
    <w:rsid w:val="00735834"/>
    <w:rsid w:val="00735B8B"/>
    <w:rsid w:val="0073621F"/>
    <w:rsid w:val="00736393"/>
    <w:rsid w:val="00736598"/>
    <w:rsid w:val="00737EB5"/>
    <w:rsid w:val="0074015C"/>
    <w:rsid w:val="007408F9"/>
    <w:rsid w:val="007416B5"/>
    <w:rsid w:val="00741870"/>
    <w:rsid w:val="00741EFF"/>
    <w:rsid w:val="007427E9"/>
    <w:rsid w:val="00742DF5"/>
    <w:rsid w:val="0074340D"/>
    <w:rsid w:val="00743A65"/>
    <w:rsid w:val="007447AF"/>
    <w:rsid w:val="007447D3"/>
    <w:rsid w:val="00744923"/>
    <w:rsid w:val="00745F9A"/>
    <w:rsid w:val="007466F1"/>
    <w:rsid w:val="00750834"/>
    <w:rsid w:val="00750A4A"/>
    <w:rsid w:val="00751EB1"/>
    <w:rsid w:val="007520D9"/>
    <w:rsid w:val="007529B2"/>
    <w:rsid w:val="00753051"/>
    <w:rsid w:val="007530F2"/>
    <w:rsid w:val="007533D9"/>
    <w:rsid w:val="00754BC0"/>
    <w:rsid w:val="00754F37"/>
    <w:rsid w:val="00755245"/>
    <w:rsid w:val="00757344"/>
    <w:rsid w:val="00757958"/>
    <w:rsid w:val="00760566"/>
    <w:rsid w:val="00760D08"/>
    <w:rsid w:val="00761070"/>
    <w:rsid w:val="00761E90"/>
    <w:rsid w:val="00761EF6"/>
    <w:rsid w:val="0076229E"/>
    <w:rsid w:val="00762500"/>
    <w:rsid w:val="00763C41"/>
    <w:rsid w:val="00763D08"/>
    <w:rsid w:val="00764051"/>
    <w:rsid w:val="00764AC3"/>
    <w:rsid w:val="00764CF8"/>
    <w:rsid w:val="00764F83"/>
    <w:rsid w:val="007659BF"/>
    <w:rsid w:val="00765AF1"/>
    <w:rsid w:val="007679EB"/>
    <w:rsid w:val="00767FC0"/>
    <w:rsid w:val="0077000A"/>
    <w:rsid w:val="00770A7F"/>
    <w:rsid w:val="00770C87"/>
    <w:rsid w:val="0077121F"/>
    <w:rsid w:val="00771B15"/>
    <w:rsid w:val="00771B2B"/>
    <w:rsid w:val="00771F37"/>
    <w:rsid w:val="007725A6"/>
    <w:rsid w:val="00772722"/>
    <w:rsid w:val="0077314F"/>
    <w:rsid w:val="007737EF"/>
    <w:rsid w:val="00773FFF"/>
    <w:rsid w:val="0077719C"/>
    <w:rsid w:val="00777489"/>
    <w:rsid w:val="00777760"/>
    <w:rsid w:val="00780235"/>
    <w:rsid w:val="00780765"/>
    <w:rsid w:val="0078079D"/>
    <w:rsid w:val="00780B4E"/>
    <w:rsid w:val="00780CB6"/>
    <w:rsid w:val="007813D0"/>
    <w:rsid w:val="00782AAB"/>
    <w:rsid w:val="00782BBD"/>
    <w:rsid w:val="00782E78"/>
    <w:rsid w:val="00785068"/>
    <w:rsid w:val="007851B9"/>
    <w:rsid w:val="0078580E"/>
    <w:rsid w:val="00786309"/>
    <w:rsid w:val="007866D2"/>
    <w:rsid w:val="00786834"/>
    <w:rsid w:val="0078748C"/>
    <w:rsid w:val="00787D08"/>
    <w:rsid w:val="0079057F"/>
    <w:rsid w:val="00790791"/>
    <w:rsid w:val="00790F20"/>
    <w:rsid w:val="00790FA8"/>
    <w:rsid w:val="00792E58"/>
    <w:rsid w:val="007932A0"/>
    <w:rsid w:val="00793965"/>
    <w:rsid w:val="0079485E"/>
    <w:rsid w:val="0079553C"/>
    <w:rsid w:val="0079581C"/>
    <w:rsid w:val="00795BE9"/>
    <w:rsid w:val="007966C6"/>
    <w:rsid w:val="00796E9A"/>
    <w:rsid w:val="00797A07"/>
    <w:rsid w:val="007A0358"/>
    <w:rsid w:val="007A03D4"/>
    <w:rsid w:val="007A1A89"/>
    <w:rsid w:val="007A1EF4"/>
    <w:rsid w:val="007A2D5F"/>
    <w:rsid w:val="007A332C"/>
    <w:rsid w:val="007A3701"/>
    <w:rsid w:val="007A4552"/>
    <w:rsid w:val="007A5827"/>
    <w:rsid w:val="007A612D"/>
    <w:rsid w:val="007A74D0"/>
    <w:rsid w:val="007B004E"/>
    <w:rsid w:val="007B040F"/>
    <w:rsid w:val="007B0491"/>
    <w:rsid w:val="007B0849"/>
    <w:rsid w:val="007B0B7A"/>
    <w:rsid w:val="007B1938"/>
    <w:rsid w:val="007B1B9F"/>
    <w:rsid w:val="007B287F"/>
    <w:rsid w:val="007B2D6A"/>
    <w:rsid w:val="007B3762"/>
    <w:rsid w:val="007B4AD0"/>
    <w:rsid w:val="007B5481"/>
    <w:rsid w:val="007B5911"/>
    <w:rsid w:val="007B5E41"/>
    <w:rsid w:val="007B6033"/>
    <w:rsid w:val="007B60AE"/>
    <w:rsid w:val="007B677B"/>
    <w:rsid w:val="007B6D03"/>
    <w:rsid w:val="007C1059"/>
    <w:rsid w:val="007C140F"/>
    <w:rsid w:val="007C38E4"/>
    <w:rsid w:val="007C42F2"/>
    <w:rsid w:val="007C46B9"/>
    <w:rsid w:val="007C4B79"/>
    <w:rsid w:val="007C4D75"/>
    <w:rsid w:val="007C4E19"/>
    <w:rsid w:val="007C4E4A"/>
    <w:rsid w:val="007C5C81"/>
    <w:rsid w:val="007C602B"/>
    <w:rsid w:val="007C6247"/>
    <w:rsid w:val="007C66D9"/>
    <w:rsid w:val="007C6A79"/>
    <w:rsid w:val="007C6E46"/>
    <w:rsid w:val="007C749E"/>
    <w:rsid w:val="007D1805"/>
    <w:rsid w:val="007D2AB9"/>
    <w:rsid w:val="007D2FC4"/>
    <w:rsid w:val="007D3EFB"/>
    <w:rsid w:val="007D42E5"/>
    <w:rsid w:val="007D4E50"/>
    <w:rsid w:val="007D50E0"/>
    <w:rsid w:val="007D5BD1"/>
    <w:rsid w:val="007D65D0"/>
    <w:rsid w:val="007D6682"/>
    <w:rsid w:val="007D66E6"/>
    <w:rsid w:val="007D6A2C"/>
    <w:rsid w:val="007D6A90"/>
    <w:rsid w:val="007D6FC5"/>
    <w:rsid w:val="007E069D"/>
    <w:rsid w:val="007E0D85"/>
    <w:rsid w:val="007E0FE7"/>
    <w:rsid w:val="007E12DB"/>
    <w:rsid w:val="007E19FB"/>
    <w:rsid w:val="007E29F4"/>
    <w:rsid w:val="007E362C"/>
    <w:rsid w:val="007E3901"/>
    <w:rsid w:val="007E3F92"/>
    <w:rsid w:val="007E4EC0"/>
    <w:rsid w:val="007E60C0"/>
    <w:rsid w:val="007E6660"/>
    <w:rsid w:val="007E6A7B"/>
    <w:rsid w:val="007F05F3"/>
    <w:rsid w:val="007F08A4"/>
    <w:rsid w:val="007F0952"/>
    <w:rsid w:val="007F0B2A"/>
    <w:rsid w:val="007F0E22"/>
    <w:rsid w:val="007F159D"/>
    <w:rsid w:val="007F1AE2"/>
    <w:rsid w:val="007F1CC3"/>
    <w:rsid w:val="007F1F35"/>
    <w:rsid w:val="007F2701"/>
    <w:rsid w:val="007F2EEB"/>
    <w:rsid w:val="007F46DF"/>
    <w:rsid w:val="007F4780"/>
    <w:rsid w:val="007F4F51"/>
    <w:rsid w:val="007F5292"/>
    <w:rsid w:val="007F5A07"/>
    <w:rsid w:val="007F6836"/>
    <w:rsid w:val="007F6F02"/>
    <w:rsid w:val="007F70F2"/>
    <w:rsid w:val="007F7270"/>
    <w:rsid w:val="007F7859"/>
    <w:rsid w:val="007F7F3F"/>
    <w:rsid w:val="00800893"/>
    <w:rsid w:val="00800C04"/>
    <w:rsid w:val="00801865"/>
    <w:rsid w:val="0080288A"/>
    <w:rsid w:val="00802E65"/>
    <w:rsid w:val="0080374F"/>
    <w:rsid w:val="00803EEB"/>
    <w:rsid w:val="00804394"/>
    <w:rsid w:val="008051A7"/>
    <w:rsid w:val="00805475"/>
    <w:rsid w:val="00805FA8"/>
    <w:rsid w:val="0080610C"/>
    <w:rsid w:val="00806454"/>
    <w:rsid w:val="0080699E"/>
    <w:rsid w:val="00806C55"/>
    <w:rsid w:val="00806E7E"/>
    <w:rsid w:val="008070D2"/>
    <w:rsid w:val="00807157"/>
    <w:rsid w:val="00811873"/>
    <w:rsid w:val="008118D3"/>
    <w:rsid w:val="0081195E"/>
    <w:rsid w:val="008122D0"/>
    <w:rsid w:val="008131A3"/>
    <w:rsid w:val="008132B0"/>
    <w:rsid w:val="00813B11"/>
    <w:rsid w:val="008140C2"/>
    <w:rsid w:val="00814754"/>
    <w:rsid w:val="00814C90"/>
    <w:rsid w:val="00814CED"/>
    <w:rsid w:val="00814EA5"/>
    <w:rsid w:val="00814F98"/>
    <w:rsid w:val="008163F1"/>
    <w:rsid w:val="00817F60"/>
    <w:rsid w:val="0082198F"/>
    <w:rsid w:val="00821D26"/>
    <w:rsid w:val="008222BD"/>
    <w:rsid w:val="008251E1"/>
    <w:rsid w:val="00825642"/>
    <w:rsid w:val="008261E9"/>
    <w:rsid w:val="00826CBD"/>
    <w:rsid w:val="00827301"/>
    <w:rsid w:val="00827575"/>
    <w:rsid w:val="00827F90"/>
    <w:rsid w:val="00830891"/>
    <w:rsid w:val="00830C50"/>
    <w:rsid w:val="008313AE"/>
    <w:rsid w:val="0083154C"/>
    <w:rsid w:val="00832729"/>
    <w:rsid w:val="00835904"/>
    <w:rsid w:val="00835E99"/>
    <w:rsid w:val="0083622B"/>
    <w:rsid w:val="00836DCF"/>
    <w:rsid w:val="0083751D"/>
    <w:rsid w:val="00837A0E"/>
    <w:rsid w:val="0084109E"/>
    <w:rsid w:val="00841F0B"/>
    <w:rsid w:val="00842783"/>
    <w:rsid w:val="0084323C"/>
    <w:rsid w:val="0084423B"/>
    <w:rsid w:val="0084452B"/>
    <w:rsid w:val="00845FFC"/>
    <w:rsid w:val="00846270"/>
    <w:rsid w:val="00846D2D"/>
    <w:rsid w:val="00846E82"/>
    <w:rsid w:val="008474E7"/>
    <w:rsid w:val="00847E2C"/>
    <w:rsid w:val="008505E2"/>
    <w:rsid w:val="00850930"/>
    <w:rsid w:val="00850A49"/>
    <w:rsid w:val="00850E48"/>
    <w:rsid w:val="0085179E"/>
    <w:rsid w:val="008517A1"/>
    <w:rsid w:val="00852DFB"/>
    <w:rsid w:val="00852FED"/>
    <w:rsid w:val="00853136"/>
    <w:rsid w:val="00853DF7"/>
    <w:rsid w:val="00853F69"/>
    <w:rsid w:val="0085591D"/>
    <w:rsid w:val="00856C01"/>
    <w:rsid w:val="00857170"/>
    <w:rsid w:val="008577FF"/>
    <w:rsid w:val="00857D19"/>
    <w:rsid w:val="00860974"/>
    <w:rsid w:val="00860CBE"/>
    <w:rsid w:val="00860E2C"/>
    <w:rsid w:val="00860FF5"/>
    <w:rsid w:val="00862519"/>
    <w:rsid w:val="00862545"/>
    <w:rsid w:val="008631A0"/>
    <w:rsid w:val="00863B0C"/>
    <w:rsid w:val="00863FA0"/>
    <w:rsid w:val="00864EDD"/>
    <w:rsid w:val="00865436"/>
    <w:rsid w:val="00865927"/>
    <w:rsid w:val="00865FA4"/>
    <w:rsid w:val="008674FB"/>
    <w:rsid w:val="00867550"/>
    <w:rsid w:val="0087118B"/>
    <w:rsid w:val="00871C02"/>
    <w:rsid w:val="00872B8B"/>
    <w:rsid w:val="0087355F"/>
    <w:rsid w:val="00873B4A"/>
    <w:rsid w:val="00875425"/>
    <w:rsid w:val="0087646F"/>
    <w:rsid w:val="008767F0"/>
    <w:rsid w:val="008769B3"/>
    <w:rsid w:val="00877A07"/>
    <w:rsid w:val="00877CA8"/>
    <w:rsid w:val="00880271"/>
    <w:rsid w:val="00880DB9"/>
    <w:rsid w:val="008823DD"/>
    <w:rsid w:val="00882454"/>
    <w:rsid w:val="00882F2E"/>
    <w:rsid w:val="008842AF"/>
    <w:rsid w:val="0088487B"/>
    <w:rsid w:val="00884B89"/>
    <w:rsid w:val="00884CAB"/>
    <w:rsid w:val="00885864"/>
    <w:rsid w:val="00887083"/>
    <w:rsid w:val="008870FC"/>
    <w:rsid w:val="00887BE2"/>
    <w:rsid w:val="00890858"/>
    <w:rsid w:val="00891548"/>
    <w:rsid w:val="00892686"/>
    <w:rsid w:val="00895316"/>
    <w:rsid w:val="008953C0"/>
    <w:rsid w:val="00895522"/>
    <w:rsid w:val="00895672"/>
    <w:rsid w:val="00897601"/>
    <w:rsid w:val="008A0412"/>
    <w:rsid w:val="008A27AB"/>
    <w:rsid w:val="008A2FBB"/>
    <w:rsid w:val="008A4086"/>
    <w:rsid w:val="008A4816"/>
    <w:rsid w:val="008A503D"/>
    <w:rsid w:val="008A5452"/>
    <w:rsid w:val="008A59CA"/>
    <w:rsid w:val="008A7217"/>
    <w:rsid w:val="008A73AA"/>
    <w:rsid w:val="008B0874"/>
    <w:rsid w:val="008B0BA7"/>
    <w:rsid w:val="008B2764"/>
    <w:rsid w:val="008B30D6"/>
    <w:rsid w:val="008B5907"/>
    <w:rsid w:val="008B5F34"/>
    <w:rsid w:val="008B62AE"/>
    <w:rsid w:val="008B682B"/>
    <w:rsid w:val="008B68F0"/>
    <w:rsid w:val="008B70AC"/>
    <w:rsid w:val="008B71FB"/>
    <w:rsid w:val="008B72D6"/>
    <w:rsid w:val="008B7337"/>
    <w:rsid w:val="008B75EA"/>
    <w:rsid w:val="008B7B6B"/>
    <w:rsid w:val="008B7F23"/>
    <w:rsid w:val="008C108D"/>
    <w:rsid w:val="008C1832"/>
    <w:rsid w:val="008C1CE1"/>
    <w:rsid w:val="008C2D5B"/>
    <w:rsid w:val="008C4F20"/>
    <w:rsid w:val="008C5356"/>
    <w:rsid w:val="008C550F"/>
    <w:rsid w:val="008C567C"/>
    <w:rsid w:val="008C6E50"/>
    <w:rsid w:val="008C739D"/>
    <w:rsid w:val="008C765F"/>
    <w:rsid w:val="008D04BE"/>
    <w:rsid w:val="008D08A8"/>
    <w:rsid w:val="008D1246"/>
    <w:rsid w:val="008D1CFC"/>
    <w:rsid w:val="008D1F13"/>
    <w:rsid w:val="008D31E8"/>
    <w:rsid w:val="008D39D2"/>
    <w:rsid w:val="008D3BDB"/>
    <w:rsid w:val="008D53C0"/>
    <w:rsid w:val="008D57BE"/>
    <w:rsid w:val="008D6655"/>
    <w:rsid w:val="008D70B4"/>
    <w:rsid w:val="008D7227"/>
    <w:rsid w:val="008D7953"/>
    <w:rsid w:val="008E0146"/>
    <w:rsid w:val="008E0B3C"/>
    <w:rsid w:val="008E135F"/>
    <w:rsid w:val="008E1589"/>
    <w:rsid w:val="008E1622"/>
    <w:rsid w:val="008E28A6"/>
    <w:rsid w:val="008E2BA7"/>
    <w:rsid w:val="008E349F"/>
    <w:rsid w:val="008E37F6"/>
    <w:rsid w:val="008E3D0F"/>
    <w:rsid w:val="008E4162"/>
    <w:rsid w:val="008E70E0"/>
    <w:rsid w:val="008E71A8"/>
    <w:rsid w:val="008E732F"/>
    <w:rsid w:val="008E749D"/>
    <w:rsid w:val="008F066A"/>
    <w:rsid w:val="008F07D2"/>
    <w:rsid w:val="008F0E73"/>
    <w:rsid w:val="008F19E5"/>
    <w:rsid w:val="008F28D7"/>
    <w:rsid w:val="008F3035"/>
    <w:rsid w:val="008F3854"/>
    <w:rsid w:val="008F3BAA"/>
    <w:rsid w:val="008F3E29"/>
    <w:rsid w:val="008F4AFE"/>
    <w:rsid w:val="008F6259"/>
    <w:rsid w:val="008F62EB"/>
    <w:rsid w:val="008F75BC"/>
    <w:rsid w:val="008F77DB"/>
    <w:rsid w:val="008F7CA2"/>
    <w:rsid w:val="008F7F3A"/>
    <w:rsid w:val="0090082A"/>
    <w:rsid w:val="00901B85"/>
    <w:rsid w:val="00902837"/>
    <w:rsid w:val="0090288E"/>
    <w:rsid w:val="00902899"/>
    <w:rsid w:val="0090290B"/>
    <w:rsid w:val="009039E7"/>
    <w:rsid w:val="00905BAD"/>
    <w:rsid w:val="0090797E"/>
    <w:rsid w:val="009108CE"/>
    <w:rsid w:val="00910EC8"/>
    <w:rsid w:val="00910FD3"/>
    <w:rsid w:val="00911346"/>
    <w:rsid w:val="00911844"/>
    <w:rsid w:val="00911A75"/>
    <w:rsid w:val="009120A1"/>
    <w:rsid w:val="009126F2"/>
    <w:rsid w:val="009130C3"/>
    <w:rsid w:val="00913DC2"/>
    <w:rsid w:val="00913F62"/>
    <w:rsid w:val="0091418E"/>
    <w:rsid w:val="009141CD"/>
    <w:rsid w:val="00914256"/>
    <w:rsid w:val="00914312"/>
    <w:rsid w:val="00914997"/>
    <w:rsid w:val="00914A73"/>
    <w:rsid w:val="00916FE3"/>
    <w:rsid w:val="009173A9"/>
    <w:rsid w:val="00920018"/>
    <w:rsid w:val="0092068E"/>
    <w:rsid w:val="00921D31"/>
    <w:rsid w:val="00921E95"/>
    <w:rsid w:val="00922203"/>
    <w:rsid w:val="00922C58"/>
    <w:rsid w:val="00922CD1"/>
    <w:rsid w:val="009230E7"/>
    <w:rsid w:val="0092451F"/>
    <w:rsid w:val="00924AB0"/>
    <w:rsid w:val="0092508C"/>
    <w:rsid w:val="00925156"/>
    <w:rsid w:val="009251EE"/>
    <w:rsid w:val="00925964"/>
    <w:rsid w:val="00925D1A"/>
    <w:rsid w:val="00926748"/>
    <w:rsid w:val="009267AC"/>
    <w:rsid w:val="009267B4"/>
    <w:rsid w:val="009272A2"/>
    <w:rsid w:val="00927598"/>
    <w:rsid w:val="0093058F"/>
    <w:rsid w:val="009308C5"/>
    <w:rsid w:val="00930C63"/>
    <w:rsid w:val="00930F43"/>
    <w:rsid w:val="00931FBF"/>
    <w:rsid w:val="009323D9"/>
    <w:rsid w:val="00932A46"/>
    <w:rsid w:val="0093333F"/>
    <w:rsid w:val="00933FF2"/>
    <w:rsid w:val="00934240"/>
    <w:rsid w:val="00934863"/>
    <w:rsid w:val="00935281"/>
    <w:rsid w:val="009353F9"/>
    <w:rsid w:val="00935565"/>
    <w:rsid w:val="009357DE"/>
    <w:rsid w:val="00935D28"/>
    <w:rsid w:val="0093654D"/>
    <w:rsid w:val="0093783E"/>
    <w:rsid w:val="009403F6"/>
    <w:rsid w:val="00940950"/>
    <w:rsid w:val="00940E84"/>
    <w:rsid w:val="00940F39"/>
    <w:rsid w:val="009410B0"/>
    <w:rsid w:val="00941105"/>
    <w:rsid w:val="00941125"/>
    <w:rsid w:val="009415E1"/>
    <w:rsid w:val="00941CEF"/>
    <w:rsid w:val="00941DED"/>
    <w:rsid w:val="00942F53"/>
    <w:rsid w:val="00943709"/>
    <w:rsid w:val="009438A3"/>
    <w:rsid w:val="00944437"/>
    <w:rsid w:val="00944FB8"/>
    <w:rsid w:val="00945B31"/>
    <w:rsid w:val="00945C9C"/>
    <w:rsid w:val="00945F47"/>
    <w:rsid w:val="00946573"/>
    <w:rsid w:val="00947315"/>
    <w:rsid w:val="00950772"/>
    <w:rsid w:val="00950B80"/>
    <w:rsid w:val="009513BB"/>
    <w:rsid w:val="00951C7C"/>
    <w:rsid w:val="0095203D"/>
    <w:rsid w:val="009522AD"/>
    <w:rsid w:val="00952495"/>
    <w:rsid w:val="009526AF"/>
    <w:rsid w:val="009546EB"/>
    <w:rsid w:val="00954704"/>
    <w:rsid w:val="0095481A"/>
    <w:rsid w:val="00954E85"/>
    <w:rsid w:val="00954FBC"/>
    <w:rsid w:val="009560BB"/>
    <w:rsid w:val="00956312"/>
    <w:rsid w:val="00956C85"/>
    <w:rsid w:val="0096032D"/>
    <w:rsid w:val="009622F8"/>
    <w:rsid w:val="0096286E"/>
    <w:rsid w:val="00962B89"/>
    <w:rsid w:val="00963A09"/>
    <w:rsid w:val="00963B2F"/>
    <w:rsid w:val="009658EB"/>
    <w:rsid w:val="00966252"/>
    <w:rsid w:val="00966383"/>
    <w:rsid w:val="0096641D"/>
    <w:rsid w:val="00966DE8"/>
    <w:rsid w:val="00966F68"/>
    <w:rsid w:val="0096794E"/>
    <w:rsid w:val="00967C67"/>
    <w:rsid w:val="009701D0"/>
    <w:rsid w:val="00970453"/>
    <w:rsid w:val="00970A9F"/>
    <w:rsid w:val="00972DD3"/>
    <w:rsid w:val="009732DD"/>
    <w:rsid w:val="00974184"/>
    <w:rsid w:val="0097482A"/>
    <w:rsid w:val="009750E0"/>
    <w:rsid w:val="00975E12"/>
    <w:rsid w:val="00976076"/>
    <w:rsid w:val="009763C7"/>
    <w:rsid w:val="00976842"/>
    <w:rsid w:val="00977795"/>
    <w:rsid w:val="00977988"/>
    <w:rsid w:val="00980FCE"/>
    <w:rsid w:val="00981196"/>
    <w:rsid w:val="00981BB3"/>
    <w:rsid w:val="00982858"/>
    <w:rsid w:val="00982A60"/>
    <w:rsid w:val="00982BC8"/>
    <w:rsid w:val="00983764"/>
    <w:rsid w:val="00984B1B"/>
    <w:rsid w:val="009859E2"/>
    <w:rsid w:val="00985E87"/>
    <w:rsid w:val="00986C60"/>
    <w:rsid w:val="00987244"/>
    <w:rsid w:val="00987B95"/>
    <w:rsid w:val="0099192C"/>
    <w:rsid w:val="009919B5"/>
    <w:rsid w:val="00992653"/>
    <w:rsid w:val="00992F85"/>
    <w:rsid w:val="00994156"/>
    <w:rsid w:val="0099519E"/>
    <w:rsid w:val="00995952"/>
    <w:rsid w:val="009965B5"/>
    <w:rsid w:val="0099703E"/>
    <w:rsid w:val="0099715C"/>
    <w:rsid w:val="0099764F"/>
    <w:rsid w:val="009978B1"/>
    <w:rsid w:val="00997AAD"/>
    <w:rsid w:val="00997C66"/>
    <w:rsid w:val="009A03F8"/>
    <w:rsid w:val="009A1CF2"/>
    <w:rsid w:val="009A253C"/>
    <w:rsid w:val="009A2AFB"/>
    <w:rsid w:val="009A3B8B"/>
    <w:rsid w:val="009A3E8F"/>
    <w:rsid w:val="009A42B9"/>
    <w:rsid w:val="009A48B4"/>
    <w:rsid w:val="009A4E6F"/>
    <w:rsid w:val="009A56B2"/>
    <w:rsid w:val="009A596C"/>
    <w:rsid w:val="009A5A30"/>
    <w:rsid w:val="009A6576"/>
    <w:rsid w:val="009A75F0"/>
    <w:rsid w:val="009B0008"/>
    <w:rsid w:val="009B09C7"/>
    <w:rsid w:val="009B0E5F"/>
    <w:rsid w:val="009B15F6"/>
    <w:rsid w:val="009B1CA7"/>
    <w:rsid w:val="009B20F6"/>
    <w:rsid w:val="009B21E9"/>
    <w:rsid w:val="009B25BA"/>
    <w:rsid w:val="009B2D80"/>
    <w:rsid w:val="009B3262"/>
    <w:rsid w:val="009B374F"/>
    <w:rsid w:val="009B37F9"/>
    <w:rsid w:val="009B3E09"/>
    <w:rsid w:val="009B467D"/>
    <w:rsid w:val="009B4C5F"/>
    <w:rsid w:val="009B54DD"/>
    <w:rsid w:val="009B558B"/>
    <w:rsid w:val="009B583C"/>
    <w:rsid w:val="009B594F"/>
    <w:rsid w:val="009B629B"/>
    <w:rsid w:val="009B6436"/>
    <w:rsid w:val="009B6CCE"/>
    <w:rsid w:val="009B6E38"/>
    <w:rsid w:val="009B6EEA"/>
    <w:rsid w:val="009B7656"/>
    <w:rsid w:val="009B7A7C"/>
    <w:rsid w:val="009C0274"/>
    <w:rsid w:val="009C02CD"/>
    <w:rsid w:val="009C033E"/>
    <w:rsid w:val="009C0CB6"/>
    <w:rsid w:val="009C0CC5"/>
    <w:rsid w:val="009C2288"/>
    <w:rsid w:val="009C3261"/>
    <w:rsid w:val="009C3336"/>
    <w:rsid w:val="009C3353"/>
    <w:rsid w:val="009C3AB8"/>
    <w:rsid w:val="009C45B5"/>
    <w:rsid w:val="009C557C"/>
    <w:rsid w:val="009C5680"/>
    <w:rsid w:val="009C5A4F"/>
    <w:rsid w:val="009C5DB3"/>
    <w:rsid w:val="009C62AC"/>
    <w:rsid w:val="009C6424"/>
    <w:rsid w:val="009C77BF"/>
    <w:rsid w:val="009C7BD9"/>
    <w:rsid w:val="009C7D86"/>
    <w:rsid w:val="009D0366"/>
    <w:rsid w:val="009D045D"/>
    <w:rsid w:val="009D092A"/>
    <w:rsid w:val="009D0B4C"/>
    <w:rsid w:val="009D0F94"/>
    <w:rsid w:val="009D1924"/>
    <w:rsid w:val="009D1AFE"/>
    <w:rsid w:val="009D1C58"/>
    <w:rsid w:val="009D2033"/>
    <w:rsid w:val="009D22DA"/>
    <w:rsid w:val="009D281D"/>
    <w:rsid w:val="009D2E48"/>
    <w:rsid w:val="009D41DB"/>
    <w:rsid w:val="009D536B"/>
    <w:rsid w:val="009D63BB"/>
    <w:rsid w:val="009D761D"/>
    <w:rsid w:val="009D7BAE"/>
    <w:rsid w:val="009E00F2"/>
    <w:rsid w:val="009E0A3B"/>
    <w:rsid w:val="009E14B0"/>
    <w:rsid w:val="009E1C9C"/>
    <w:rsid w:val="009E1F06"/>
    <w:rsid w:val="009E236F"/>
    <w:rsid w:val="009E2BE1"/>
    <w:rsid w:val="009E4DA5"/>
    <w:rsid w:val="009E5056"/>
    <w:rsid w:val="009E506C"/>
    <w:rsid w:val="009E5269"/>
    <w:rsid w:val="009E56B7"/>
    <w:rsid w:val="009E6A10"/>
    <w:rsid w:val="009E7D46"/>
    <w:rsid w:val="009F224D"/>
    <w:rsid w:val="009F2525"/>
    <w:rsid w:val="009F2D99"/>
    <w:rsid w:val="009F3CB1"/>
    <w:rsid w:val="009F3CE1"/>
    <w:rsid w:val="009F5026"/>
    <w:rsid w:val="009F536B"/>
    <w:rsid w:val="009F5565"/>
    <w:rsid w:val="009F6F69"/>
    <w:rsid w:val="009F75F5"/>
    <w:rsid w:val="009F772A"/>
    <w:rsid w:val="00A0135E"/>
    <w:rsid w:val="00A019BB"/>
    <w:rsid w:val="00A020F9"/>
    <w:rsid w:val="00A02314"/>
    <w:rsid w:val="00A03305"/>
    <w:rsid w:val="00A03B90"/>
    <w:rsid w:val="00A04890"/>
    <w:rsid w:val="00A055E3"/>
    <w:rsid w:val="00A05822"/>
    <w:rsid w:val="00A06338"/>
    <w:rsid w:val="00A064D3"/>
    <w:rsid w:val="00A06B34"/>
    <w:rsid w:val="00A06B7D"/>
    <w:rsid w:val="00A07430"/>
    <w:rsid w:val="00A109A4"/>
    <w:rsid w:val="00A10AA3"/>
    <w:rsid w:val="00A10B8B"/>
    <w:rsid w:val="00A11337"/>
    <w:rsid w:val="00A114E6"/>
    <w:rsid w:val="00A11637"/>
    <w:rsid w:val="00A123FE"/>
    <w:rsid w:val="00A134F6"/>
    <w:rsid w:val="00A13E00"/>
    <w:rsid w:val="00A1413B"/>
    <w:rsid w:val="00A14209"/>
    <w:rsid w:val="00A14388"/>
    <w:rsid w:val="00A147F9"/>
    <w:rsid w:val="00A14A8C"/>
    <w:rsid w:val="00A14F3D"/>
    <w:rsid w:val="00A15091"/>
    <w:rsid w:val="00A15A45"/>
    <w:rsid w:val="00A16760"/>
    <w:rsid w:val="00A171D0"/>
    <w:rsid w:val="00A17579"/>
    <w:rsid w:val="00A17B80"/>
    <w:rsid w:val="00A17EF4"/>
    <w:rsid w:val="00A20C48"/>
    <w:rsid w:val="00A21005"/>
    <w:rsid w:val="00A210D0"/>
    <w:rsid w:val="00A21537"/>
    <w:rsid w:val="00A22B5F"/>
    <w:rsid w:val="00A234A7"/>
    <w:rsid w:val="00A24125"/>
    <w:rsid w:val="00A241E5"/>
    <w:rsid w:val="00A258D0"/>
    <w:rsid w:val="00A2652E"/>
    <w:rsid w:val="00A274B1"/>
    <w:rsid w:val="00A27F7F"/>
    <w:rsid w:val="00A30DB9"/>
    <w:rsid w:val="00A3160D"/>
    <w:rsid w:val="00A317F1"/>
    <w:rsid w:val="00A31F5F"/>
    <w:rsid w:val="00A32C5D"/>
    <w:rsid w:val="00A32ED5"/>
    <w:rsid w:val="00A32F5A"/>
    <w:rsid w:val="00A33193"/>
    <w:rsid w:val="00A33EC1"/>
    <w:rsid w:val="00A3437F"/>
    <w:rsid w:val="00A3467F"/>
    <w:rsid w:val="00A34F70"/>
    <w:rsid w:val="00A352A4"/>
    <w:rsid w:val="00A35E3C"/>
    <w:rsid w:val="00A361F7"/>
    <w:rsid w:val="00A3698D"/>
    <w:rsid w:val="00A3713C"/>
    <w:rsid w:val="00A40AFF"/>
    <w:rsid w:val="00A4224E"/>
    <w:rsid w:val="00A426B0"/>
    <w:rsid w:val="00A43E40"/>
    <w:rsid w:val="00A43F85"/>
    <w:rsid w:val="00A45043"/>
    <w:rsid w:val="00A45371"/>
    <w:rsid w:val="00A45C7B"/>
    <w:rsid w:val="00A47353"/>
    <w:rsid w:val="00A47514"/>
    <w:rsid w:val="00A47F39"/>
    <w:rsid w:val="00A5003C"/>
    <w:rsid w:val="00A50464"/>
    <w:rsid w:val="00A51033"/>
    <w:rsid w:val="00A51ACB"/>
    <w:rsid w:val="00A51E97"/>
    <w:rsid w:val="00A520EE"/>
    <w:rsid w:val="00A528E5"/>
    <w:rsid w:val="00A5494E"/>
    <w:rsid w:val="00A54B35"/>
    <w:rsid w:val="00A551C0"/>
    <w:rsid w:val="00A55650"/>
    <w:rsid w:val="00A55A58"/>
    <w:rsid w:val="00A56811"/>
    <w:rsid w:val="00A56C46"/>
    <w:rsid w:val="00A57296"/>
    <w:rsid w:val="00A57F1C"/>
    <w:rsid w:val="00A57F32"/>
    <w:rsid w:val="00A6006A"/>
    <w:rsid w:val="00A61334"/>
    <w:rsid w:val="00A61934"/>
    <w:rsid w:val="00A61B96"/>
    <w:rsid w:val="00A621AB"/>
    <w:rsid w:val="00A625EA"/>
    <w:rsid w:val="00A62BE1"/>
    <w:rsid w:val="00A636EE"/>
    <w:rsid w:val="00A63775"/>
    <w:rsid w:val="00A639DA"/>
    <w:rsid w:val="00A63A5C"/>
    <w:rsid w:val="00A63AEC"/>
    <w:rsid w:val="00A63F08"/>
    <w:rsid w:val="00A64F58"/>
    <w:rsid w:val="00A652E3"/>
    <w:rsid w:val="00A65BAE"/>
    <w:rsid w:val="00A6614A"/>
    <w:rsid w:val="00A66D84"/>
    <w:rsid w:val="00A672E8"/>
    <w:rsid w:val="00A70DFB"/>
    <w:rsid w:val="00A70FA9"/>
    <w:rsid w:val="00A710E0"/>
    <w:rsid w:val="00A72949"/>
    <w:rsid w:val="00A72D4E"/>
    <w:rsid w:val="00A73985"/>
    <w:rsid w:val="00A73BB6"/>
    <w:rsid w:val="00A73FC6"/>
    <w:rsid w:val="00A74560"/>
    <w:rsid w:val="00A74933"/>
    <w:rsid w:val="00A7518F"/>
    <w:rsid w:val="00A75961"/>
    <w:rsid w:val="00A76F73"/>
    <w:rsid w:val="00A7748E"/>
    <w:rsid w:val="00A7750B"/>
    <w:rsid w:val="00A8123B"/>
    <w:rsid w:val="00A82736"/>
    <w:rsid w:val="00A828CE"/>
    <w:rsid w:val="00A82F8E"/>
    <w:rsid w:val="00A83BFF"/>
    <w:rsid w:val="00A8531D"/>
    <w:rsid w:val="00A85410"/>
    <w:rsid w:val="00A85C5C"/>
    <w:rsid w:val="00A87186"/>
    <w:rsid w:val="00A8734D"/>
    <w:rsid w:val="00A87890"/>
    <w:rsid w:val="00A901E6"/>
    <w:rsid w:val="00A905C9"/>
    <w:rsid w:val="00A919EF"/>
    <w:rsid w:val="00A91E9B"/>
    <w:rsid w:val="00A92693"/>
    <w:rsid w:val="00A92E39"/>
    <w:rsid w:val="00A93486"/>
    <w:rsid w:val="00A9460B"/>
    <w:rsid w:val="00A94FCF"/>
    <w:rsid w:val="00A95B33"/>
    <w:rsid w:val="00A96A7D"/>
    <w:rsid w:val="00A978EB"/>
    <w:rsid w:val="00A97E3A"/>
    <w:rsid w:val="00AA01B6"/>
    <w:rsid w:val="00AA09AF"/>
    <w:rsid w:val="00AA0BDE"/>
    <w:rsid w:val="00AA0EBE"/>
    <w:rsid w:val="00AA129F"/>
    <w:rsid w:val="00AA1DBF"/>
    <w:rsid w:val="00AA2514"/>
    <w:rsid w:val="00AA382C"/>
    <w:rsid w:val="00AA487E"/>
    <w:rsid w:val="00AA48FD"/>
    <w:rsid w:val="00AB0460"/>
    <w:rsid w:val="00AB1700"/>
    <w:rsid w:val="00AB31CC"/>
    <w:rsid w:val="00AB335C"/>
    <w:rsid w:val="00AB3591"/>
    <w:rsid w:val="00AB364E"/>
    <w:rsid w:val="00AB36BA"/>
    <w:rsid w:val="00AB4426"/>
    <w:rsid w:val="00AB448E"/>
    <w:rsid w:val="00AB451D"/>
    <w:rsid w:val="00AB4FAF"/>
    <w:rsid w:val="00AB5436"/>
    <w:rsid w:val="00AB61CD"/>
    <w:rsid w:val="00AB66D1"/>
    <w:rsid w:val="00AB68CF"/>
    <w:rsid w:val="00AB7221"/>
    <w:rsid w:val="00AB772A"/>
    <w:rsid w:val="00AB7C83"/>
    <w:rsid w:val="00AB7DC5"/>
    <w:rsid w:val="00AC0561"/>
    <w:rsid w:val="00AC094F"/>
    <w:rsid w:val="00AC0E17"/>
    <w:rsid w:val="00AC32C3"/>
    <w:rsid w:val="00AC3B1E"/>
    <w:rsid w:val="00AC3B69"/>
    <w:rsid w:val="00AC3B84"/>
    <w:rsid w:val="00AC3BBA"/>
    <w:rsid w:val="00AC4534"/>
    <w:rsid w:val="00AC51D8"/>
    <w:rsid w:val="00AC5213"/>
    <w:rsid w:val="00AC58EB"/>
    <w:rsid w:val="00AC63F7"/>
    <w:rsid w:val="00AC6A39"/>
    <w:rsid w:val="00AD0E23"/>
    <w:rsid w:val="00AD1183"/>
    <w:rsid w:val="00AD19A8"/>
    <w:rsid w:val="00AD28AD"/>
    <w:rsid w:val="00AD28E7"/>
    <w:rsid w:val="00AD295E"/>
    <w:rsid w:val="00AD2DFD"/>
    <w:rsid w:val="00AD3565"/>
    <w:rsid w:val="00AD38CC"/>
    <w:rsid w:val="00AD48B2"/>
    <w:rsid w:val="00AD6A94"/>
    <w:rsid w:val="00AD6F12"/>
    <w:rsid w:val="00AD7017"/>
    <w:rsid w:val="00AE02C6"/>
    <w:rsid w:val="00AE1522"/>
    <w:rsid w:val="00AE2016"/>
    <w:rsid w:val="00AE34CB"/>
    <w:rsid w:val="00AE36B7"/>
    <w:rsid w:val="00AE4C23"/>
    <w:rsid w:val="00AE4CE5"/>
    <w:rsid w:val="00AE55E7"/>
    <w:rsid w:val="00AE6111"/>
    <w:rsid w:val="00AE69E0"/>
    <w:rsid w:val="00AF0335"/>
    <w:rsid w:val="00AF033C"/>
    <w:rsid w:val="00AF0E13"/>
    <w:rsid w:val="00AF1BB0"/>
    <w:rsid w:val="00AF2EFB"/>
    <w:rsid w:val="00AF3AD2"/>
    <w:rsid w:val="00AF7FE3"/>
    <w:rsid w:val="00B00A7A"/>
    <w:rsid w:val="00B01081"/>
    <w:rsid w:val="00B015AE"/>
    <w:rsid w:val="00B019BD"/>
    <w:rsid w:val="00B01B43"/>
    <w:rsid w:val="00B02B4C"/>
    <w:rsid w:val="00B0374F"/>
    <w:rsid w:val="00B03D14"/>
    <w:rsid w:val="00B03FC8"/>
    <w:rsid w:val="00B04E86"/>
    <w:rsid w:val="00B06CD8"/>
    <w:rsid w:val="00B1059F"/>
    <w:rsid w:val="00B11310"/>
    <w:rsid w:val="00B1152B"/>
    <w:rsid w:val="00B12494"/>
    <w:rsid w:val="00B12C36"/>
    <w:rsid w:val="00B1325E"/>
    <w:rsid w:val="00B14A93"/>
    <w:rsid w:val="00B16AD4"/>
    <w:rsid w:val="00B1718E"/>
    <w:rsid w:val="00B17E11"/>
    <w:rsid w:val="00B20656"/>
    <w:rsid w:val="00B20A42"/>
    <w:rsid w:val="00B2145D"/>
    <w:rsid w:val="00B21F0D"/>
    <w:rsid w:val="00B233FB"/>
    <w:rsid w:val="00B23416"/>
    <w:rsid w:val="00B2488B"/>
    <w:rsid w:val="00B25DCB"/>
    <w:rsid w:val="00B26722"/>
    <w:rsid w:val="00B26C5D"/>
    <w:rsid w:val="00B27BA8"/>
    <w:rsid w:val="00B27FCD"/>
    <w:rsid w:val="00B27FEE"/>
    <w:rsid w:val="00B30282"/>
    <w:rsid w:val="00B305B9"/>
    <w:rsid w:val="00B30CC7"/>
    <w:rsid w:val="00B312F9"/>
    <w:rsid w:val="00B319C0"/>
    <w:rsid w:val="00B31BFE"/>
    <w:rsid w:val="00B31E8F"/>
    <w:rsid w:val="00B3228C"/>
    <w:rsid w:val="00B32904"/>
    <w:rsid w:val="00B337DC"/>
    <w:rsid w:val="00B34A28"/>
    <w:rsid w:val="00B34A78"/>
    <w:rsid w:val="00B35C3C"/>
    <w:rsid w:val="00B37278"/>
    <w:rsid w:val="00B37586"/>
    <w:rsid w:val="00B402A6"/>
    <w:rsid w:val="00B407F4"/>
    <w:rsid w:val="00B40833"/>
    <w:rsid w:val="00B412B4"/>
    <w:rsid w:val="00B42D81"/>
    <w:rsid w:val="00B43EE8"/>
    <w:rsid w:val="00B455AF"/>
    <w:rsid w:val="00B457F7"/>
    <w:rsid w:val="00B466F1"/>
    <w:rsid w:val="00B476B0"/>
    <w:rsid w:val="00B50CAD"/>
    <w:rsid w:val="00B5223E"/>
    <w:rsid w:val="00B5265D"/>
    <w:rsid w:val="00B52F84"/>
    <w:rsid w:val="00B53760"/>
    <w:rsid w:val="00B546D7"/>
    <w:rsid w:val="00B54B83"/>
    <w:rsid w:val="00B55DD5"/>
    <w:rsid w:val="00B5612A"/>
    <w:rsid w:val="00B5621D"/>
    <w:rsid w:val="00B566B0"/>
    <w:rsid w:val="00B57676"/>
    <w:rsid w:val="00B57B18"/>
    <w:rsid w:val="00B63F74"/>
    <w:rsid w:val="00B64606"/>
    <w:rsid w:val="00B6472A"/>
    <w:rsid w:val="00B65824"/>
    <w:rsid w:val="00B660B6"/>
    <w:rsid w:val="00B66A94"/>
    <w:rsid w:val="00B66CE2"/>
    <w:rsid w:val="00B679BA"/>
    <w:rsid w:val="00B679F8"/>
    <w:rsid w:val="00B70336"/>
    <w:rsid w:val="00B72436"/>
    <w:rsid w:val="00B72B53"/>
    <w:rsid w:val="00B73375"/>
    <w:rsid w:val="00B739E0"/>
    <w:rsid w:val="00B740E9"/>
    <w:rsid w:val="00B74843"/>
    <w:rsid w:val="00B7604F"/>
    <w:rsid w:val="00B7634A"/>
    <w:rsid w:val="00B766C6"/>
    <w:rsid w:val="00B76D71"/>
    <w:rsid w:val="00B76DD3"/>
    <w:rsid w:val="00B77339"/>
    <w:rsid w:val="00B773C8"/>
    <w:rsid w:val="00B8006D"/>
    <w:rsid w:val="00B800BD"/>
    <w:rsid w:val="00B8047B"/>
    <w:rsid w:val="00B81395"/>
    <w:rsid w:val="00B81766"/>
    <w:rsid w:val="00B82715"/>
    <w:rsid w:val="00B8315E"/>
    <w:rsid w:val="00B84748"/>
    <w:rsid w:val="00B850B2"/>
    <w:rsid w:val="00B85647"/>
    <w:rsid w:val="00B86229"/>
    <w:rsid w:val="00B87F0B"/>
    <w:rsid w:val="00B919A9"/>
    <w:rsid w:val="00B919C8"/>
    <w:rsid w:val="00B91D4D"/>
    <w:rsid w:val="00B91E34"/>
    <w:rsid w:val="00B921DE"/>
    <w:rsid w:val="00B92304"/>
    <w:rsid w:val="00B92355"/>
    <w:rsid w:val="00B92C63"/>
    <w:rsid w:val="00B93D7C"/>
    <w:rsid w:val="00B93E7C"/>
    <w:rsid w:val="00B953DC"/>
    <w:rsid w:val="00B964DD"/>
    <w:rsid w:val="00B96A3F"/>
    <w:rsid w:val="00B9789A"/>
    <w:rsid w:val="00B979E0"/>
    <w:rsid w:val="00B97E91"/>
    <w:rsid w:val="00B97FE0"/>
    <w:rsid w:val="00BA00C0"/>
    <w:rsid w:val="00BA101B"/>
    <w:rsid w:val="00BA171A"/>
    <w:rsid w:val="00BA1A1B"/>
    <w:rsid w:val="00BA1B2D"/>
    <w:rsid w:val="00BA2301"/>
    <w:rsid w:val="00BA242B"/>
    <w:rsid w:val="00BA2D35"/>
    <w:rsid w:val="00BA2D84"/>
    <w:rsid w:val="00BA32C6"/>
    <w:rsid w:val="00BA3363"/>
    <w:rsid w:val="00BA3487"/>
    <w:rsid w:val="00BA3736"/>
    <w:rsid w:val="00BA4267"/>
    <w:rsid w:val="00BA4444"/>
    <w:rsid w:val="00BA46A7"/>
    <w:rsid w:val="00BA48D3"/>
    <w:rsid w:val="00BA4ABA"/>
    <w:rsid w:val="00BA5CB5"/>
    <w:rsid w:val="00BA6977"/>
    <w:rsid w:val="00BA7477"/>
    <w:rsid w:val="00BA7945"/>
    <w:rsid w:val="00BA7B8A"/>
    <w:rsid w:val="00BB0FC6"/>
    <w:rsid w:val="00BB208C"/>
    <w:rsid w:val="00BB2DF8"/>
    <w:rsid w:val="00BB2F29"/>
    <w:rsid w:val="00BB43D3"/>
    <w:rsid w:val="00BB4513"/>
    <w:rsid w:val="00BB45CF"/>
    <w:rsid w:val="00BB5538"/>
    <w:rsid w:val="00BB5597"/>
    <w:rsid w:val="00BB658F"/>
    <w:rsid w:val="00BB6A89"/>
    <w:rsid w:val="00BB6EFF"/>
    <w:rsid w:val="00BB7497"/>
    <w:rsid w:val="00BB7B78"/>
    <w:rsid w:val="00BC0058"/>
    <w:rsid w:val="00BC0741"/>
    <w:rsid w:val="00BC19B0"/>
    <w:rsid w:val="00BC230D"/>
    <w:rsid w:val="00BC3C77"/>
    <w:rsid w:val="00BC40AD"/>
    <w:rsid w:val="00BC476A"/>
    <w:rsid w:val="00BC4831"/>
    <w:rsid w:val="00BC48DE"/>
    <w:rsid w:val="00BC6E1C"/>
    <w:rsid w:val="00BC7127"/>
    <w:rsid w:val="00BC7183"/>
    <w:rsid w:val="00BC7492"/>
    <w:rsid w:val="00BC7932"/>
    <w:rsid w:val="00BC7CF2"/>
    <w:rsid w:val="00BD0388"/>
    <w:rsid w:val="00BD0D89"/>
    <w:rsid w:val="00BD11D2"/>
    <w:rsid w:val="00BD1317"/>
    <w:rsid w:val="00BD1551"/>
    <w:rsid w:val="00BD157C"/>
    <w:rsid w:val="00BD18CC"/>
    <w:rsid w:val="00BD25E0"/>
    <w:rsid w:val="00BD2958"/>
    <w:rsid w:val="00BD30F2"/>
    <w:rsid w:val="00BD3E04"/>
    <w:rsid w:val="00BD42C0"/>
    <w:rsid w:val="00BD46FA"/>
    <w:rsid w:val="00BD4A6F"/>
    <w:rsid w:val="00BD4B2D"/>
    <w:rsid w:val="00BD4E29"/>
    <w:rsid w:val="00BD6A47"/>
    <w:rsid w:val="00BD7608"/>
    <w:rsid w:val="00BD7F3E"/>
    <w:rsid w:val="00BE0550"/>
    <w:rsid w:val="00BE1431"/>
    <w:rsid w:val="00BE2C20"/>
    <w:rsid w:val="00BE2CC8"/>
    <w:rsid w:val="00BE36B0"/>
    <w:rsid w:val="00BE3C21"/>
    <w:rsid w:val="00BE4128"/>
    <w:rsid w:val="00BE5CA6"/>
    <w:rsid w:val="00BE5EFC"/>
    <w:rsid w:val="00BE62B6"/>
    <w:rsid w:val="00BE752B"/>
    <w:rsid w:val="00BE7694"/>
    <w:rsid w:val="00BE7D0D"/>
    <w:rsid w:val="00BE7EE5"/>
    <w:rsid w:val="00BF01E6"/>
    <w:rsid w:val="00BF06C9"/>
    <w:rsid w:val="00BF0F6E"/>
    <w:rsid w:val="00BF1DCF"/>
    <w:rsid w:val="00BF3205"/>
    <w:rsid w:val="00BF442A"/>
    <w:rsid w:val="00BF48C5"/>
    <w:rsid w:val="00BF4FFD"/>
    <w:rsid w:val="00BF5435"/>
    <w:rsid w:val="00BF6388"/>
    <w:rsid w:val="00BF6852"/>
    <w:rsid w:val="00C023C8"/>
    <w:rsid w:val="00C04058"/>
    <w:rsid w:val="00C04E96"/>
    <w:rsid w:val="00C04F0F"/>
    <w:rsid w:val="00C0518E"/>
    <w:rsid w:val="00C05432"/>
    <w:rsid w:val="00C054F5"/>
    <w:rsid w:val="00C05770"/>
    <w:rsid w:val="00C0617E"/>
    <w:rsid w:val="00C062D0"/>
    <w:rsid w:val="00C06A87"/>
    <w:rsid w:val="00C06D1F"/>
    <w:rsid w:val="00C077CD"/>
    <w:rsid w:val="00C07BE2"/>
    <w:rsid w:val="00C10F52"/>
    <w:rsid w:val="00C114A0"/>
    <w:rsid w:val="00C11E5A"/>
    <w:rsid w:val="00C1222C"/>
    <w:rsid w:val="00C12363"/>
    <w:rsid w:val="00C12D81"/>
    <w:rsid w:val="00C13B77"/>
    <w:rsid w:val="00C1469F"/>
    <w:rsid w:val="00C148B4"/>
    <w:rsid w:val="00C14B13"/>
    <w:rsid w:val="00C15885"/>
    <w:rsid w:val="00C15BE5"/>
    <w:rsid w:val="00C15F02"/>
    <w:rsid w:val="00C16971"/>
    <w:rsid w:val="00C169D7"/>
    <w:rsid w:val="00C16E0B"/>
    <w:rsid w:val="00C17080"/>
    <w:rsid w:val="00C170B1"/>
    <w:rsid w:val="00C172B4"/>
    <w:rsid w:val="00C172DE"/>
    <w:rsid w:val="00C177C4"/>
    <w:rsid w:val="00C17D93"/>
    <w:rsid w:val="00C20CED"/>
    <w:rsid w:val="00C2186C"/>
    <w:rsid w:val="00C22768"/>
    <w:rsid w:val="00C242D2"/>
    <w:rsid w:val="00C249A7"/>
    <w:rsid w:val="00C24AD2"/>
    <w:rsid w:val="00C259B9"/>
    <w:rsid w:val="00C259C0"/>
    <w:rsid w:val="00C30B29"/>
    <w:rsid w:val="00C31DE6"/>
    <w:rsid w:val="00C323D0"/>
    <w:rsid w:val="00C32A8A"/>
    <w:rsid w:val="00C32D06"/>
    <w:rsid w:val="00C33CD0"/>
    <w:rsid w:val="00C3406A"/>
    <w:rsid w:val="00C343B8"/>
    <w:rsid w:val="00C34A72"/>
    <w:rsid w:val="00C35914"/>
    <w:rsid w:val="00C3602A"/>
    <w:rsid w:val="00C3626C"/>
    <w:rsid w:val="00C3633B"/>
    <w:rsid w:val="00C37B29"/>
    <w:rsid w:val="00C4033D"/>
    <w:rsid w:val="00C40781"/>
    <w:rsid w:val="00C40919"/>
    <w:rsid w:val="00C40DBB"/>
    <w:rsid w:val="00C40FFB"/>
    <w:rsid w:val="00C42B3F"/>
    <w:rsid w:val="00C42F9E"/>
    <w:rsid w:val="00C435A9"/>
    <w:rsid w:val="00C43BDD"/>
    <w:rsid w:val="00C43C89"/>
    <w:rsid w:val="00C44510"/>
    <w:rsid w:val="00C44D77"/>
    <w:rsid w:val="00C45357"/>
    <w:rsid w:val="00C459DF"/>
    <w:rsid w:val="00C45D35"/>
    <w:rsid w:val="00C4655C"/>
    <w:rsid w:val="00C46FFF"/>
    <w:rsid w:val="00C478EB"/>
    <w:rsid w:val="00C47C47"/>
    <w:rsid w:val="00C5053F"/>
    <w:rsid w:val="00C50837"/>
    <w:rsid w:val="00C50A4F"/>
    <w:rsid w:val="00C50BBD"/>
    <w:rsid w:val="00C51567"/>
    <w:rsid w:val="00C5185F"/>
    <w:rsid w:val="00C51EE4"/>
    <w:rsid w:val="00C5283A"/>
    <w:rsid w:val="00C52ACA"/>
    <w:rsid w:val="00C53AD9"/>
    <w:rsid w:val="00C53B34"/>
    <w:rsid w:val="00C547CD"/>
    <w:rsid w:val="00C554A5"/>
    <w:rsid w:val="00C557C2"/>
    <w:rsid w:val="00C55FA7"/>
    <w:rsid w:val="00C5607F"/>
    <w:rsid w:val="00C5695A"/>
    <w:rsid w:val="00C56F4E"/>
    <w:rsid w:val="00C5702F"/>
    <w:rsid w:val="00C574D3"/>
    <w:rsid w:val="00C60056"/>
    <w:rsid w:val="00C603D4"/>
    <w:rsid w:val="00C604A4"/>
    <w:rsid w:val="00C60D56"/>
    <w:rsid w:val="00C6136D"/>
    <w:rsid w:val="00C61E42"/>
    <w:rsid w:val="00C6235A"/>
    <w:rsid w:val="00C6288F"/>
    <w:rsid w:val="00C63B87"/>
    <w:rsid w:val="00C659F1"/>
    <w:rsid w:val="00C65D3B"/>
    <w:rsid w:val="00C668E8"/>
    <w:rsid w:val="00C66CBA"/>
    <w:rsid w:val="00C67C5D"/>
    <w:rsid w:val="00C70BFB"/>
    <w:rsid w:val="00C70DD2"/>
    <w:rsid w:val="00C713CA"/>
    <w:rsid w:val="00C71C0C"/>
    <w:rsid w:val="00C71E13"/>
    <w:rsid w:val="00C71EBA"/>
    <w:rsid w:val="00C72812"/>
    <w:rsid w:val="00C72AE5"/>
    <w:rsid w:val="00C736D7"/>
    <w:rsid w:val="00C73901"/>
    <w:rsid w:val="00C73F88"/>
    <w:rsid w:val="00C743E1"/>
    <w:rsid w:val="00C744D0"/>
    <w:rsid w:val="00C74A54"/>
    <w:rsid w:val="00C74EB9"/>
    <w:rsid w:val="00C753C3"/>
    <w:rsid w:val="00C765C8"/>
    <w:rsid w:val="00C76836"/>
    <w:rsid w:val="00C77110"/>
    <w:rsid w:val="00C80727"/>
    <w:rsid w:val="00C80739"/>
    <w:rsid w:val="00C8098E"/>
    <w:rsid w:val="00C80FE0"/>
    <w:rsid w:val="00C814F4"/>
    <w:rsid w:val="00C81656"/>
    <w:rsid w:val="00C822C0"/>
    <w:rsid w:val="00C828A1"/>
    <w:rsid w:val="00C848F8"/>
    <w:rsid w:val="00C849C7"/>
    <w:rsid w:val="00C86B6D"/>
    <w:rsid w:val="00C87927"/>
    <w:rsid w:val="00C9023F"/>
    <w:rsid w:val="00C90B00"/>
    <w:rsid w:val="00C916E4"/>
    <w:rsid w:val="00C91792"/>
    <w:rsid w:val="00C917C3"/>
    <w:rsid w:val="00C921DD"/>
    <w:rsid w:val="00C94113"/>
    <w:rsid w:val="00C9437D"/>
    <w:rsid w:val="00C94694"/>
    <w:rsid w:val="00C948F8"/>
    <w:rsid w:val="00C95E19"/>
    <w:rsid w:val="00C97329"/>
    <w:rsid w:val="00C9754A"/>
    <w:rsid w:val="00C975C7"/>
    <w:rsid w:val="00CA0732"/>
    <w:rsid w:val="00CA0BDB"/>
    <w:rsid w:val="00CA2410"/>
    <w:rsid w:val="00CA2744"/>
    <w:rsid w:val="00CA2A1D"/>
    <w:rsid w:val="00CA2A97"/>
    <w:rsid w:val="00CA2B95"/>
    <w:rsid w:val="00CA2C66"/>
    <w:rsid w:val="00CA3319"/>
    <w:rsid w:val="00CA37D7"/>
    <w:rsid w:val="00CA38B3"/>
    <w:rsid w:val="00CA3ACB"/>
    <w:rsid w:val="00CA3D4C"/>
    <w:rsid w:val="00CA3FA9"/>
    <w:rsid w:val="00CA4598"/>
    <w:rsid w:val="00CA45E3"/>
    <w:rsid w:val="00CA49DF"/>
    <w:rsid w:val="00CA7049"/>
    <w:rsid w:val="00CB0BEB"/>
    <w:rsid w:val="00CB1592"/>
    <w:rsid w:val="00CB15BF"/>
    <w:rsid w:val="00CB184B"/>
    <w:rsid w:val="00CB1B3F"/>
    <w:rsid w:val="00CB1EEB"/>
    <w:rsid w:val="00CB2413"/>
    <w:rsid w:val="00CB2D18"/>
    <w:rsid w:val="00CB2F22"/>
    <w:rsid w:val="00CB42FC"/>
    <w:rsid w:val="00CB471A"/>
    <w:rsid w:val="00CB530B"/>
    <w:rsid w:val="00CB537B"/>
    <w:rsid w:val="00CB57F9"/>
    <w:rsid w:val="00CB5834"/>
    <w:rsid w:val="00CB5DC8"/>
    <w:rsid w:val="00CB60C7"/>
    <w:rsid w:val="00CB7046"/>
    <w:rsid w:val="00CB75F9"/>
    <w:rsid w:val="00CB7D40"/>
    <w:rsid w:val="00CB7DAD"/>
    <w:rsid w:val="00CC0415"/>
    <w:rsid w:val="00CC0C50"/>
    <w:rsid w:val="00CC11C1"/>
    <w:rsid w:val="00CC247E"/>
    <w:rsid w:val="00CC267D"/>
    <w:rsid w:val="00CC32FE"/>
    <w:rsid w:val="00CC3414"/>
    <w:rsid w:val="00CC4251"/>
    <w:rsid w:val="00CC4913"/>
    <w:rsid w:val="00CC50B8"/>
    <w:rsid w:val="00CC5F3A"/>
    <w:rsid w:val="00CC696F"/>
    <w:rsid w:val="00CC734D"/>
    <w:rsid w:val="00CC7E55"/>
    <w:rsid w:val="00CD0B2F"/>
    <w:rsid w:val="00CD12DA"/>
    <w:rsid w:val="00CD1495"/>
    <w:rsid w:val="00CD166B"/>
    <w:rsid w:val="00CD2406"/>
    <w:rsid w:val="00CD2C08"/>
    <w:rsid w:val="00CD30D8"/>
    <w:rsid w:val="00CD34FE"/>
    <w:rsid w:val="00CD3DF0"/>
    <w:rsid w:val="00CD3F8B"/>
    <w:rsid w:val="00CD4BA1"/>
    <w:rsid w:val="00CD4EAF"/>
    <w:rsid w:val="00CD50B6"/>
    <w:rsid w:val="00CD5166"/>
    <w:rsid w:val="00CD67A2"/>
    <w:rsid w:val="00CD6C5E"/>
    <w:rsid w:val="00CD7EB4"/>
    <w:rsid w:val="00CE109C"/>
    <w:rsid w:val="00CE1163"/>
    <w:rsid w:val="00CE243D"/>
    <w:rsid w:val="00CE26E9"/>
    <w:rsid w:val="00CE2DAF"/>
    <w:rsid w:val="00CE336D"/>
    <w:rsid w:val="00CE3A12"/>
    <w:rsid w:val="00CE3C2F"/>
    <w:rsid w:val="00CE40D7"/>
    <w:rsid w:val="00CE47CA"/>
    <w:rsid w:val="00CE4884"/>
    <w:rsid w:val="00CE618C"/>
    <w:rsid w:val="00CE6385"/>
    <w:rsid w:val="00CE665A"/>
    <w:rsid w:val="00CE69C9"/>
    <w:rsid w:val="00CE6CB6"/>
    <w:rsid w:val="00CE6DDE"/>
    <w:rsid w:val="00CE707A"/>
    <w:rsid w:val="00CE7ECB"/>
    <w:rsid w:val="00CF1046"/>
    <w:rsid w:val="00CF15D8"/>
    <w:rsid w:val="00CF1D04"/>
    <w:rsid w:val="00CF2598"/>
    <w:rsid w:val="00CF2C11"/>
    <w:rsid w:val="00CF3D55"/>
    <w:rsid w:val="00CF49AF"/>
    <w:rsid w:val="00CF674C"/>
    <w:rsid w:val="00CF75A7"/>
    <w:rsid w:val="00D026CD"/>
    <w:rsid w:val="00D03073"/>
    <w:rsid w:val="00D030AE"/>
    <w:rsid w:val="00D031C5"/>
    <w:rsid w:val="00D036BB"/>
    <w:rsid w:val="00D03ABF"/>
    <w:rsid w:val="00D04F8C"/>
    <w:rsid w:val="00D0531F"/>
    <w:rsid w:val="00D05FAA"/>
    <w:rsid w:val="00D06D80"/>
    <w:rsid w:val="00D06DA0"/>
    <w:rsid w:val="00D102C2"/>
    <w:rsid w:val="00D10472"/>
    <w:rsid w:val="00D10B4B"/>
    <w:rsid w:val="00D10B87"/>
    <w:rsid w:val="00D11A22"/>
    <w:rsid w:val="00D11CD5"/>
    <w:rsid w:val="00D1255B"/>
    <w:rsid w:val="00D12C2B"/>
    <w:rsid w:val="00D12FCA"/>
    <w:rsid w:val="00D1326E"/>
    <w:rsid w:val="00D13B8F"/>
    <w:rsid w:val="00D141A0"/>
    <w:rsid w:val="00D142F2"/>
    <w:rsid w:val="00D1546E"/>
    <w:rsid w:val="00D1614D"/>
    <w:rsid w:val="00D16CBB"/>
    <w:rsid w:val="00D17338"/>
    <w:rsid w:val="00D1755E"/>
    <w:rsid w:val="00D20419"/>
    <w:rsid w:val="00D2070B"/>
    <w:rsid w:val="00D23354"/>
    <w:rsid w:val="00D243CD"/>
    <w:rsid w:val="00D244F8"/>
    <w:rsid w:val="00D2458B"/>
    <w:rsid w:val="00D24A1F"/>
    <w:rsid w:val="00D25987"/>
    <w:rsid w:val="00D262F2"/>
    <w:rsid w:val="00D27334"/>
    <w:rsid w:val="00D2799F"/>
    <w:rsid w:val="00D301E5"/>
    <w:rsid w:val="00D30DA6"/>
    <w:rsid w:val="00D30F6D"/>
    <w:rsid w:val="00D312E9"/>
    <w:rsid w:val="00D31E39"/>
    <w:rsid w:val="00D3278B"/>
    <w:rsid w:val="00D32E56"/>
    <w:rsid w:val="00D3323B"/>
    <w:rsid w:val="00D3527D"/>
    <w:rsid w:val="00D356E3"/>
    <w:rsid w:val="00D35837"/>
    <w:rsid w:val="00D35DBA"/>
    <w:rsid w:val="00D3623E"/>
    <w:rsid w:val="00D369E8"/>
    <w:rsid w:val="00D37D6C"/>
    <w:rsid w:val="00D40BCF"/>
    <w:rsid w:val="00D413A6"/>
    <w:rsid w:val="00D41749"/>
    <w:rsid w:val="00D41E17"/>
    <w:rsid w:val="00D41E2C"/>
    <w:rsid w:val="00D423AF"/>
    <w:rsid w:val="00D42A96"/>
    <w:rsid w:val="00D436CA"/>
    <w:rsid w:val="00D44A7C"/>
    <w:rsid w:val="00D458E5"/>
    <w:rsid w:val="00D45CFB"/>
    <w:rsid w:val="00D472EC"/>
    <w:rsid w:val="00D473CE"/>
    <w:rsid w:val="00D50CC0"/>
    <w:rsid w:val="00D50DD9"/>
    <w:rsid w:val="00D50E0E"/>
    <w:rsid w:val="00D5181B"/>
    <w:rsid w:val="00D51D08"/>
    <w:rsid w:val="00D52BFB"/>
    <w:rsid w:val="00D52D77"/>
    <w:rsid w:val="00D533BF"/>
    <w:rsid w:val="00D53C16"/>
    <w:rsid w:val="00D54285"/>
    <w:rsid w:val="00D54423"/>
    <w:rsid w:val="00D56FB6"/>
    <w:rsid w:val="00D570FA"/>
    <w:rsid w:val="00D572C5"/>
    <w:rsid w:val="00D6022D"/>
    <w:rsid w:val="00D60387"/>
    <w:rsid w:val="00D60878"/>
    <w:rsid w:val="00D61ED5"/>
    <w:rsid w:val="00D62C62"/>
    <w:rsid w:val="00D63AAB"/>
    <w:rsid w:val="00D63CDA"/>
    <w:rsid w:val="00D63FF9"/>
    <w:rsid w:val="00D640B3"/>
    <w:rsid w:val="00D65148"/>
    <w:rsid w:val="00D65B94"/>
    <w:rsid w:val="00D65E15"/>
    <w:rsid w:val="00D66774"/>
    <w:rsid w:val="00D669C0"/>
    <w:rsid w:val="00D70D55"/>
    <w:rsid w:val="00D70D58"/>
    <w:rsid w:val="00D7130C"/>
    <w:rsid w:val="00D7176F"/>
    <w:rsid w:val="00D71893"/>
    <w:rsid w:val="00D71A75"/>
    <w:rsid w:val="00D7273F"/>
    <w:rsid w:val="00D727D8"/>
    <w:rsid w:val="00D73C43"/>
    <w:rsid w:val="00D743DC"/>
    <w:rsid w:val="00D744A7"/>
    <w:rsid w:val="00D747B9"/>
    <w:rsid w:val="00D74D5B"/>
    <w:rsid w:val="00D74E9B"/>
    <w:rsid w:val="00D758E4"/>
    <w:rsid w:val="00D76844"/>
    <w:rsid w:val="00D77571"/>
    <w:rsid w:val="00D80519"/>
    <w:rsid w:val="00D81C75"/>
    <w:rsid w:val="00D821B3"/>
    <w:rsid w:val="00D829F1"/>
    <w:rsid w:val="00D82EF1"/>
    <w:rsid w:val="00D837AE"/>
    <w:rsid w:val="00D83B44"/>
    <w:rsid w:val="00D841EB"/>
    <w:rsid w:val="00D84628"/>
    <w:rsid w:val="00D851A4"/>
    <w:rsid w:val="00D854BA"/>
    <w:rsid w:val="00D856F9"/>
    <w:rsid w:val="00D85E13"/>
    <w:rsid w:val="00D86241"/>
    <w:rsid w:val="00D86C82"/>
    <w:rsid w:val="00D86ED4"/>
    <w:rsid w:val="00D87661"/>
    <w:rsid w:val="00D900B9"/>
    <w:rsid w:val="00D903D1"/>
    <w:rsid w:val="00D93350"/>
    <w:rsid w:val="00D93755"/>
    <w:rsid w:val="00D94528"/>
    <w:rsid w:val="00D96BEE"/>
    <w:rsid w:val="00D96C0B"/>
    <w:rsid w:val="00D970CB"/>
    <w:rsid w:val="00D9718A"/>
    <w:rsid w:val="00D97557"/>
    <w:rsid w:val="00DA0010"/>
    <w:rsid w:val="00DA0AF9"/>
    <w:rsid w:val="00DA0D03"/>
    <w:rsid w:val="00DA0E88"/>
    <w:rsid w:val="00DA1296"/>
    <w:rsid w:val="00DA2004"/>
    <w:rsid w:val="00DA2FC2"/>
    <w:rsid w:val="00DA430C"/>
    <w:rsid w:val="00DA4467"/>
    <w:rsid w:val="00DA53D6"/>
    <w:rsid w:val="00DA7C29"/>
    <w:rsid w:val="00DB03C4"/>
    <w:rsid w:val="00DB060D"/>
    <w:rsid w:val="00DB07E3"/>
    <w:rsid w:val="00DB097E"/>
    <w:rsid w:val="00DB1507"/>
    <w:rsid w:val="00DB19FB"/>
    <w:rsid w:val="00DB236D"/>
    <w:rsid w:val="00DB3930"/>
    <w:rsid w:val="00DB39D6"/>
    <w:rsid w:val="00DB3BBC"/>
    <w:rsid w:val="00DB55B3"/>
    <w:rsid w:val="00DB63FD"/>
    <w:rsid w:val="00DB6501"/>
    <w:rsid w:val="00DB72CC"/>
    <w:rsid w:val="00DB75AE"/>
    <w:rsid w:val="00DB76E9"/>
    <w:rsid w:val="00DB7ABB"/>
    <w:rsid w:val="00DC152B"/>
    <w:rsid w:val="00DC1A40"/>
    <w:rsid w:val="00DC22EF"/>
    <w:rsid w:val="00DC271E"/>
    <w:rsid w:val="00DC29C0"/>
    <w:rsid w:val="00DC34B5"/>
    <w:rsid w:val="00DC3922"/>
    <w:rsid w:val="00DC3949"/>
    <w:rsid w:val="00DC4985"/>
    <w:rsid w:val="00DC5623"/>
    <w:rsid w:val="00DC5EEE"/>
    <w:rsid w:val="00DC690D"/>
    <w:rsid w:val="00DC74AF"/>
    <w:rsid w:val="00DC7AC2"/>
    <w:rsid w:val="00DC7E1D"/>
    <w:rsid w:val="00DD1179"/>
    <w:rsid w:val="00DD18F0"/>
    <w:rsid w:val="00DD1DD3"/>
    <w:rsid w:val="00DD211D"/>
    <w:rsid w:val="00DD2708"/>
    <w:rsid w:val="00DD2CDB"/>
    <w:rsid w:val="00DD4112"/>
    <w:rsid w:val="00DD50EE"/>
    <w:rsid w:val="00DD5DDE"/>
    <w:rsid w:val="00DD5F2F"/>
    <w:rsid w:val="00DD60B9"/>
    <w:rsid w:val="00DD667D"/>
    <w:rsid w:val="00DD6998"/>
    <w:rsid w:val="00DD7247"/>
    <w:rsid w:val="00DE0405"/>
    <w:rsid w:val="00DE14FD"/>
    <w:rsid w:val="00DE1F5B"/>
    <w:rsid w:val="00DE2790"/>
    <w:rsid w:val="00DE2B74"/>
    <w:rsid w:val="00DE34EC"/>
    <w:rsid w:val="00DE3C89"/>
    <w:rsid w:val="00DE3FAB"/>
    <w:rsid w:val="00DE4152"/>
    <w:rsid w:val="00DE488D"/>
    <w:rsid w:val="00DE49E1"/>
    <w:rsid w:val="00DE5833"/>
    <w:rsid w:val="00DE5A1E"/>
    <w:rsid w:val="00DE6218"/>
    <w:rsid w:val="00DE7823"/>
    <w:rsid w:val="00DF0A52"/>
    <w:rsid w:val="00DF0D04"/>
    <w:rsid w:val="00DF0DDD"/>
    <w:rsid w:val="00DF1B05"/>
    <w:rsid w:val="00DF1D38"/>
    <w:rsid w:val="00DF269A"/>
    <w:rsid w:val="00DF308F"/>
    <w:rsid w:val="00DF311A"/>
    <w:rsid w:val="00DF4F20"/>
    <w:rsid w:val="00DF4F81"/>
    <w:rsid w:val="00DF6A60"/>
    <w:rsid w:val="00DF7C90"/>
    <w:rsid w:val="00DF7CFA"/>
    <w:rsid w:val="00E00F72"/>
    <w:rsid w:val="00E01556"/>
    <w:rsid w:val="00E035D9"/>
    <w:rsid w:val="00E03C64"/>
    <w:rsid w:val="00E04A34"/>
    <w:rsid w:val="00E04FE7"/>
    <w:rsid w:val="00E0536A"/>
    <w:rsid w:val="00E05715"/>
    <w:rsid w:val="00E05B95"/>
    <w:rsid w:val="00E07895"/>
    <w:rsid w:val="00E11783"/>
    <w:rsid w:val="00E124E1"/>
    <w:rsid w:val="00E129C5"/>
    <w:rsid w:val="00E12F7A"/>
    <w:rsid w:val="00E131FE"/>
    <w:rsid w:val="00E1367F"/>
    <w:rsid w:val="00E13FC2"/>
    <w:rsid w:val="00E142C4"/>
    <w:rsid w:val="00E14A65"/>
    <w:rsid w:val="00E151D2"/>
    <w:rsid w:val="00E15AB7"/>
    <w:rsid w:val="00E1697D"/>
    <w:rsid w:val="00E210B5"/>
    <w:rsid w:val="00E218DF"/>
    <w:rsid w:val="00E2263E"/>
    <w:rsid w:val="00E22868"/>
    <w:rsid w:val="00E22A60"/>
    <w:rsid w:val="00E234C7"/>
    <w:rsid w:val="00E2384E"/>
    <w:rsid w:val="00E23A53"/>
    <w:rsid w:val="00E246D6"/>
    <w:rsid w:val="00E24F4B"/>
    <w:rsid w:val="00E25382"/>
    <w:rsid w:val="00E27BBE"/>
    <w:rsid w:val="00E3143D"/>
    <w:rsid w:val="00E321CE"/>
    <w:rsid w:val="00E32A96"/>
    <w:rsid w:val="00E33651"/>
    <w:rsid w:val="00E346CB"/>
    <w:rsid w:val="00E34C5B"/>
    <w:rsid w:val="00E35C48"/>
    <w:rsid w:val="00E37601"/>
    <w:rsid w:val="00E378D8"/>
    <w:rsid w:val="00E37E57"/>
    <w:rsid w:val="00E401FE"/>
    <w:rsid w:val="00E4075A"/>
    <w:rsid w:val="00E423C8"/>
    <w:rsid w:val="00E42867"/>
    <w:rsid w:val="00E42BA5"/>
    <w:rsid w:val="00E432EA"/>
    <w:rsid w:val="00E43AE3"/>
    <w:rsid w:val="00E44041"/>
    <w:rsid w:val="00E443E7"/>
    <w:rsid w:val="00E44919"/>
    <w:rsid w:val="00E44E75"/>
    <w:rsid w:val="00E45038"/>
    <w:rsid w:val="00E4507D"/>
    <w:rsid w:val="00E45329"/>
    <w:rsid w:val="00E457C5"/>
    <w:rsid w:val="00E45F9C"/>
    <w:rsid w:val="00E46025"/>
    <w:rsid w:val="00E46F2D"/>
    <w:rsid w:val="00E471D1"/>
    <w:rsid w:val="00E474AD"/>
    <w:rsid w:val="00E47A59"/>
    <w:rsid w:val="00E50472"/>
    <w:rsid w:val="00E50F23"/>
    <w:rsid w:val="00E5114C"/>
    <w:rsid w:val="00E5260C"/>
    <w:rsid w:val="00E527D3"/>
    <w:rsid w:val="00E52B6F"/>
    <w:rsid w:val="00E5385D"/>
    <w:rsid w:val="00E53B41"/>
    <w:rsid w:val="00E53DA9"/>
    <w:rsid w:val="00E53F98"/>
    <w:rsid w:val="00E54067"/>
    <w:rsid w:val="00E54A5F"/>
    <w:rsid w:val="00E553C2"/>
    <w:rsid w:val="00E558B2"/>
    <w:rsid w:val="00E559DB"/>
    <w:rsid w:val="00E5639E"/>
    <w:rsid w:val="00E563E6"/>
    <w:rsid w:val="00E56ACA"/>
    <w:rsid w:val="00E57349"/>
    <w:rsid w:val="00E57CC6"/>
    <w:rsid w:val="00E57CCC"/>
    <w:rsid w:val="00E606D9"/>
    <w:rsid w:val="00E619BB"/>
    <w:rsid w:val="00E6206E"/>
    <w:rsid w:val="00E62867"/>
    <w:rsid w:val="00E63431"/>
    <w:rsid w:val="00E643AB"/>
    <w:rsid w:val="00E65552"/>
    <w:rsid w:val="00E66D25"/>
    <w:rsid w:val="00E70441"/>
    <w:rsid w:val="00E710CC"/>
    <w:rsid w:val="00E71B68"/>
    <w:rsid w:val="00E723A3"/>
    <w:rsid w:val="00E723C7"/>
    <w:rsid w:val="00E728E6"/>
    <w:rsid w:val="00E73083"/>
    <w:rsid w:val="00E73283"/>
    <w:rsid w:val="00E73726"/>
    <w:rsid w:val="00E73B35"/>
    <w:rsid w:val="00E74DF9"/>
    <w:rsid w:val="00E752DF"/>
    <w:rsid w:val="00E75C85"/>
    <w:rsid w:val="00E75CC5"/>
    <w:rsid w:val="00E76AEC"/>
    <w:rsid w:val="00E76CF9"/>
    <w:rsid w:val="00E776E4"/>
    <w:rsid w:val="00E77738"/>
    <w:rsid w:val="00E77D03"/>
    <w:rsid w:val="00E80DEA"/>
    <w:rsid w:val="00E82707"/>
    <w:rsid w:val="00E82B8F"/>
    <w:rsid w:val="00E839AC"/>
    <w:rsid w:val="00E83BD3"/>
    <w:rsid w:val="00E84077"/>
    <w:rsid w:val="00E84B26"/>
    <w:rsid w:val="00E85B96"/>
    <w:rsid w:val="00E87192"/>
    <w:rsid w:val="00E87805"/>
    <w:rsid w:val="00E9060E"/>
    <w:rsid w:val="00E9098A"/>
    <w:rsid w:val="00E90BD7"/>
    <w:rsid w:val="00E90C1F"/>
    <w:rsid w:val="00E90D9A"/>
    <w:rsid w:val="00E91143"/>
    <w:rsid w:val="00E919E6"/>
    <w:rsid w:val="00E91E05"/>
    <w:rsid w:val="00E925E8"/>
    <w:rsid w:val="00E9299A"/>
    <w:rsid w:val="00E93672"/>
    <w:rsid w:val="00E93A16"/>
    <w:rsid w:val="00E93B3A"/>
    <w:rsid w:val="00E94201"/>
    <w:rsid w:val="00E947FC"/>
    <w:rsid w:val="00E94DC4"/>
    <w:rsid w:val="00E94F30"/>
    <w:rsid w:val="00E956CA"/>
    <w:rsid w:val="00E95959"/>
    <w:rsid w:val="00E95D06"/>
    <w:rsid w:val="00E97EC6"/>
    <w:rsid w:val="00EA0832"/>
    <w:rsid w:val="00EA10FE"/>
    <w:rsid w:val="00EA1D68"/>
    <w:rsid w:val="00EA2273"/>
    <w:rsid w:val="00EA2D8D"/>
    <w:rsid w:val="00EA315A"/>
    <w:rsid w:val="00EA3CE8"/>
    <w:rsid w:val="00EA3D22"/>
    <w:rsid w:val="00EA3E26"/>
    <w:rsid w:val="00EA4E9B"/>
    <w:rsid w:val="00EA4F25"/>
    <w:rsid w:val="00EA5461"/>
    <w:rsid w:val="00EA5606"/>
    <w:rsid w:val="00EA5712"/>
    <w:rsid w:val="00EA5A1B"/>
    <w:rsid w:val="00EA7884"/>
    <w:rsid w:val="00EA7DC6"/>
    <w:rsid w:val="00EB08D0"/>
    <w:rsid w:val="00EB0A08"/>
    <w:rsid w:val="00EB0B88"/>
    <w:rsid w:val="00EB0D44"/>
    <w:rsid w:val="00EB1B13"/>
    <w:rsid w:val="00EB2F01"/>
    <w:rsid w:val="00EB36FF"/>
    <w:rsid w:val="00EB45AA"/>
    <w:rsid w:val="00EB4B2B"/>
    <w:rsid w:val="00EB4BFE"/>
    <w:rsid w:val="00EB4D64"/>
    <w:rsid w:val="00EB4E9D"/>
    <w:rsid w:val="00EB574C"/>
    <w:rsid w:val="00EB69B3"/>
    <w:rsid w:val="00EB7035"/>
    <w:rsid w:val="00EB7470"/>
    <w:rsid w:val="00EC0273"/>
    <w:rsid w:val="00EC0396"/>
    <w:rsid w:val="00EC0E88"/>
    <w:rsid w:val="00EC1FFE"/>
    <w:rsid w:val="00EC4329"/>
    <w:rsid w:val="00EC435E"/>
    <w:rsid w:val="00EC48F1"/>
    <w:rsid w:val="00EC4C59"/>
    <w:rsid w:val="00EC5BEF"/>
    <w:rsid w:val="00EC63F8"/>
    <w:rsid w:val="00EC727C"/>
    <w:rsid w:val="00ED0019"/>
    <w:rsid w:val="00ED05FF"/>
    <w:rsid w:val="00ED0BC2"/>
    <w:rsid w:val="00ED0F6F"/>
    <w:rsid w:val="00ED1457"/>
    <w:rsid w:val="00ED1822"/>
    <w:rsid w:val="00ED2DB0"/>
    <w:rsid w:val="00ED3498"/>
    <w:rsid w:val="00ED406B"/>
    <w:rsid w:val="00ED45C7"/>
    <w:rsid w:val="00ED495D"/>
    <w:rsid w:val="00ED564C"/>
    <w:rsid w:val="00ED6B1C"/>
    <w:rsid w:val="00ED714C"/>
    <w:rsid w:val="00ED7917"/>
    <w:rsid w:val="00ED7DFC"/>
    <w:rsid w:val="00EE150C"/>
    <w:rsid w:val="00EE158B"/>
    <w:rsid w:val="00EE39CB"/>
    <w:rsid w:val="00EE3C14"/>
    <w:rsid w:val="00EE4A8F"/>
    <w:rsid w:val="00EE56B3"/>
    <w:rsid w:val="00EE57BC"/>
    <w:rsid w:val="00EE64EA"/>
    <w:rsid w:val="00EE6565"/>
    <w:rsid w:val="00EE6A81"/>
    <w:rsid w:val="00EE6CAF"/>
    <w:rsid w:val="00EE7490"/>
    <w:rsid w:val="00EE78A6"/>
    <w:rsid w:val="00EE7B25"/>
    <w:rsid w:val="00EF00FC"/>
    <w:rsid w:val="00EF0E9F"/>
    <w:rsid w:val="00EF220A"/>
    <w:rsid w:val="00EF3CD0"/>
    <w:rsid w:val="00EF3D5C"/>
    <w:rsid w:val="00EF4C9B"/>
    <w:rsid w:val="00EF5931"/>
    <w:rsid w:val="00EF60C2"/>
    <w:rsid w:val="00EF6E6B"/>
    <w:rsid w:val="00F0057A"/>
    <w:rsid w:val="00F00975"/>
    <w:rsid w:val="00F00D68"/>
    <w:rsid w:val="00F01591"/>
    <w:rsid w:val="00F01CF5"/>
    <w:rsid w:val="00F01D5C"/>
    <w:rsid w:val="00F02828"/>
    <w:rsid w:val="00F02E84"/>
    <w:rsid w:val="00F0361F"/>
    <w:rsid w:val="00F03693"/>
    <w:rsid w:val="00F0385A"/>
    <w:rsid w:val="00F041D9"/>
    <w:rsid w:val="00F0472C"/>
    <w:rsid w:val="00F04E90"/>
    <w:rsid w:val="00F05FD7"/>
    <w:rsid w:val="00F067E7"/>
    <w:rsid w:val="00F0698D"/>
    <w:rsid w:val="00F10765"/>
    <w:rsid w:val="00F113E5"/>
    <w:rsid w:val="00F11979"/>
    <w:rsid w:val="00F11DCB"/>
    <w:rsid w:val="00F12F98"/>
    <w:rsid w:val="00F1353A"/>
    <w:rsid w:val="00F135D6"/>
    <w:rsid w:val="00F1422A"/>
    <w:rsid w:val="00F147E6"/>
    <w:rsid w:val="00F1538B"/>
    <w:rsid w:val="00F15856"/>
    <w:rsid w:val="00F15880"/>
    <w:rsid w:val="00F1651F"/>
    <w:rsid w:val="00F171B6"/>
    <w:rsid w:val="00F17344"/>
    <w:rsid w:val="00F17889"/>
    <w:rsid w:val="00F17A8B"/>
    <w:rsid w:val="00F17E44"/>
    <w:rsid w:val="00F17E74"/>
    <w:rsid w:val="00F2154D"/>
    <w:rsid w:val="00F21910"/>
    <w:rsid w:val="00F2237C"/>
    <w:rsid w:val="00F22877"/>
    <w:rsid w:val="00F23FAF"/>
    <w:rsid w:val="00F241B7"/>
    <w:rsid w:val="00F2443B"/>
    <w:rsid w:val="00F249BC"/>
    <w:rsid w:val="00F24A36"/>
    <w:rsid w:val="00F25A04"/>
    <w:rsid w:val="00F25B23"/>
    <w:rsid w:val="00F25FE2"/>
    <w:rsid w:val="00F268F2"/>
    <w:rsid w:val="00F279AD"/>
    <w:rsid w:val="00F27EE0"/>
    <w:rsid w:val="00F3061C"/>
    <w:rsid w:val="00F30FB4"/>
    <w:rsid w:val="00F31AA5"/>
    <w:rsid w:val="00F32D1E"/>
    <w:rsid w:val="00F346F9"/>
    <w:rsid w:val="00F348A6"/>
    <w:rsid w:val="00F3660D"/>
    <w:rsid w:val="00F3667E"/>
    <w:rsid w:val="00F36BB8"/>
    <w:rsid w:val="00F36D25"/>
    <w:rsid w:val="00F37194"/>
    <w:rsid w:val="00F37805"/>
    <w:rsid w:val="00F37CCE"/>
    <w:rsid w:val="00F400E2"/>
    <w:rsid w:val="00F40306"/>
    <w:rsid w:val="00F40384"/>
    <w:rsid w:val="00F40620"/>
    <w:rsid w:val="00F40E09"/>
    <w:rsid w:val="00F4123B"/>
    <w:rsid w:val="00F41E99"/>
    <w:rsid w:val="00F42798"/>
    <w:rsid w:val="00F4383B"/>
    <w:rsid w:val="00F43CE4"/>
    <w:rsid w:val="00F4494D"/>
    <w:rsid w:val="00F453A4"/>
    <w:rsid w:val="00F45CA5"/>
    <w:rsid w:val="00F46C8D"/>
    <w:rsid w:val="00F4781E"/>
    <w:rsid w:val="00F4783A"/>
    <w:rsid w:val="00F47AAA"/>
    <w:rsid w:val="00F50C9D"/>
    <w:rsid w:val="00F50EE8"/>
    <w:rsid w:val="00F5107A"/>
    <w:rsid w:val="00F519FA"/>
    <w:rsid w:val="00F51A40"/>
    <w:rsid w:val="00F51EFE"/>
    <w:rsid w:val="00F52776"/>
    <w:rsid w:val="00F52EE2"/>
    <w:rsid w:val="00F5426A"/>
    <w:rsid w:val="00F5426D"/>
    <w:rsid w:val="00F550FB"/>
    <w:rsid w:val="00F55354"/>
    <w:rsid w:val="00F5558C"/>
    <w:rsid w:val="00F55880"/>
    <w:rsid w:val="00F55891"/>
    <w:rsid w:val="00F55DDD"/>
    <w:rsid w:val="00F561FE"/>
    <w:rsid w:val="00F56982"/>
    <w:rsid w:val="00F574E7"/>
    <w:rsid w:val="00F57741"/>
    <w:rsid w:val="00F60254"/>
    <w:rsid w:val="00F61B04"/>
    <w:rsid w:val="00F61C43"/>
    <w:rsid w:val="00F62633"/>
    <w:rsid w:val="00F628C1"/>
    <w:rsid w:val="00F629A2"/>
    <w:rsid w:val="00F62B6C"/>
    <w:rsid w:val="00F6330C"/>
    <w:rsid w:val="00F6392F"/>
    <w:rsid w:val="00F6396E"/>
    <w:rsid w:val="00F651BF"/>
    <w:rsid w:val="00F659E8"/>
    <w:rsid w:val="00F66F7F"/>
    <w:rsid w:val="00F67BEB"/>
    <w:rsid w:val="00F67E00"/>
    <w:rsid w:val="00F7010C"/>
    <w:rsid w:val="00F7144D"/>
    <w:rsid w:val="00F71522"/>
    <w:rsid w:val="00F71DE2"/>
    <w:rsid w:val="00F72022"/>
    <w:rsid w:val="00F73756"/>
    <w:rsid w:val="00F73E98"/>
    <w:rsid w:val="00F7457B"/>
    <w:rsid w:val="00F754DD"/>
    <w:rsid w:val="00F773B1"/>
    <w:rsid w:val="00F7785A"/>
    <w:rsid w:val="00F77AE8"/>
    <w:rsid w:val="00F800AC"/>
    <w:rsid w:val="00F805D1"/>
    <w:rsid w:val="00F80D07"/>
    <w:rsid w:val="00F81159"/>
    <w:rsid w:val="00F81165"/>
    <w:rsid w:val="00F81BE4"/>
    <w:rsid w:val="00F82EF8"/>
    <w:rsid w:val="00F8422C"/>
    <w:rsid w:val="00F84427"/>
    <w:rsid w:val="00F84C16"/>
    <w:rsid w:val="00F865CE"/>
    <w:rsid w:val="00F86A1F"/>
    <w:rsid w:val="00F86C5D"/>
    <w:rsid w:val="00F86E8A"/>
    <w:rsid w:val="00F87585"/>
    <w:rsid w:val="00F87910"/>
    <w:rsid w:val="00F87B8F"/>
    <w:rsid w:val="00F904F7"/>
    <w:rsid w:val="00F90CC4"/>
    <w:rsid w:val="00F90D30"/>
    <w:rsid w:val="00F9246C"/>
    <w:rsid w:val="00F9252B"/>
    <w:rsid w:val="00F93A0D"/>
    <w:rsid w:val="00F93AA6"/>
    <w:rsid w:val="00F94974"/>
    <w:rsid w:val="00F958BD"/>
    <w:rsid w:val="00F95A07"/>
    <w:rsid w:val="00F95B77"/>
    <w:rsid w:val="00F96674"/>
    <w:rsid w:val="00F9702F"/>
    <w:rsid w:val="00F97521"/>
    <w:rsid w:val="00F97AF1"/>
    <w:rsid w:val="00FA0142"/>
    <w:rsid w:val="00FA02C6"/>
    <w:rsid w:val="00FA0D9E"/>
    <w:rsid w:val="00FA13B4"/>
    <w:rsid w:val="00FA19E0"/>
    <w:rsid w:val="00FA1BC2"/>
    <w:rsid w:val="00FA2E70"/>
    <w:rsid w:val="00FA3A21"/>
    <w:rsid w:val="00FA3EE9"/>
    <w:rsid w:val="00FA4053"/>
    <w:rsid w:val="00FA50D4"/>
    <w:rsid w:val="00FA5462"/>
    <w:rsid w:val="00FA5E6D"/>
    <w:rsid w:val="00FA5EFF"/>
    <w:rsid w:val="00FA6AAC"/>
    <w:rsid w:val="00FA6EC7"/>
    <w:rsid w:val="00FA78C0"/>
    <w:rsid w:val="00FA7EC4"/>
    <w:rsid w:val="00FB051D"/>
    <w:rsid w:val="00FB1474"/>
    <w:rsid w:val="00FB197C"/>
    <w:rsid w:val="00FB1B3A"/>
    <w:rsid w:val="00FB1F7B"/>
    <w:rsid w:val="00FB1FAC"/>
    <w:rsid w:val="00FB27C6"/>
    <w:rsid w:val="00FB2A12"/>
    <w:rsid w:val="00FB3258"/>
    <w:rsid w:val="00FB392B"/>
    <w:rsid w:val="00FB3C85"/>
    <w:rsid w:val="00FB4AC8"/>
    <w:rsid w:val="00FB578B"/>
    <w:rsid w:val="00FB58D1"/>
    <w:rsid w:val="00FB5B72"/>
    <w:rsid w:val="00FB5D6F"/>
    <w:rsid w:val="00FB604C"/>
    <w:rsid w:val="00FB6094"/>
    <w:rsid w:val="00FB6361"/>
    <w:rsid w:val="00FC0B84"/>
    <w:rsid w:val="00FC0E42"/>
    <w:rsid w:val="00FC20B6"/>
    <w:rsid w:val="00FC24B9"/>
    <w:rsid w:val="00FC26ED"/>
    <w:rsid w:val="00FC29AE"/>
    <w:rsid w:val="00FC37BF"/>
    <w:rsid w:val="00FC393F"/>
    <w:rsid w:val="00FC4755"/>
    <w:rsid w:val="00FC5A4C"/>
    <w:rsid w:val="00FC5AAC"/>
    <w:rsid w:val="00FC61B9"/>
    <w:rsid w:val="00FD0159"/>
    <w:rsid w:val="00FD0415"/>
    <w:rsid w:val="00FD1EE9"/>
    <w:rsid w:val="00FD2249"/>
    <w:rsid w:val="00FD3F5D"/>
    <w:rsid w:val="00FD4FD2"/>
    <w:rsid w:val="00FD63B9"/>
    <w:rsid w:val="00FD7126"/>
    <w:rsid w:val="00FD7CF4"/>
    <w:rsid w:val="00FD7EC7"/>
    <w:rsid w:val="00FE03CF"/>
    <w:rsid w:val="00FE0BE8"/>
    <w:rsid w:val="00FE1126"/>
    <w:rsid w:val="00FE1228"/>
    <w:rsid w:val="00FE198F"/>
    <w:rsid w:val="00FE2845"/>
    <w:rsid w:val="00FE2E8E"/>
    <w:rsid w:val="00FE3202"/>
    <w:rsid w:val="00FE4505"/>
    <w:rsid w:val="00FE4D64"/>
    <w:rsid w:val="00FE5604"/>
    <w:rsid w:val="00FE56FD"/>
    <w:rsid w:val="00FE5FAF"/>
    <w:rsid w:val="00FE64FE"/>
    <w:rsid w:val="00FE6B70"/>
    <w:rsid w:val="00FF025B"/>
    <w:rsid w:val="00FF0982"/>
    <w:rsid w:val="00FF133F"/>
    <w:rsid w:val="00FF2006"/>
    <w:rsid w:val="00FF2339"/>
    <w:rsid w:val="00FF2770"/>
    <w:rsid w:val="00FF2F42"/>
    <w:rsid w:val="00FF3D58"/>
    <w:rsid w:val="00FF43DE"/>
    <w:rsid w:val="00FF52D5"/>
    <w:rsid w:val="00FF5A2C"/>
    <w:rsid w:val="00FF5CFD"/>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D09184C"/>
  <w14:defaultImageDpi w14:val="300"/>
  <w15:docId w15:val="{36B79C56-26F0-0E4D-9BFC-16D89133E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de-DE" w:eastAsia="de-DE"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F0361F"/>
    <w:pPr>
      <w:spacing w:after="120"/>
    </w:pPr>
    <w:rPr>
      <w:rFonts w:asciiTheme="majorHAnsi" w:eastAsiaTheme="minorEastAsia" w:hAnsiTheme="majorHAnsi" w:cstheme="minorBidi"/>
      <w:sz w:val="22"/>
      <w:szCs w:val="20"/>
    </w:rPr>
  </w:style>
  <w:style w:type="paragraph" w:styleId="berschrift1">
    <w:name w:val="heading 1"/>
    <w:basedOn w:val="Standard"/>
    <w:next w:val="Standard"/>
    <w:qFormat/>
    <w:rsid w:val="00053D31"/>
    <w:pPr>
      <w:numPr>
        <w:numId w:val="1"/>
      </w:numPr>
      <w:spacing w:after="240"/>
      <w:ind w:left="709" w:hanging="709"/>
      <w:outlineLvl w:val="0"/>
    </w:pPr>
    <w:rPr>
      <w:b/>
      <w:sz w:val="28"/>
    </w:rPr>
  </w:style>
  <w:style w:type="paragraph" w:styleId="berschrift2">
    <w:name w:val="heading 2"/>
    <w:basedOn w:val="Standard"/>
    <w:next w:val="Standard"/>
    <w:qFormat/>
    <w:rsid w:val="00053D31"/>
    <w:pPr>
      <w:numPr>
        <w:ilvl w:val="1"/>
        <w:numId w:val="1"/>
      </w:numPr>
      <w:spacing w:before="120"/>
      <w:ind w:left="709" w:hanging="709"/>
      <w:outlineLvl w:val="1"/>
    </w:pPr>
    <w:rPr>
      <w:b/>
    </w:rPr>
  </w:style>
  <w:style w:type="paragraph" w:styleId="berschrift3">
    <w:name w:val="heading 3"/>
    <w:basedOn w:val="Standard"/>
    <w:next w:val="Standard"/>
    <w:link w:val="berschrift3Zchn"/>
    <w:qFormat/>
    <w:rsid w:val="00053D31"/>
    <w:pPr>
      <w:numPr>
        <w:ilvl w:val="2"/>
        <w:numId w:val="1"/>
      </w:numPr>
      <w:spacing w:before="120" w:after="60"/>
      <w:ind w:left="709" w:hanging="709"/>
      <w:outlineLvl w:val="2"/>
    </w:pPr>
    <w:rPr>
      <w:b/>
    </w:rPr>
  </w:style>
  <w:style w:type="paragraph" w:styleId="berschrift4">
    <w:name w:val="heading 4"/>
    <w:basedOn w:val="Standard"/>
    <w:next w:val="Standard"/>
    <w:qFormat/>
    <w:pPr>
      <w:numPr>
        <w:ilvl w:val="3"/>
        <w:numId w:val="1"/>
      </w:numPr>
      <w:spacing w:line="300" w:lineRule="exact"/>
      <w:outlineLvl w:val="3"/>
    </w:pPr>
    <w:rPr>
      <w:b/>
    </w:rPr>
  </w:style>
  <w:style w:type="paragraph" w:styleId="berschrift5">
    <w:name w:val="heading 5"/>
    <w:basedOn w:val="Standard"/>
    <w:next w:val="Standard"/>
    <w:qFormat/>
    <w:pPr>
      <w:numPr>
        <w:ilvl w:val="4"/>
        <w:numId w:val="1"/>
      </w:numPr>
      <w:spacing w:before="240" w:after="60"/>
      <w:outlineLvl w:val="4"/>
    </w:pPr>
  </w:style>
  <w:style w:type="paragraph" w:styleId="berschrift6">
    <w:name w:val="heading 6"/>
    <w:basedOn w:val="Standard"/>
    <w:next w:val="Standard"/>
    <w:qFormat/>
    <w:pPr>
      <w:numPr>
        <w:ilvl w:val="5"/>
        <w:numId w:val="1"/>
      </w:numPr>
      <w:spacing w:before="240" w:after="60"/>
      <w:outlineLvl w:val="5"/>
    </w:pPr>
    <w:rPr>
      <w:i/>
    </w:rPr>
  </w:style>
  <w:style w:type="paragraph" w:styleId="berschrift7">
    <w:name w:val="heading 7"/>
    <w:basedOn w:val="Standard"/>
    <w:next w:val="Standard"/>
    <w:qFormat/>
    <w:pPr>
      <w:numPr>
        <w:ilvl w:val="6"/>
        <w:numId w:val="1"/>
      </w:numPr>
      <w:spacing w:before="240" w:after="60"/>
      <w:outlineLvl w:val="6"/>
    </w:pPr>
  </w:style>
  <w:style w:type="paragraph" w:styleId="berschrift8">
    <w:name w:val="heading 8"/>
    <w:basedOn w:val="Standard"/>
    <w:next w:val="Standard"/>
    <w:qFormat/>
    <w:pPr>
      <w:numPr>
        <w:ilvl w:val="7"/>
        <w:numId w:val="1"/>
      </w:numPr>
      <w:spacing w:before="240" w:after="60"/>
      <w:outlineLvl w:val="7"/>
    </w:pPr>
    <w:rPr>
      <w:i/>
    </w:rPr>
  </w:style>
  <w:style w:type="paragraph" w:styleId="berschrift9">
    <w:name w:val="heading 9"/>
    <w:basedOn w:val="Standard"/>
    <w:next w:val="Standard"/>
    <w:qFormat/>
    <w:pPr>
      <w:numPr>
        <w:ilvl w:val="8"/>
        <w:numId w:val="1"/>
      </w:numPr>
      <w:spacing w:before="240" w:after="60"/>
      <w:outlineLvl w:val="8"/>
    </w:pPr>
    <w:rPr>
      <w:i/>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link w:val="berschrift3"/>
    <w:rsid w:val="00053D31"/>
    <w:rPr>
      <w:rFonts w:asciiTheme="majorHAnsi" w:hAnsiTheme="majorHAnsi"/>
      <w:b/>
      <w:sz w:val="22"/>
    </w:rPr>
  </w:style>
  <w:style w:type="paragraph" w:styleId="Standardeinzug">
    <w:name w:val="Normal Indent"/>
    <w:basedOn w:val="Standard"/>
    <w:pPr>
      <w:ind w:left="567"/>
    </w:pPr>
  </w:style>
  <w:style w:type="paragraph" w:styleId="Verzeichnis4">
    <w:name w:val="toc 4"/>
    <w:basedOn w:val="Standard"/>
    <w:next w:val="Standard"/>
    <w:semiHidden/>
    <w:pPr>
      <w:tabs>
        <w:tab w:val="right" w:leader="dot" w:pos="9349"/>
      </w:tabs>
      <w:ind w:left="520"/>
    </w:pPr>
    <w:rPr>
      <w:sz w:val="18"/>
    </w:rPr>
  </w:style>
  <w:style w:type="paragraph" w:styleId="Verzeichnis3">
    <w:name w:val="toc 3"/>
    <w:basedOn w:val="Standard"/>
    <w:next w:val="Standard"/>
    <w:uiPriority w:val="39"/>
    <w:pPr>
      <w:tabs>
        <w:tab w:val="right" w:leader="dot" w:pos="9349"/>
      </w:tabs>
      <w:ind w:left="260"/>
    </w:pPr>
    <w:rPr>
      <w:i/>
    </w:rPr>
  </w:style>
  <w:style w:type="paragraph" w:styleId="Verzeichnis2">
    <w:name w:val="toc 2"/>
    <w:basedOn w:val="Standard"/>
    <w:uiPriority w:val="39"/>
    <w:rsid w:val="00EA5606"/>
    <w:pPr>
      <w:tabs>
        <w:tab w:val="right" w:leader="dot" w:pos="9349"/>
      </w:tabs>
    </w:pPr>
    <w:rPr>
      <w:szCs w:val="22"/>
    </w:rPr>
  </w:style>
  <w:style w:type="paragraph" w:styleId="Verzeichnis1">
    <w:name w:val="toc 1"/>
    <w:basedOn w:val="Verzeichnis2"/>
    <w:uiPriority w:val="39"/>
    <w:pPr>
      <w:spacing w:before="120"/>
    </w:pPr>
    <w:rPr>
      <w:b/>
      <w:caps/>
      <w:smallCaps/>
    </w:rPr>
  </w:style>
  <w:style w:type="paragraph" w:styleId="Fuzeile">
    <w:name w:val="footer"/>
    <w:basedOn w:val="Standard"/>
    <w:pPr>
      <w:tabs>
        <w:tab w:val="center" w:pos="4819"/>
        <w:tab w:val="right" w:pos="9071"/>
      </w:tabs>
    </w:pPr>
  </w:style>
  <w:style w:type="paragraph" w:styleId="Kopfzeile">
    <w:name w:val="header"/>
    <w:basedOn w:val="Standard"/>
    <w:pPr>
      <w:tabs>
        <w:tab w:val="center" w:pos="4819"/>
        <w:tab w:val="right" w:pos="9071"/>
      </w:tabs>
    </w:pPr>
  </w:style>
  <w:style w:type="paragraph" w:styleId="Verzeichnis5">
    <w:name w:val="toc 5"/>
    <w:basedOn w:val="Standard"/>
    <w:next w:val="Standard"/>
    <w:semiHidden/>
    <w:pPr>
      <w:tabs>
        <w:tab w:val="right" w:leader="dot" w:pos="9349"/>
      </w:tabs>
      <w:ind w:left="780"/>
    </w:pPr>
    <w:rPr>
      <w:sz w:val="18"/>
    </w:rPr>
  </w:style>
  <w:style w:type="paragraph" w:styleId="Verzeichnis6">
    <w:name w:val="toc 6"/>
    <w:basedOn w:val="Standard"/>
    <w:next w:val="Standard"/>
    <w:semiHidden/>
    <w:pPr>
      <w:tabs>
        <w:tab w:val="right" w:leader="dot" w:pos="9349"/>
      </w:tabs>
      <w:ind w:left="1040"/>
    </w:pPr>
    <w:rPr>
      <w:sz w:val="18"/>
    </w:rPr>
  </w:style>
  <w:style w:type="paragraph" w:styleId="Verzeichnis7">
    <w:name w:val="toc 7"/>
    <w:basedOn w:val="Standard"/>
    <w:next w:val="Standard"/>
    <w:semiHidden/>
    <w:pPr>
      <w:tabs>
        <w:tab w:val="right" w:leader="dot" w:pos="9349"/>
      </w:tabs>
      <w:ind w:left="1300"/>
    </w:pPr>
    <w:rPr>
      <w:sz w:val="18"/>
    </w:rPr>
  </w:style>
  <w:style w:type="paragraph" w:styleId="Verzeichnis8">
    <w:name w:val="toc 8"/>
    <w:basedOn w:val="Standard"/>
    <w:next w:val="Standard"/>
    <w:semiHidden/>
    <w:pPr>
      <w:tabs>
        <w:tab w:val="right" w:leader="dot" w:pos="9349"/>
      </w:tabs>
      <w:ind w:left="1560"/>
    </w:pPr>
    <w:rPr>
      <w:sz w:val="18"/>
    </w:rPr>
  </w:style>
  <w:style w:type="paragraph" w:styleId="Verzeichnis9">
    <w:name w:val="toc 9"/>
    <w:basedOn w:val="Standard"/>
    <w:next w:val="Standard"/>
    <w:semiHidden/>
    <w:pPr>
      <w:tabs>
        <w:tab w:val="right" w:leader="dot" w:pos="9349"/>
      </w:tabs>
      <w:ind w:left="1820"/>
    </w:pPr>
    <w:rPr>
      <w:sz w:val="18"/>
    </w:rPr>
  </w:style>
  <w:style w:type="paragraph" w:styleId="Textkrper">
    <w:name w:val="Body Text"/>
    <w:basedOn w:val="Standard"/>
    <w:pPr>
      <w:jc w:val="center"/>
    </w:pPr>
    <w:rPr>
      <w:sz w:val="28"/>
    </w:rPr>
  </w:style>
  <w:style w:type="character" w:styleId="Seitenzahl">
    <w:name w:val="page number"/>
    <w:basedOn w:val="Absatz-Standardschriftart"/>
  </w:style>
  <w:style w:type="paragraph" w:styleId="Textkrper2">
    <w:name w:val="Body Text 2"/>
    <w:basedOn w:val="Standard"/>
    <w:pPr>
      <w:spacing w:after="0"/>
      <w:jc w:val="center"/>
    </w:pPr>
  </w:style>
  <w:style w:type="character" w:styleId="Hyperlink">
    <w:name w:val="Hyperlink"/>
    <w:uiPriority w:val="99"/>
    <w:rPr>
      <w:color w:val="0000FF"/>
      <w:u w:val="single"/>
    </w:rPr>
  </w:style>
  <w:style w:type="paragraph" w:customStyle="1" w:styleId="xl22">
    <w:name w:val="xl22"/>
    <w:basedOn w:val="Standard"/>
    <w:pPr>
      <w:spacing w:before="100" w:beforeAutospacing="1" w:after="100" w:afterAutospacing="1"/>
    </w:pPr>
    <w:rPr>
      <w:rFonts w:cs="Arial"/>
      <w:sz w:val="24"/>
    </w:rPr>
  </w:style>
  <w:style w:type="paragraph" w:customStyle="1" w:styleId="xl23">
    <w:name w:val="xl23"/>
    <w:basedOn w:val="Standard"/>
    <w:pPr>
      <w:spacing w:before="100" w:beforeAutospacing="1" w:after="100" w:afterAutospacing="1"/>
    </w:pPr>
    <w:rPr>
      <w:rFonts w:cs="Arial"/>
      <w:sz w:val="24"/>
    </w:rPr>
  </w:style>
  <w:style w:type="paragraph" w:customStyle="1" w:styleId="xl24">
    <w:name w:val="xl24"/>
    <w:basedOn w:val="Standard"/>
    <w:pPr>
      <w:spacing w:before="100" w:beforeAutospacing="1" w:after="100" w:afterAutospacing="1"/>
      <w:jc w:val="right"/>
    </w:pPr>
    <w:rPr>
      <w:rFonts w:cs="Arial"/>
      <w:sz w:val="24"/>
    </w:rPr>
  </w:style>
  <w:style w:type="paragraph" w:customStyle="1" w:styleId="xl25">
    <w:name w:val="xl25"/>
    <w:basedOn w:val="Standard"/>
    <w:pPr>
      <w:spacing w:before="100" w:beforeAutospacing="1" w:after="100" w:afterAutospacing="1"/>
    </w:pPr>
    <w:rPr>
      <w:rFonts w:cs="Arial"/>
      <w:sz w:val="24"/>
    </w:rPr>
  </w:style>
  <w:style w:type="paragraph" w:styleId="Titel">
    <w:name w:val="Title"/>
    <w:basedOn w:val="Standard"/>
    <w:qFormat/>
    <w:pPr>
      <w:jc w:val="center"/>
    </w:pPr>
    <w:rPr>
      <w:b/>
      <w:sz w:val="28"/>
    </w:rPr>
  </w:style>
  <w:style w:type="paragraph" w:styleId="Textkrper3">
    <w:name w:val="Body Text 3"/>
    <w:basedOn w:val="Standard"/>
    <w:pPr>
      <w:jc w:val="center"/>
    </w:pPr>
    <w:rPr>
      <w:sz w:val="24"/>
    </w:rPr>
  </w:style>
  <w:style w:type="table" w:styleId="Tabellenraster">
    <w:name w:val="Table Grid"/>
    <w:basedOn w:val="NormaleTabelle"/>
    <w:rsid w:val="00E91E05"/>
    <w:pPr>
      <w:overflowPunct w:val="0"/>
      <w:autoSpaceDE w:val="0"/>
      <w:autoSpaceDN w:val="0"/>
      <w:adjustRightInd w:val="0"/>
      <w:spacing w:before="40" w:after="4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395B43"/>
    <w:pPr>
      <w:spacing w:after="0"/>
    </w:pPr>
    <w:rPr>
      <w:rFonts w:ascii="Lucida Grande" w:hAnsi="Lucida Grande" w:cs="Lucida Grande"/>
      <w:sz w:val="18"/>
      <w:szCs w:val="18"/>
    </w:rPr>
  </w:style>
  <w:style w:type="character" w:customStyle="1" w:styleId="SprechblasentextZchn">
    <w:name w:val="Sprechblasentext Zchn"/>
    <w:basedOn w:val="Absatz-Standardschriftart"/>
    <w:link w:val="Sprechblasentext"/>
    <w:uiPriority w:val="99"/>
    <w:semiHidden/>
    <w:rsid w:val="00395B43"/>
    <w:rPr>
      <w:rFonts w:ascii="Lucida Grande" w:hAnsi="Lucida Grande" w:cs="Lucida Grande"/>
      <w:sz w:val="18"/>
      <w:szCs w:val="18"/>
    </w:rPr>
  </w:style>
  <w:style w:type="paragraph" w:styleId="Listenabsatz">
    <w:name w:val="List Paragraph"/>
    <w:basedOn w:val="Standard"/>
    <w:uiPriority w:val="34"/>
    <w:qFormat/>
    <w:rsid w:val="00AF0335"/>
    <w:pPr>
      <w:ind w:left="720"/>
      <w:contextualSpacing/>
    </w:pPr>
  </w:style>
  <w:style w:type="paragraph" w:customStyle="1" w:styleId="Literaturverzeichnis1">
    <w:name w:val="Literaturverzeichnis1"/>
    <w:basedOn w:val="Standard"/>
    <w:rsid w:val="00B81766"/>
    <w:pPr>
      <w:tabs>
        <w:tab w:val="left" w:pos="260"/>
      </w:tabs>
      <w:spacing w:after="0"/>
      <w:ind w:left="260" w:hanging="280"/>
    </w:pPr>
    <w:rPr>
      <w:color w:val="FF0000"/>
    </w:rPr>
  </w:style>
  <w:style w:type="paragraph" w:customStyle="1" w:styleId="Literaturverzeichnis2">
    <w:name w:val="Literaturverzeichnis2"/>
    <w:basedOn w:val="Standard"/>
    <w:rsid w:val="00A14388"/>
    <w:pPr>
      <w:spacing w:after="240"/>
    </w:pPr>
  </w:style>
  <w:style w:type="paragraph" w:styleId="Literaturverzeichnis">
    <w:name w:val="Bibliography"/>
    <w:basedOn w:val="Standard"/>
    <w:next w:val="Standard"/>
    <w:uiPriority w:val="37"/>
    <w:unhideWhenUsed/>
    <w:rsid w:val="000E15CF"/>
    <w:pPr>
      <w:spacing w:after="240"/>
    </w:pPr>
  </w:style>
  <w:style w:type="paragraph" w:customStyle="1" w:styleId="Literaturverzeichnis3">
    <w:name w:val="Literaturverzeichnis3"/>
    <w:basedOn w:val="Standard"/>
    <w:rsid w:val="00734739"/>
    <w:pPr>
      <w:tabs>
        <w:tab w:val="left" w:pos="500"/>
      </w:tabs>
      <w:spacing w:after="0"/>
      <w:ind w:left="504" w:hanging="504"/>
    </w:pPr>
  </w:style>
  <w:style w:type="character" w:styleId="Kommentarzeichen">
    <w:name w:val="annotation reference"/>
    <w:basedOn w:val="Absatz-Standardschriftart"/>
    <w:uiPriority w:val="99"/>
    <w:semiHidden/>
    <w:unhideWhenUsed/>
    <w:rsid w:val="00F1353A"/>
    <w:rPr>
      <w:sz w:val="16"/>
      <w:szCs w:val="16"/>
    </w:rPr>
  </w:style>
  <w:style w:type="paragraph" w:styleId="Kommentartext">
    <w:name w:val="annotation text"/>
    <w:basedOn w:val="Standard"/>
    <w:link w:val="KommentartextZchn"/>
    <w:uiPriority w:val="99"/>
    <w:unhideWhenUsed/>
    <w:rsid w:val="00F1353A"/>
    <w:rPr>
      <w:sz w:val="20"/>
    </w:rPr>
  </w:style>
  <w:style w:type="character" w:customStyle="1" w:styleId="KommentartextZchn">
    <w:name w:val="Kommentartext Zchn"/>
    <w:basedOn w:val="Absatz-Standardschriftart"/>
    <w:link w:val="Kommentartext"/>
    <w:uiPriority w:val="99"/>
    <w:rsid w:val="00F1353A"/>
    <w:rPr>
      <w:rFonts w:asciiTheme="majorHAnsi" w:hAnsiTheme="majorHAnsi"/>
      <w:sz w:val="20"/>
      <w:szCs w:val="20"/>
    </w:rPr>
  </w:style>
  <w:style w:type="paragraph" w:styleId="Kommentarthema">
    <w:name w:val="annotation subject"/>
    <w:basedOn w:val="Kommentartext"/>
    <w:next w:val="Kommentartext"/>
    <w:link w:val="KommentarthemaZchn"/>
    <w:uiPriority w:val="99"/>
    <w:semiHidden/>
    <w:unhideWhenUsed/>
    <w:rsid w:val="00F1353A"/>
    <w:rPr>
      <w:b/>
      <w:bCs/>
    </w:rPr>
  </w:style>
  <w:style w:type="character" w:customStyle="1" w:styleId="KommentarthemaZchn">
    <w:name w:val="Kommentarthema Zchn"/>
    <w:basedOn w:val="KommentartextZchn"/>
    <w:link w:val="Kommentarthema"/>
    <w:uiPriority w:val="99"/>
    <w:semiHidden/>
    <w:rsid w:val="00F1353A"/>
    <w:rPr>
      <w:rFonts w:asciiTheme="majorHAnsi" w:hAnsiTheme="majorHAnsi"/>
      <w:b/>
      <w:bCs/>
      <w:sz w:val="20"/>
      <w:szCs w:val="20"/>
    </w:rPr>
  </w:style>
  <w:style w:type="paragraph" w:styleId="StandardWeb">
    <w:name w:val="Normal (Web)"/>
    <w:basedOn w:val="Standard"/>
    <w:uiPriority w:val="99"/>
    <w:unhideWhenUsed/>
    <w:rsid w:val="005952BC"/>
  </w:style>
  <w:style w:type="character" w:customStyle="1" w:styleId="highlight">
    <w:name w:val="highlight"/>
    <w:basedOn w:val="Absatz-Standardschriftart"/>
    <w:rsid w:val="000F5E17"/>
  </w:style>
  <w:style w:type="character" w:customStyle="1" w:styleId="apple-converted-space">
    <w:name w:val="apple-converted-space"/>
    <w:basedOn w:val="Absatz-Standardschriftart"/>
    <w:rsid w:val="0012673C"/>
  </w:style>
  <w:style w:type="paragraph" w:styleId="berarbeitung">
    <w:name w:val="Revision"/>
    <w:hidden/>
    <w:uiPriority w:val="99"/>
    <w:semiHidden/>
    <w:rsid w:val="00E84077"/>
    <w:rPr>
      <w:rFonts w:asciiTheme="majorHAnsi" w:eastAsiaTheme="minorEastAsia" w:hAnsiTheme="majorHAnsi" w:cstheme="minorBidi"/>
      <w:sz w:val="22"/>
      <w:szCs w:val="20"/>
    </w:rPr>
  </w:style>
  <w:style w:type="character" w:styleId="Zeilennummer">
    <w:name w:val="line number"/>
    <w:basedOn w:val="Absatz-Standardschriftart"/>
    <w:uiPriority w:val="99"/>
    <w:semiHidden/>
    <w:unhideWhenUsed/>
    <w:rsid w:val="00456247"/>
  </w:style>
  <w:style w:type="character" w:styleId="NichtaufgelsteErwhnung">
    <w:name w:val="Unresolved Mention"/>
    <w:basedOn w:val="Absatz-Standardschriftart"/>
    <w:uiPriority w:val="99"/>
    <w:semiHidden/>
    <w:unhideWhenUsed/>
    <w:rsid w:val="00B407F4"/>
    <w:rPr>
      <w:color w:val="605E5C"/>
      <w:shd w:val="clear" w:color="auto" w:fill="E1DFDD"/>
    </w:rPr>
  </w:style>
  <w:style w:type="character" w:styleId="Hervorhebung">
    <w:name w:val="Emphasis"/>
    <w:basedOn w:val="Absatz-Standardschriftart"/>
    <w:uiPriority w:val="20"/>
    <w:qFormat/>
    <w:rsid w:val="001B6A7A"/>
    <w:rPr>
      <w:i/>
      <w:iCs/>
    </w:rPr>
  </w:style>
  <w:style w:type="character" w:customStyle="1" w:styleId="citation">
    <w:name w:val="citation"/>
    <w:basedOn w:val="Absatz-Standardschriftart"/>
    <w:rsid w:val="00726DC9"/>
  </w:style>
  <w:style w:type="character" w:customStyle="1" w:styleId="ref-journal">
    <w:name w:val="ref-journal"/>
    <w:basedOn w:val="Absatz-Standardschriftart"/>
    <w:rsid w:val="00726D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51929">
      <w:bodyDiv w:val="1"/>
      <w:marLeft w:val="0"/>
      <w:marRight w:val="0"/>
      <w:marTop w:val="0"/>
      <w:marBottom w:val="0"/>
      <w:divBdr>
        <w:top w:val="none" w:sz="0" w:space="0" w:color="auto"/>
        <w:left w:val="none" w:sz="0" w:space="0" w:color="auto"/>
        <w:bottom w:val="none" w:sz="0" w:space="0" w:color="auto"/>
        <w:right w:val="none" w:sz="0" w:space="0" w:color="auto"/>
      </w:divBdr>
      <w:divsChild>
        <w:div w:id="1152261018">
          <w:marLeft w:val="0"/>
          <w:marRight w:val="0"/>
          <w:marTop w:val="0"/>
          <w:marBottom w:val="0"/>
          <w:divBdr>
            <w:top w:val="none" w:sz="0" w:space="0" w:color="auto"/>
            <w:left w:val="none" w:sz="0" w:space="0" w:color="auto"/>
            <w:bottom w:val="none" w:sz="0" w:space="0" w:color="auto"/>
            <w:right w:val="none" w:sz="0" w:space="0" w:color="auto"/>
          </w:divBdr>
          <w:divsChild>
            <w:div w:id="1858424395">
              <w:marLeft w:val="0"/>
              <w:marRight w:val="0"/>
              <w:marTop w:val="0"/>
              <w:marBottom w:val="0"/>
              <w:divBdr>
                <w:top w:val="none" w:sz="0" w:space="0" w:color="auto"/>
                <w:left w:val="none" w:sz="0" w:space="0" w:color="auto"/>
                <w:bottom w:val="none" w:sz="0" w:space="0" w:color="auto"/>
                <w:right w:val="none" w:sz="0" w:space="0" w:color="auto"/>
              </w:divBdr>
              <w:divsChild>
                <w:div w:id="39724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06357">
      <w:bodyDiv w:val="1"/>
      <w:marLeft w:val="0"/>
      <w:marRight w:val="0"/>
      <w:marTop w:val="0"/>
      <w:marBottom w:val="0"/>
      <w:divBdr>
        <w:top w:val="none" w:sz="0" w:space="0" w:color="auto"/>
        <w:left w:val="none" w:sz="0" w:space="0" w:color="auto"/>
        <w:bottom w:val="none" w:sz="0" w:space="0" w:color="auto"/>
        <w:right w:val="none" w:sz="0" w:space="0" w:color="auto"/>
      </w:divBdr>
    </w:div>
    <w:div w:id="43792105">
      <w:bodyDiv w:val="1"/>
      <w:marLeft w:val="0"/>
      <w:marRight w:val="0"/>
      <w:marTop w:val="0"/>
      <w:marBottom w:val="0"/>
      <w:divBdr>
        <w:top w:val="none" w:sz="0" w:space="0" w:color="auto"/>
        <w:left w:val="none" w:sz="0" w:space="0" w:color="auto"/>
        <w:bottom w:val="none" w:sz="0" w:space="0" w:color="auto"/>
        <w:right w:val="none" w:sz="0" w:space="0" w:color="auto"/>
      </w:divBdr>
      <w:divsChild>
        <w:div w:id="96409939">
          <w:marLeft w:val="0"/>
          <w:marRight w:val="0"/>
          <w:marTop w:val="0"/>
          <w:marBottom w:val="0"/>
          <w:divBdr>
            <w:top w:val="none" w:sz="0" w:space="0" w:color="auto"/>
            <w:left w:val="none" w:sz="0" w:space="0" w:color="auto"/>
            <w:bottom w:val="none" w:sz="0" w:space="0" w:color="auto"/>
            <w:right w:val="none" w:sz="0" w:space="0" w:color="auto"/>
          </w:divBdr>
          <w:divsChild>
            <w:div w:id="1895268084">
              <w:marLeft w:val="0"/>
              <w:marRight w:val="0"/>
              <w:marTop w:val="0"/>
              <w:marBottom w:val="0"/>
              <w:divBdr>
                <w:top w:val="none" w:sz="0" w:space="0" w:color="auto"/>
                <w:left w:val="none" w:sz="0" w:space="0" w:color="auto"/>
                <w:bottom w:val="none" w:sz="0" w:space="0" w:color="auto"/>
                <w:right w:val="none" w:sz="0" w:space="0" w:color="auto"/>
              </w:divBdr>
              <w:divsChild>
                <w:div w:id="785008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06319">
      <w:bodyDiv w:val="1"/>
      <w:marLeft w:val="0"/>
      <w:marRight w:val="0"/>
      <w:marTop w:val="0"/>
      <w:marBottom w:val="0"/>
      <w:divBdr>
        <w:top w:val="none" w:sz="0" w:space="0" w:color="auto"/>
        <w:left w:val="none" w:sz="0" w:space="0" w:color="auto"/>
        <w:bottom w:val="none" w:sz="0" w:space="0" w:color="auto"/>
        <w:right w:val="none" w:sz="0" w:space="0" w:color="auto"/>
      </w:divBdr>
    </w:div>
    <w:div w:id="88233551">
      <w:bodyDiv w:val="1"/>
      <w:marLeft w:val="0"/>
      <w:marRight w:val="0"/>
      <w:marTop w:val="0"/>
      <w:marBottom w:val="0"/>
      <w:divBdr>
        <w:top w:val="none" w:sz="0" w:space="0" w:color="auto"/>
        <w:left w:val="none" w:sz="0" w:space="0" w:color="auto"/>
        <w:bottom w:val="none" w:sz="0" w:space="0" w:color="auto"/>
        <w:right w:val="none" w:sz="0" w:space="0" w:color="auto"/>
      </w:divBdr>
      <w:divsChild>
        <w:div w:id="812450015">
          <w:marLeft w:val="0"/>
          <w:marRight w:val="0"/>
          <w:marTop w:val="0"/>
          <w:marBottom w:val="0"/>
          <w:divBdr>
            <w:top w:val="none" w:sz="0" w:space="0" w:color="auto"/>
            <w:left w:val="none" w:sz="0" w:space="0" w:color="auto"/>
            <w:bottom w:val="none" w:sz="0" w:space="0" w:color="auto"/>
            <w:right w:val="none" w:sz="0" w:space="0" w:color="auto"/>
          </w:divBdr>
          <w:divsChild>
            <w:div w:id="755786673">
              <w:marLeft w:val="0"/>
              <w:marRight w:val="0"/>
              <w:marTop w:val="0"/>
              <w:marBottom w:val="0"/>
              <w:divBdr>
                <w:top w:val="none" w:sz="0" w:space="0" w:color="auto"/>
                <w:left w:val="none" w:sz="0" w:space="0" w:color="auto"/>
                <w:bottom w:val="none" w:sz="0" w:space="0" w:color="auto"/>
                <w:right w:val="none" w:sz="0" w:space="0" w:color="auto"/>
              </w:divBdr>
              <w:divsChild>
                <w:div w:id="150477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82162">
      <w:bodyDiv w:val="1"/>
      <w:marLeft w:val="240"/>
      <w:marRight w:val="240"/>
      <w:marTop w:val="240"/>
      <w:marBottom w:val="60"/>
      <w:divBdr>
        <w:top w:val="none" w:sz="0" w:space="0" w:color="auto"/>
        <w:left w:val="none" w:sz="0" w:space="0" w:color="auto"/>
        <w:bottom w:val="none" w:sz="0" w:space="0" w:color="auto"/>
        <w:right w:val="none" w:sz="0" w:space="0" w:color="auto"/>
      </w:divBdr>
      <w:divsChild>
        <w:div w:id="47652499">
          <w:marLeft w:val="0"/>
          <w:marRight w:val="0"/>
          <w:marTop w:val="0"/>
          <w:marBottom w:val="0"/>
          <w:divBdr>
            <w:top w:val="none" w:sz="0" w:space="0" w:color="auto"/>
            <w:left w:val="none" w:sz="0" w:space="0" w:color="auto"/>
            <w:bottom w:val="none" w:sz="0" w:space="0" w:color="auto"/>
            <w:right w:val="none" w:sz="0" w:space="0" w:color="auto"/>
          </w:divBdr>
        </w:div>
      </w:divsChild>
    </w:div>
    <w:div w:id="104883247">
      <w:bodyDiv w:val="1"/>
      <w:marLeft w:val="0"/>
      <w:marRight w:val="0"/>
      <w:marTop w:val="0"/>
      <w:marBottom w:val="0"/>
      <w:divBdr>
        <w:top w:val="none" w:sz="0" w:space="0" w:color="auto"/>
        <w:left w:val="none" w:sz="0" w:space="0" w:color="auto"/>
        <w:bottom w:val="none" w:sz="0" w:space="0" w:color="auto"/>
        <w:right w:val="none" w:sz="0" w:space="0" w:color="auto"/>
      </w:divBdr>
    </w:div>
    <w:div w:id="117839433">
      <w:bodyDiv w:val="1"/>
      <w:marLeft w:val="0"/>
      <w:marRight w:val="0"/>
      <w:marTop w:val="0"/>
      <w:marBottom w:val="0"/>
      <w:divBdr>
        <w:top w:val="none" w:sz="0" w:space="0" w:color="auto"/>
        <w:left w:val="none" w:sz="0" w:space="0" w:color="auto"/>
        <w:bottom w:val="none" w:sz="0" w:space="0" w:color="auto"/>
        <w:right w:val="none" w:sz="0" w:space="0" w:color="auto"/>
      </w:divBdr>
    </w:div>
    <w:div w:id="120078373">
      <w:bodyDiv w:val="1"/>
      <w:marLeft w:val="0"/>
      <w:marRight w:val="0"/>
      <w:marTop w:val="0"/>
      <w:marBottom w:val="0"/>
      <w:divBdr>
        <w:top w:val="none" w:sz="0" w:space="0" w:color="auto"/>
        <w:left w:val="none" w:sz="0" w:space="0" w:color="auto"/>
        <w:bottom w:val="none" w:sz="0" w:space="0" w:color="auto"/>
        <w:right w:val="none" w:sz="0" w:space="0" w:color="auto"/>
      </w:divBdr>
      <w:divsChild>
        <w:div w:id="1288974416">
          <w:marLeft w:val="0"/>
          <w:marRight w:val="0"/>
          <w:marTop w:val="0"/>
          <w:marBottom w:val="0"/>
          <w:divBdr>
            <w:top w:val="none" w:sz="0" w:space="0" w:color="auto"/>
            <w:left w:val="none" w:sz="0" w:space="0" w:color="auto"/>
            <w:bottom w:val="none" w:sz="0" w:space="0" w:color="auto"/>
            <w:right w:val="none" w:sz="0" w:space="0" w:color="auto"/>
          </w:divBdr>
          <w:divsChild>
            <w:div w:id="810562636">
              <w:marLeft w:val="0"/>
              <w:marRight w:val="0"/>
              <w:marTop w:val="0"/>
              <w:marBottom w:val="0"/>
              <w:divBdr>
                <w:top w:val="none" w:sz="0" w:space="0" w:color="auto"/>
                <w:left w:val="none" w:sz="0" w:space="0" w:color="auto"/>
                <w:bottom w:val="none" w:sz="0" w:space="0" w:color="auto"/>
                <w:right w:val="none" w:sz="0" w:space="0" w:color="auto"/>
              </w:divBdr>
              <w:divsChild>
                <w:div w:id="49749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66025">
      <w:bodyDiv w:val="1"/>
      <w:marLeft w:val="0"/>
      <w:marRight w:val="0"/>
      <w:marTop w:val="0"/>
      <w:marBottom w:val="0"/>
      <w:divBdr>
        <w:top w:val="none" w:sz="0" w:space="0" w:color="auto"/>
        <w:left w:val="none" w:sz="0" w:space="0" w:color="auto"/>
        <w:bottom w:val="none" w:sz="0" w:space="0" w:color="auto"/>
        <w:right w:val="none" w:sz="0" w:space="0" w:color="auto"/>
      </w:divBdr>
    </w:div>
    <w:div w:id="139930395">
      <w:bodyDiv w:val="1"/>
      <w:marLeft w:val="0"/>
      <w:marRight w:val="0"/>
      <w:marTop w:val="0"/>
      <w:marBottom w:val="0"/>
      <w:divBdr>
        <w:top w:val="none" w:sz="0" w:space="0" w:color="auto"/>
        <w:left w:val="none" w:sz="0" w:space="0" w:color="auto"/>
        <w:bottom w:val="none" w:sz="0" w:space="0" w:color="auto"/>
        <w:right w:val="none" w:sz="0" w:space="0" w:color="auto"/>
      </w:divBdr>
      <w:divsChild>
        <w:div w:id="2089188691">
          <w:marLeft w:val="0"/>
          <w:marRight w:val="0"/>
          <w:marTop w:val="0"/>
          <w:marBottom w:val="0"/>
          <w:divBdr>
            <w:top w:val="none" w:sz="0" w:space="0" w:color="auto"/>
            <w:left w:val="none" w:sz="0" w:space="0" w:color="auto"/>
            <w:bottom w:val="none" w:sz="0" w:space="0" w:color="auto"/>
            <w:right w:val="none" w:sz="0" w:space="0" w:color="auto"/>
          </w:divBdr>
          <w:divsChild>
            <w:div w:id="318384381">
              <w:marLeft w:val="0"/>
              <w:marRight w:val="0"/>
              <w:marTop w:val="0"/>
              <w:marBottom w:val="0"/>
              <w:divBdr>
                <w:top w:val="none" w:sz="0" w:space="0" w:color="auto"/>
                <w:left w:val="none" w:sz="0" w:space="0" w:color="auto"/>
                <w:bottom w:val="none" w:sz="0" w:space="0" w:color="auto"/>
                <w:right w:val="none" w:sz="0" w:space="0" w:color="auto"/>
              </w:divBdr>
              <w:divsChild>
                <w:div w:id="1588735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80330">
      <w:bodyDiv w:val="1"/>
      <w:marLeft w:val="0"/>
      <w:marRight w:val="0"/>
      <w:marTop w:val="0"/>
      <w:marBottom w:val="0"/>
      <w:divBdr>
        <w:top w:val="none" w:sz="0" w:space="0" w:color="auto"/>
        <w:left w:val="none" w:sz="0" w:space="0" w:color="auto"/>
        <w:bottom w:val="none" w:sz="0" w:space="0" w:color="auto"/>
        <w:right w:val="none" w:sz="0" w:space="0" w:color="auto"/>
      </w:divBdr>
    </w:div>
    <w:div w:id="168834489">
      <w:bodyDiv w:val="1"/>
      <w:marLeft w:val="0"/>
      <w:marRight w:val="0"/>
      <w:marTop w:val="0"/>
      <w:marBottom w:val="0"/>
      <w:divBdr>
        <w:top w:val="none" w:sz="0" w:space="0" w:color="auto"/>
        <w:left w:val="none" w:sz="0" w:space="0" w:color="auto"/>
        <w:bottom w:val="none" w:sz="0" w:space="0" w:color="auto"/>
        <w:right w:val="none" w:sz="0" w:space="0" w:color="auto"/>
      </w:divBdr>
      <w:divsChild>
        <w:div w:id="959458237">
          <w:marLeft w:val="0"/>
          <w:marRight w:val="0"/>
          <w:marTop w:val="0"/>
          <w:marBottom w:val="0"/>
          <w:divBdr>
            <w:top w:val="none" w:sz="0" w:space="0" w:color="auto"/>
            <w:left w:val="none" w:sz="0" w:space="0" w:color="auto"/>
            <w:bottom w:val="none" w:sz="0" w:space="0" w:color="auto"/>
            <w:right w:val="none" w:sz="0" w:space="0" w:color="auto"/>
          </w:divBdr>
          <w:divsChild>
            <w:div w:id="1675185419">
              <w:marLeft w:val="0"/>
              <w:marRight w:val="0"/>
              <w:marTop w:val="0"/>
              <w:marBottom w:val="0"/>
              <w:divBdr>
                <w:top w:val="none" w:sz="0" w:space="0" w:color="auto"/>
                <w:left w:val="none" w:sz="0" w:space="0" w:color="auto"/>
                <w:bottom w:val="none" w:sz="0" w:space="0" w:color="auto"/>
                <w:right w:val="none" w:sz="0" w:space="0" w:color="auto"/>
              </w:divBdr>
              <w:divsChild>
                <w:div w:id="83657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314738">
      <w:bodyDiv w:val="1"/>
      <w:marLeft w:val="0"/>
      <w:marRight w:val="0"/>
      <w:marTop w:val="0"/>
      <w:marBottom w:val="0"/>
      <w:divBdr>
        <w:top w:val="none" w:sz="0" w:space="0" w:color="auto"/>
        <w:left w:val="none" w:sz="0" w:space="0" w:color="auto"/>
        <w:bottom w:val="none" w:sz="0" w:space="0" w:color="auto"/>
        <w:right w:val="none" w:sz="0" w:space="0" w:color="auto"/>
      </w:divBdr>
      <w:divsChild>
        <w:div w:id="1151795273">
          <w:marLeft w:val="0"/>
          <w:marRight w:val="0"/>
          <w:marTop w:val="0"/>
          <w:marBottom w:val="0"/>
          <w:divBdr>
            <w:top w:val="none" w:sz="0" w:space="0" w:color="auto"/>
            <w:left w:val="none" w:sz="0" w:space="0" w:color="auto"/>
            <w:bottom w:val="none" w:sz="0" w:space="0" w:color="auto"/>
            <w:right w:val="none" w:sz="0" w:space="0" w:color="auto"/>
          </w:divBdr>
          <w:divsChild>
            <w:div w:id="767964642">
              <w:marLeft w:val="0"/>
              <w:marRight w:val="0"/>
              <w:marTop w:val="0"/>
              <w:marBottom w:val="0"/>
              <w:divBdr>
                <w:top w:val="none" w:sz="0" w:space="0" w:color="auto"/>
                <w:left w:val="none" w:sz="0" w:space="0" w:color="auto"/>
                <w:bottom w:val="none" w:sz="0" w:space="0" w:color="auto"/>
                <w:right w:val="none" w:sz="0" w:space="0" w:color="auto"/>
              </w:divBdr>
              <w:divsChild>
                <w:div w:id="2065518071">
                  <w:marLeft w:val="0"/>
                  <w:marRight w:val="0"/>
                  <w:marTop w:val="0"/>
                  <w:marBottom w:val="0"/>
                  <w:divBdr>
                    <w:top w:val="none" w:sz="0" w:space="0" w:color="auto"/>
                    <w:left w:val="none" w:sz="0" w:space="0" w:color="auto"/>
                    <w:bottom w:val="none" w:sz="0" w:space="0" w:color="auto"/>
                    <w:right w:val="none" w:sz="0" w:space="0" w:color="auto"/>
                  </w:divBdr>
                  <w:divsChild>
                    <w:div w:id="11279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735692">
      <w:bodyDiv w:val="1"/>
      <w:marLeft w:val="0"/>
      <w:marRight w:val="0"/>
      <w:marTop w:val="0"/>
      <w:marBottom w:val="0"/>
      <w:divBdr>
        <w:top w:val="none" w:sz="0" w:space="0" w:color="auto"/>
        <w:left w:val="none" w:sz="0" w:space="0" w:color="auto"/>
        <w:bottom w:val="none" w:sz="0" w:space="0" w:color="auto"/>
        <w:right w:val="none" w:sz="0" w:space="0" w:color="auto"/>
      </w:divBdr>
      <w:divsChild>
        <w:div w:id="1415591720">
          <w:marLeft w:val="0"/>
          <w:marRight w:val="0"/>
          <w:marTop w:val="0"/>
          <w:marBottom w:val="0"/>
          <w:divBdr>
            <w:top w:val="none" w:sz="0" w:space="0" w:color="auto"/>
            <w:left w:val="none" w:sz="0" w:space="0" w:color="auto"/>
            <w:bottom w:val="none" w:sz="0" w:space="0" w:color="auto"/>
            <w:right w:val="none" w:sz="0" w:space="0" w:color="auto"/>
          </w:divBdr>
          <w:divsChild>
            <w:div w:id="2146659404">
              <w:marLeft w:val="0"/>
              <w:marRight w:val="0"/>
              <w:marTop w:val="0"/>
              <w:marBottom w:val="0"/>
              <w:divBdr>
                <w:top w:val="none" w:sz="0" w:space="0" w:color="auto"/>
                <w:left w:val="none" w:sz="0" w:space="0" w:color="auto"/>
                <w:bottom w:val="none" w:sz="0" w:space="0" w:color="auto"/>
                <w:right w:val="none" w:sz="0" w:space="0" w:color="auto"/>
              </w:divBdr>
              <w:divsChild>
                <w:div w:id="112126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25800">
      <w:bodyDiv w:val="1"/>
      <w:marLeft w:val="0"/>
      <w:marRight w:val="0"/>
      <w:marTop w:val="0"/>
      <w:marBottom w:val="0"/>
      <w:divBdr>
        <w:top w:val="none" w:sz="0" w:space="0" w:color="auto"/>
        <w:left w:val="none" w:sz="0" w:space="0" w:color="auto"/>
        <w:bottom w:val="none" w:sz="0" w:space="0" w:color="auto"/>
        <w:right w:val="none" w:sz="0" w:space="0" w:color="auto"/>
      </w:divBdr>
    </w:div>
    <w:div w:id="201014429">
      <w:bodyDiv w:val="1"/>
      <w:marLeft w:val="0"/>
      <w:marRight w:val="0"/>
      <w:marTop w:val="0"/>
      <w:marBottom w:val="0"/>
      <w:divBdr>
        <w:top w:val="none" w:sz="0" w:space="0" w:color="auto"/>
        <w:left w:val="none" w:sz="0" w:space="0" w:color="auto"/>
        <w:bottom w:val="none" w:sz="0" w:space="0" w:color="auto"/>
        <w:right w:val="none" w:sz="0" w:space="0" w:color="auto"/>
      </w:divBdr>
    </w:div>
    <w:div w:id="208609929">
      <w:bodyDiv w:val="1"/>
      <w:marLeft w:val="0"/>
      <w:marRight w:val="0"/>
      <w:marTop w:val="0"/>
      <w:marBottom w:val="0"/>
      <w:divBdr>
        <w:top w:val="none" w:sz="0" w:space="0" w:color="auto"/>
        <w:left w:val="none" w:sz="0" w:space="0" w:color="auto"/>
        <w:bottom w:val="none" w:sz="0" w:space="0" w:color="auto"/>
        <w:right w:val="none" w:sz="0" w:space="0" w:color="auto"/>
      </w:divBdr>
    </w:div>
    <w:div w:id="222759313">
      <w:bodyDiv w:val="1"/>
      <w:marLeft w:val="0"/>
      <w:marRight w:val="0"/>
      <w:marTop w:val="0"/>
      <w:marBottom w:val="0"/>
      <w:divBdr>
        <w:top w:val="none" w:sz="0" w:space="0" w:color="auto"/>
        <w:left w:val="none" w:sz="0" w:space="0" w:color="auto"/>
        <w:bottom w:val="none" w:sz="0" w:space="0" w:color="auto"/>
        <w:right w:val="none" w:sz="0" w:space="0" w:color="auto"/>
      </w:divBdr>
      <w:divsChild>
        <w:div w:id="248346362">
          <w:marLeft w:val="0"/>
          <w:marRight w:val="0"/>
          <w:marTop w:val="0"/>
          <w:marBottom w:val="0"/>
          <w:divBdr>
            <w:top w:val="none" w:sz="0" w:space="0" w:color="auto"/>
            <w:left w:val="none" w:sz="0" w:space="0" w:color="auto"/>
            <w:bottom w:val="none" w:sz="0" w:space="0" w:color="auto"/>
            <w:right w:val="none" w:sz="0" w:space="0" w:color="auto"/>
          </w:divBdr>
          <w:divsChild>
            <w:div w:id="64839447">
              <w:marLeft w:val="0"/>
              <w:marRight w:val="0"/>
              <w:marTop w:val="0"/>
              <w:marBottom w:val="0"/>
              <w:divBdr>
                <w:top w:val="none" w:sz="0" w:space="0" w:color="auto"/>
                <w:left w:val="none" w:sz="0" w:space="0" w:color="auto"/>
                <w:bottom w:val="none" w:sz="0" w:space="0" w:color="auto"/>
                <w:right w:val="none" w:sz="0" w:space="0" w:color="auto"/>
              </w:divBdr>
              <w:divsChild>
                <w:div w:id="988557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901839">
      <w:bodyDiv w:val="1"/>
      <w:marLeft w:val="0"/>
      <w:marRight w:val="0"/>
      <w:marTop w:val="0"/>
      <w:marBottom w:val="0"/>
      <w:divBdr>
        <w:top w:val="none" w:sz="0" w:space="0" w:color="auto"/>
        <w:left w:val="none" w:sz="0" w:space="0" w:color="auto"/>
        <w:bottom w:val="none" w:sz="0" w:space="0" w:color="auto"/>
        <w:right w:val="none" w:sz="0" w:space="0" w:color="auto"/>
      </w:divBdr>
    </w:div>
    <w:div w:id="240067817">
      <w:bodyDiv w:val="1"/>
      <w:marLeft w:val="0"/>
      <w:marRight w:val="0"/>
      <w:marTop w:val="0"/>
      <w:marBottom w:val="0"/>
      <w:divBdr>
        <w:top w:val="none" w:sz="0" w:space="0" w:color="auto"/>
        <w:left w:val="none" w:sz="0" w:space="0" w:color="auto"/>
        <w:bottom w:val="none" w:sz="0" w:space="0" w:color="auto"/>
        <w:right w:val="none" w:sz="0" w:space="0" w:color="auto"/>
      </w:divBdr>
    </w:div>
    <w:div w:id="271597312">
      <w:bodyDiv w:val="1"/>
      <w:marLeft w:val="0"/>
      <w:marRight w:val="0"/>
      <w:marTop w:val="0"/>
      <w:marBottom w:val="0"/>
      <w:divBdr>
        <w:top w:val="none" w:sz="0" w:space="0" w:color="auto"/>
        <w:left w:val="none" w:sz="0" w:space="0" w:color="auto"/>
        <w:bottom w:val="none" w:sz="0" w:space="0" w:color="auto"/>
        <w:right w:val="none" w:sz="0" w:space="0" w:color="auto"/>
      </w:divBdr>
      <w:divsChild>
        <w:div w:id="1406225544">
          <w:marLeft w:val="0"/>
          <w:marRight w:val="0"/>
          <w:marTop w:val="0"/>
          <w:marBottom w:val="0"/>
          <w:divBdr>
            <w:top w:val="none" w:sz="0" w:space="0" w:color="auto"/>
            <w:left w:val="none" w:sz="0" w:space="0" w:color="auto"/>
            <w:bottom w:val="none" w:sz="0" w:space="0" w:color="auto"/>
            <w:right w:val="none" w:sz="0" w:space="0" w:color="auto"/>
          </w:divBdr>
          <w:divsChild>
            <w:div w:id="346953875">
              <w:marLeft w:val="0"/>
              <w:marRight w:val="0"/>
              <w:marTop w:val="0"/>
              <w:marBottom w:val="0"/>
              <w:divBdr>
                <w:top w:val="none" w:sz="0" w:space="0" w:color="auto"/>
                <w:left w:val="none" w:sz="0" w:space="0" w:color="auto"/>
                <w:bottom w:val="none" w:sz="0" w:space="0" w:color="auto"/>
                <w:right w:val="none" w:sz="0" w:space="0" w:color="auto"/>
              </w:divBdr>
              <w:divsChild>
                <w:div w:id="1023943670">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273100449">
      <w:bodyDiv w:val="1"/>
      <w:marLeft w:val="0"/>
      <w:marRight w:val="0"/>
      <w:marTop w:val="0"/>
      <w:marBottom w:val="0"/>
      <w:divBdr>
        <w:top w:val="none" w:sz="0" w:space="0" w:color="auto"/>
        <w:left w:val="none" w:sz="0" w:space="0" w:color="auto"/>
        <w:bottom w:val="none" w:sz="0" w:space="0" w:color="auto"/>
        <w:right w:val="none" w:sz="0" w:space="0" w:color="auto"/>
      </w:divBdr>
    </w:div>
    <w:div w:id="274557767">
      <w:bodyDiv w:val="1"/>
      <w:marLeft w:val="0"/>
      <w:marRight w:val="0"/>
      <w:marTop w:val="0"/>
      <w:marBottom w:val="0"/>
      <w:divBdr>
        <w:top w:val="none" w:sz="0" w:space="0" w:color="auto"/>
        <w:left w:val="none" w:sz="0" w:space="0" w:color="auto"/>
        <w:bottom w:val="none" w:sz="0" w:space="0" w:color="auto"/>
        <w:right w:val="none" w:sz="0" w:space="0" w:color="auto"/>
      </w:divBdr>
      <w:divsChild>
        <w:div w:id="1516532054">
          <w:marLeft w:val="0"/>
          <w:marRight w:val="0"/>
          <w:marTop w:val="0"/>
          <w:marBottom w:val="0"/>
          <w:divBdr>
            <w:top w:val="none" w:sz="0" w:space="0" w:color="auto"/>
            <w:left w:val="none" w:sz="0" w:space="0" w:color="auto"/>
            <w:bottom w:val="none" w:sz="0" w:space="0" w:color="auto"/>
            <w:right w:val="none" w:sz="0" w:space="0" w:color="auto"/>
          </w:divBdr>
          <w:divsChild>
            <w:div w:id="840196062">
              <w:marLeft w:val="0"/>
              <w:marRight w:val="0"/>
              <w:marTop w:val="0"/>
              <w:marBottom w:val="0"/>
              <w:divBdr>
                <w:top w:val="none" w:sz="0" w:space="0" w:color="auto"/>
                <w:left w:val="none" w:sz="0" w:space="0" w:color="auto"/>
                <w:bottom w:val="none" w:sz="0" w:space="0" w:color="auto"/>
                <w:right w:val="none" w:sz="0" w:space="0" w:color="auto"/>
              </w:divBdr>
              <w:divsChild>
                <w:div w:id="152140830">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305471633">
      <w:bodyDiv w:val="1"/>
      <w:marLeft w:val="0"/>
      <w:marRight w:val="0"/>
      <w:marTop w:val="0"/>
      <w:marBottom w:val="0"/>
      <w:divBdr>
        <w:top w:val="none" w:sz="0" w:space="0" w:color="auto"/>
        <w:left w:val="none" w:sz="0" w:space="0" w:color="auto"/>
        <w:bottom w:val="none" w:sz="0" w:space="0" w:color="auto"/>
        <w:right w:val="none" w:sz="0" w:space="0" w:color="auto"/>
      </w:divBdr>
      <w:divsChild>
        <w:div w:id="903221596">
          <w:marLeft w:val="0"/>
          <w:marRight w:val="0"/>
          <w:marTop w:val="0"/>
          <w:marBottom w:val="0"/>
          <w:divBdr>
            <w:top w:val="none" w:sz="0" w:space="0" w:color="auto"/>
            <w:left w:val="none" w:sz="0" w:space="0" w:color="auto"/>
            <w:bottom w:val="none" w:sz="0" w:space="0" w:color="auto"/>
            <w:right w:val="none" w:sz="0" w:space="0" w:color="auto"/>
          </w:divBdr>
          <w:divsChild>
            <w:div w:id="1733965849">
              <w:marLeft w:val="0"/>
              <w:marRight w:val="0"/>
              <w:marTop w:val="0"/>
              <w:marBottom w:val="0"/>
              <w:divBdr>
                <w:top w:val="none" w:sz="0" w:space="0" w:color="auto"/>
                <w:left w:val="none" w:sz="0" w:space="0" w:color="auto"/>
                <w:bottom w:val="none" w:sz="0" w:space="0" w:color="auto"/>
                <w:right w:val="none" w:sz="0" w:space="0" w:color="auto"/>
              </w:divBdr>
              <w:divsChild>
                <w:div w:id="1068770546">
                  <w:marLeft w:val="0"/>
                  <w:marRight w:val="0"/>
                  <w:marTop w:val="0"/>
                  <w:marBottom w:val="0"/>
                  <w:divBdr>
                    <w:top w:val="none" w:sz="0" w:space="0" w:color="auto"/>
                    <w:left w:val="none" w:sz="0" w:space="0" w:color="auto"/>
                    <w:bottom w:val="none" w:sz="0" w:space="0" w:color="auto"/>
                    <w:right w:val="none" w:sz="0" w:space="0" w:color="auto"/>
                  </w:divBdr>
                  <w:divsChild>
                    <w:div w:id="9333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4456053">
      <w:bodyDiv w:val="1"/>
      <w:marLeft w:val="0"/>
      <w:marRight w:val="0"/>
      <w:marTop w:val="0"/>
      <w:marBottom w:val="0"/>
      <w:divBdr>
        <w:top w:val="none" w:sz="0" w:space="0" w:color="auto"/>
        <w:left w:val="none" w:sz="0" w:space="0" w:color="auto"/>
        <w:bottom w:val="none" w:sz="0" w:space="0" w:color="auto"/>
        <w:right w:val="none" w:sz="0" w:space="0" w:color="auto"/>
      </w:divBdr>
    </w:div>
    <w:div w:id="330379810">
      <w:bodyDiv w:val="1"/>
      <w:marLeft w:val="240"/>
      <w:marRight w:val="240"/>
      <w:marTop w:val="240"/>
      <w:marBottom w:val="60"/>
      <w:divBdr>
        <w:top w:val="none" w:sz="0" w:space="0" w:color="auto"/>
        <w:left w:val="none" w:sz="0" w:space="0" w:color="auto"/>
        <w:bottom w:val="none" w:sz="0" w:space="0" w:color="auto"/>
        <w:right w:val="none" w:sz="0" w:space="0" w:color="auto"/>
      </w:divBdr>
    </w:div>
    <w:div w:id="347996359">
      <w:bodyDiv w:val="1"/>
      <w:marLeft w:val="0"/>
      <w:marRight w:val="0"/>
      <w:marTop w:val="0"/>
      <w:marBottom w:val="0"/>
      <w:divBdr>
        <w:top w:val="none" w:sz="0" w:space="0" w:color="auto"/>
        <w:left w:val="none" w:sz="0" w:space="0" w:color="auto"/>
        <w:bottom w:val="none" w:sz="0" w:space="0" w:color="auto"/>
        <w:right w:val="none" w:sz="0" w:space="0" w:color="auto"/>
      </w:divBdr>
      <w:divsChild>
        <w:div w:id="707994724">
          <w:marLeft w:val="0"/>
          <w:marRight w:val="0"/>
          <w:marTop w:val="0"/>
          <w:marBottom w:val="0"/>
          <w:divBdr>
            <w:top w:val="none" w:sz="0" w:space="0" w:color="auto"/>
            <w:left w:val="none" w:sz="0" w:space="0" w:color="auto"/>
            <w:bottom w:val="none" w:sz="0" w:space="0" w:color="auto"/>
            <w:right w:val="none" w:sz="0" w:space="0" w:color="auto"/>
          </w:divBdr>
          <w:divsChild>
            <w:div w:id="382870091">
              <w:marLeft w:val="0"/>
              <w:marRight w:val="0"/>
              <w:marTop w:val="0"/>
              <w:marBottom w:val="0"/>
              <w:divBdr>
                <w:top w:val="none" w:sz="0" w:space="0" w:color="auto"/>
                <w:left w:val="none" w:sz="0" w:space="0" w:color="auto"/>
                <w:bottom w:val="none" w:sz="0" w:space="0" w:color="auto"/>
                <w:right w:val="none" w:sz="0" w:space="0" w:color="auto"/>
              </w:divBdr>
              <w:divsChild>
                <w:div w:id="1666008106">
                  <w:marLeft w:val="0"/>
                  <w:marRight w:val="0"/>
                  <w:marTop w:val="0"/>
                  <w:marBottom w:val="0"/>
                  <w:divBdr>
                    <w:top w:val="none" w:sz="0" w:space="0" w:color="auto"/>
                    <w:left w:val="none" w:sz="0" w:space="0" w:color="auto"/>
                    <w:bottom w:val="none" w:sz="0" w:space="0" w:color="auto"/>
                    <w:right w:val="none" w:sz="0" w:space="0" w:color="auto"/>
                  </w:divBdr>
                  <w:divsChild>
                    <w:div w:id="1774940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2419294">
      <w:bodyDiv w:val="1"/>
      <w:marLeft w:val="0"/>
      <w:marRight w:val="0"/>
      <w:marTop w:val="0"/>
      <w:marBottom w:val="0"/>
      <w:divBdr>
        <w:top w:val="none" w:sz="0" w:space="0" w:color="auto"/>
        <w:left w:val="none" w:sz="0" w:space="0" w:color="auto"/>
        <w:bottom w:val="none" w:sz="0" w:space="0" w:color="auto"/>
        <w:right w:val="none" w:sz="0" w:space="0" w:color="auto"/>
      </w:divBdr>
      <w:divsChild>
        <w:div w:id="62681296">
          <w:marLeft w:val="0"/>
          <w:marRight w:val="0"/>
          <w:marTop w:val="0"/>
          <w:marBottom w:val="0"/>
          <w:divBdr>
            <w:top w:val="none" w:sz="0" w:space="0" w:color="auto"/>
            <w:left w:val="none" w:sz="0" w:space="0" w:color="auto"/>
            <w:bottom w:val="none" w:sz="0" w:space="0" w:color="auto"/>
            <w:right w:val="none" w:sz="0" w:space="0" w:color="auto"/>
          </w:divBdr>
          <w:divsChild>
            <w:div w:id="836460320">
              <w:marLeft w:val="0"/>
              <w:marRight w:val="0"/>
              <w:marTop w:val="0"/>
              <w:marBottom w:val="0"/>
              <w:divBdr>
                <w:top w:val="none" w:sz="0" w:space="0" w:color="auto"/>
                <w:left w:val="none" w:sz="0" w:space="0" w:color="auto"/>
                <w:bottom w:val="none" w:sz="0" w:space="0" w:color="auto"/>
                <w:right w:val="none" w:sz="0" w:space="0" w:color="auto"/>
              </w:divBdr>
              <w:divsChild>
                <w:div w:id="625813481">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363216440">
      <w:bodyDiv w:val="1"/>
      <w:marLeft w:val="0"/>
      <w:marRight w:val="0"/>
      <w:marTop w:val="0"/>
      <w:marBottom w:val="0"/>
      <w:divBdr>
        <w:top w:val="none" w:sz="0" w:space="0" w:color="auto"/>
        <w:left w:val="none" w:sz="0" w:space="0" w:color="auto"/>
        <w:bottom w:val="none" w:sz="0" w:space="0" w:color="auto"/>
        <w:right w:val="none" w:sz="0" w:space="0" w:color="auto"/>
      </w:divBdr>
    </w:div>
    <w:div w:id="370156595">
      <w:bodyDiv w:val="1"/>
      <w:marLeft w:val="0"/>
      <w:marRight w:val="0"/>
      <w:marTop w:val="0"/>
      <w:marBottom w:val="0"/>
      <w:divBdr>
        <w:top w:val="none" w:sz="0" w:space="0" w:color="auto"/>
        <w:left w:val="none" w:sz="0" w:space="0" w:color="auto"/>
        <w:bottom w:val="none" w:sz="0" w:space="0" w:color="auto"/>
        <w:right w:val="none" w:sz="0" w:space="0" w:color="auto"/>
      </w:divBdr>
      <w:divsChild>
        <w:div w:id="1105268604">
          <w:marLeft w:val="0"/>
          <w:marRight w:val="0"/>
          <w:marTop w:val="0"/>
          <w:marBottom w:val="0"/>
          <w:divBdr>
            <w:top w:val="none" w:sz="0" w:space="0" w:color="auto"/>
            <w:left w:val="none" w:sz="0" w:space="0" w:color="auto"/>
            <w:bottom w:val="none" w:sz="0" w:space="0" w:color="auto"/>
            <w:right w:val="none" w:sz="0" w:space="0" w:color="auto"/>
          </w:divBdr>
          <w:divsChild>
            <w:div w:id="524102908">
              <w:marLeft w:val="0"/>
              <w:marRight w:val="0"/>
              <w:marTop w:val="0"/>
              <w:marBottom w:val="0"/>
              <w:divBdr>
                <w:top w:val="none" w:sz="0" w:space="0" w:color="auto"/>
                <w:left w:val="none" w:sz="0" w:space="0" w:color="auto"/>
                <w:bottom w:val="none" w:sz="0" w:space="0" w:color="auto"/>
                <w:right w:val="none" w:sz="0" w:space="0" w:color="auto"/>
              </w:divBdr>
              <w:divsChild>
                <w:div w:id="1563715085">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373700088">
      <w:bodyDiv w:val="1"/>
      <w:marLeft w:val="0"/>
      <w:marRight w:val="0"/>
      <w:marTop w:val="0"/>
      <w:marBottom w:val="0"/>
      <w:divBdr>
        <w:top w:val="none" w:sz="0" w:space="0" w:color="auto"/>
        <w:left w:val="none" w:sz="0" w:space="0" w:color="auto"/>
        <w:bottom w:val="none" w:sz="0" w:space="0" w:color="auto"/>
        <w:right w:val="none" w:sz="0" w:space="0" w:color="auto"/>
      </w:divBdr>
      <w:divsChild>
        <w:div w:id="1816145220">
          <w:marLeft w:val="0"/>
          <w:marRight w:val="0"/>
          <w:marTop w:val="0"/>
          <w:marBottom w:val="0"/>
          <w:divBdr>
            <w:top w:val="none" w:sz="0" w:space="0" w:color="auto"/>
            <w:left w:val="none" w:sz="0" w:space="0" w:color="auto"/>
            <w:bottom w:val="none" w:sz="0" w:space="0" w:color="auto"/>
            <w:right w:val="none" w:sz="0" w:space="0" w:color="auto"/>
          </w:divBdr>
          <w:divsChild>
            <w:div w:id="628122060">
              <w:marLeft w:val="0"/>
              <w:marRight w:val="0"/>
              <w:marTop w:val="0"/>
              <w:marBottom w:val="0"/>
              <w:divBdr>
                <w:top w:val="none" w:sz="0" w:space="0" w:color="auto"/>
                <w:left w:val="none" w:sz="0" w:space="0" w:color="auto"/>
                <w:bottom w:val="none" w:sz="0" w:space="0" w:color="auto"/>
                <w:right w:val="none" w:sz="0" w:space="0" w:color="auto"/>
              </w:divBdr>
              <w:divsChild>
                <w:div w:id="546069448">
                  <w:marLeft w:val="0"/>
                  <w:marRight w:val="0"/>
                  <w:marTop w:val="0"/>
                  <w:marBottom w:val="0"/>
                  <w:divBdr>
                    <w:top w:val="none" w:sz="0" w:space="0" w:color="auto"/>
                    <w:left w:val="none" w:sz="0" w:space="0" w:color="auto"/>
                    <w:bottom w:val="none" w:sz="0" w:space="0" w:color="auto"/>
                    <w:right w:val="none" w:sz="0" w:space="0" w:color="auto"/>
                  </w:divBdr>
                  <w:divsChild>
                    <w:div w:id="156193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6322781">
      <w:bodyDiv w:val="1"/>
      <w:marLeft w:val="0"/>
      <w:marRight w:val="0"/>
      <w:marTop w:val="0"/>
      <w:marBottom w:val="0"/>
      <w:divBdr>
        <w:top w:val="none" w:sz="0" w:space="0" w:color="auto"/>
        <w:left w:val="none" w:sz="0" w:space="0" w:color="auto"/>
        <w:bottom w:val="none" w:sz="0" w:space="0" w:color="auto"/>
        <w:right w:val="none" w:sz="0" w:space="0" w:color="auto"/>
      </w:divBdr>
      <w:divsChild>
        <w:div w:id="1573586097">
          <w:marLeft w:val="0"/>
          <w:marRight w:val="0"/>
          <w:marTop w:val="0"/>
          <w:marBottom w:val="0"/>
          <w:divBdr>
            <w:top w:val="none" w:sz="0" w:space="0" w:color="auto"/>
            <w:left w:val="none" w:sz="0" w:space="0" w:color="auto"/>
            <w:bottom w:val="none" w:sz="0" w:space="0" w:color="auto"/>
            <w:right w:val="none" w:sz="0" w:space="0" w:color="auto"/>
          </w:divBdr>
          <w:divsChild>
            <w:div w:id="1851677434">
              <w:marLeft w:val="0"/>
              <w:marRight w:val="0"/>
              <w:marTop w:val="0"/>
              <w:marBottom w:val="0"/>
              <w:divBdr>
                <w:top w:val="none" w:sz="0" w:space="0" w:color="auto"/>
                <w:left w:val="none" w:sz="0" w:space="0" w:color="auto"/>
                <w:bottom w:val="none" w:sz="0" w:space="0" w:color="auto"/>
                <w:right w:val="none" w:sz="0" w:space="0" w:color="auto"/>
              </w:divBdr>
              <w:divsChild>
                <w:div w:id="1223641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184203">
      <w:bodyDiv w:val="1"/>
      <w:marLeft w:val="0"/>
      <w:marRight w:val="0"/>
      <w:marTop w:val="0"/>
      <w:marBottom w:val="0"/>
      <w:divBdr>
        <w:top w:val="none" w:sz="0" w:space="0" w:color="auto"/>
        <w:left w:val="none" w:sz="0" w:space="0" w:color="auto"/>
        <w:bottom w:val="none" w:sz="0" w:space="0" w:color="auto"/>
        <w:right w:val="none" w:sz="0" w:space="0" w:color="auto"/>
      </w:divBdr>
    </w:div>
    <w:div w:id="390353639">
      <w:bodyDiv w:val="1"/>
      <w:marLeft w:val="0"/>
      <w:marRight w:val="0"/>
      <w:marTop w:val="0"/>
      <w:marBottom w:val="0"/>
      <w:divBdr>
        <w:top w:val="none" w:sz="0" w:space="0" w:color="auto"/>
        <w:left w:val="none" w:sz="0" w:space="0" w:color="auto"/>
        <w:bottom w:val="none" w:sz="0" w:space="0" w:color="auto"/>
        <w:right w:val="none" w:sz="0" w:space="0" w:color="auto"/>
      </w:divBdr>
      <w:divsChild>
        <w:div w:id="1933780114">
          <w:marLeft w:val="0"/>
          <w:marRight w:val="0"/>
          <w:marTop w:val="0"/>
          <w:marBottom w:val="0"/>
          <w:divBdr>
            <w:top w:val="none" w:sz="0" w:space="0" w:color="auto"/>
            <w:left w:val="none" w:sz="0" w:space="0" w:color="auto"/>
            <w:bottom w:val="none" w:sz="0" w:space="0" w:color="auto"/>
            <w:right w:val="none" w:sz="0" w:space="0" w:color="auto"/>
          </w:divBdr>
          <w:divsChild>
            <w:div w:id="1933395455">
              <w:marLeft w:val="0"/>
              <w:marRight w:val="0"/>
              <w:marTop w:val="0"/>
              <w:marBottom w:val="0"/>
              <w:divBdr>
                <w:top w:val="none" w:sz="0" w:space="0" w:color="auto"/>
                <w:left w:val="none" w:sz="0" w:space="0" w:color="auto"/>
                <w:bottom w:val="none" w:sz="0" w:space="0" w:color="auto"/>
                <w:right w:val="none" w:sz="0" w:space="0" w:color="auto"/>
              </w:divBdr>
              <w:divsChild>
                <w:div w:id="1755930543">
                  <w:marLeft w:val="0"/>
                  <w:marRight w:val="0"/>
                  <w:marTop w:val="0"/>
                  <w:marBottom w:val="0"/>
                  <w:divBdr>
                    <w:top w:val="none" w:sz="0" w:space="0" w:color="auto"/>
                    <w:left w:val="none" w:sz="0" w:space="0" w:color="auto"/>
                    <w:bottom w:val="none" w:sz="0" w:space="0" w:color="auto"/>
                    <w:right w:val="none" w:sz="0" w:space="0" w:color="auto"/>
                  </w:divBdr>
                  <w:divsChild>
                    <w:div w:id="2143766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427349">
      <w:bodyDiv w:val="1"/>
      <w:marLeft w:val="0"/>
      <w:marRight w:val="0"/>
      <w:marTop w:val="0"/>
      <w:marBottom w:val="0"/>
      <w:divBdr>
        <w:top w:val="none" w:sz="0" w:space="0" w:color="auto"/>
        <w:left w:val="none" w:sz="0" w:space="0" w:color="auto"/>
        <w:bottom w:val="none" w:sz="0" w:space="0" w:color="auto"/>
        <w:right w:val="none" w:sz="0" w:space="0" w:color="auto"/>
      </w:divBdr>
    </w:div>
    <w:div w:id="399334230">
      <w:bodyDiv w:val="1"/>
      <w:marLeft w:val="0"/>
      <w:marRight w:val="0"/>
      <w:marTop w:val="0"/>
      <w:marBottom w:val="0"/>
      <w:divBdr>
        <w:top w:val="none" w:sz="0" w:space="0" w:color="auto"/>
        <w:left w:val="none" w:sz="0" w:space="0" w:color="auto"/>
        <w:bottom w:val="none" w:sz="0" w:space="0" w:color="auto"/>
        <w:right w:val="none" w:sz="0" w:space="0" w:color="auto"/>
      </w:divBdr>
      <w:divsChild>
        <w:div w:id="1542284446">
          <w:marLeft w:val="0"/>
          <w:marRight w:val="0"/>
          <w:marTop w:val="0"/>
          <w:marBottom w:val="0"/>
          <w:divBdr>
            <w:top w:val="none" w:sz="0" w:space="0" w:color="auto"/>
            <w:left w:val="none" w:sz="0" w:space="0" w:color="auto"/>
            <w:bottom w:val="none" w:sz="0" w:space="0" w:color="auto"/>
            <w:right w:val="none" w:sz="0" w:space="0" w:color="auto"/>
          </w:divBdr>
          <w:divsChild>
            <w:div w:id="1921333104">
              <w:marLeft w:val="0"/>
              <w:marRight w:val="0"/>
              <w:marTop w:val="0"/>
              <w:marBottom w:val="0"/>
              <w:divBdr>
                <w:top w:val="none" w:sz="0" w:space="0" w:color="auto"/>
                <w:left w:val="none" w:sz="0" w:space="0" w:color="auto"/>
                <w:bottom w:val="none" w:sz="0" w:space="0" w:color="auto"/>
                <w:right w:val="none" w:sz="0" w:space="0" w:color="auto"/>
              </w:divBdr>
              <w:divsChild>
                <w:div w:id="1584602894">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405150074">
      <w:bodyDiv w:val="1"/>
      <w:marLeft w:val="0"/>
      <w:marRight w:val="0"/>
      <w:marTop w:val="0"/>
      <w:marBottom w:val="0"/>
      <w:divBdr>
        <w:top w:val="none" w:sz="0" w:space="0" w:color="auto"/>
        <w:left w:val="none" w:sz="0" w:space="0" w:color="auto"/>
        <w:bottom w:val="none" w:sz="0" w:space="0" w:color="auto"/>
        <w:right w:val="none" w:sz="0" w:space="0" w:color="auto"/>
      </w:divBdr>
    </w:div>
    <w:div w:id="408037912">
      <w:bodyDiv w:val="1"/>
      <w:marLeft w:val="0"/>
      <w:marRight w:val="0"/>
      <w:marTop w:val="0"/>
      <w:marBottom w:val="0"/>
      <w:divBdr>
        <w:top w:val="none" w:sz="0" w:space="0" w:color="auto"/>
        <w:left w:val="none" w:sz="0" w:space="0" w:color="auto"/>
        <w:bottom w:val="none" w:sz="0" w:space="0" w:color="auto"/>
        <w:right w:val="none" w:sz="0" w:space="0" w:color="auto"/>
      </w:divBdr>
      <w:divsChild>
        <w:div w:id="1006055264">
          <w:marLeft w:val="0"/>
          <w:marRight w:val="0"/>
          <w:marTop w:val="0"/>
          <w:marBottom w:val="0"/>
          <w:divBdr>
            <w:top w:val="none" w:sz="0" w:space="0" w:color="auto"/>
            <w:left w:val="none" w:sz="0" w:space="0" w:color="auto"/>
            <w:bottom w:val="none" w:sz="0" w:space="0" w:color="auto"/>
            <w:right w:val="none" w:sz="0" w:space="0" w:color="auto"/>
          </w:divBdr>
          <w:divsChild>
            <w:div w:id="2048991192">
              <w:marLeft w:val="0"/>
              <w:marRight w:val="0"/>
              <w:marTop w:val="0"/>
              <w:marBottom w:val="0"/>
              <w:divBdr>
                <w:top w:val="none" w:sz="0" w:space="0" w:color="auto"/>
                <w:left w:val="none" w:sz="0" w:space="0" w:color="auto"/>
                <w:bottom w:val="none" w:sz="0" w:space="0" w:color="auto"/>
                <w:right w:val="none" w:sz="0" w:space="0" w:color="auto"/>
              </w:divBdr>
              <w:divsChild>
                <w:div w:id="129400273">
                  <w:marLeft w:val="0"/>
                  <w:marRight w:val="0"/>
                  <w:marTop w:val="0"/>
                  <w:marBottom w:val="0"/>
                  <w:divBdr>
                    <w:top w:val="none" w:sz="0" w:space="0" w:color="auto"/>
                    <w:left w:val="none" w:sz="0" w:space="0" w:color="auto"/>
                    <w:bottom w:val="none" w:sz="0" w:space="0" w:color="auto"/>
                    <w:right w:val="none" w:sz="0" w:space="0" w:color="auto"/>
                  </w:divBdr>
                  <w:divsChild>
                    <w:div w:id="1028414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0195502">
      <w:bodyDiv w:val="1"/>
      <w:marLeft w:val="0"/>
      <w:marRight w:val="0"/>
      <w:marTop w:val="0"/>
      <w:marBottom w:val="0"/>
      <w:divBdr>
        <w:top w:val="none" w:sz="0" w:space="0" w:color="auto"/>
        <w:left w:val="none" w:sz="0" w:space="0" w:color="auto"/>
        <w:bottom w:val="none" w:sz="0" w:space="0" w:color="auto"/>
        <w:right w:val="none" w:sz="0" w:space="0" w:color="auto"/>
      </w:divBdr>
      <w:divsChild>
        <w:div w:id="96944493">
          <w:marLeft w:val="0"/>
          <w:marRight w:val="0"/>
          <w:marTop w:val="0"/>
          <w:marBottom w:val="0"/>
          <w:divBdr>
            <w:top w:val="none" w:sz="0" w:space="0" w:color="auto"/>
            <w:left w:val="none" w:sz="0" w:space="0" w:color="auto"/>
            <w:bottom w:val="none" w:sz="0" w:space="0" w:color="auto"/>
            <w:right w:val="none" w:sz="0" w:space="0" w:color="auto"/>
          </w:divBdr>
          <w:divsChild>
            <w:div w:id="1023628341">
              <w:marLeft w:val="0"/>
              <w:marRight w:val="0"/>
              <w:marTop w:val="0"/>
              <w:marBottom w:val="0"/>
              <w:divBdr>
                <w:top w:val="none" w:sz="0" w:space="0" w:color="auto"/>
                <w:left w:val="none" w:sz="0" w:space="0" w:color="auto"/>
                <w:bottom w:val="none" w:sz="0" w:space="0" w:color="auto"/>
                <w:right w:val="none" w:sz="0" w:space="0" w:color="auto"/>
              </w:divBdr>
              <w:divsChild>
                <w:div w:id="1803301876">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428088746">
      <w:bodyDiv w:val="1"/>
      <w:marLeft w:val="0"/>
      <w:marRight w:val="0"/>
      <w:marTop w:val="0"/>
      <w:marBottom w:val="0"/>
      <w:divBdr>
        <w:top w:val="none" w:sz="0" w:space="0" w:color="auto"/>
        <w:left w:val="none" w:sz="0" w:space="0" w:color="auto"/>
        <w:bottom w:val="none" w:sz="0" w:space="0" w:color="auto"/>
        <w:right w:val="none" w:sz="0" w:space="0" w:color="auto"/>
      </w:divBdr>
      <w:divsChild>
        <w:div w:id="2047178037">
          <w:marLeft w:val="0"/>
          <w:marRight w:val="0"/>
          <w:marTop w:val="0"/>
          <w:marBottom w:val="0"/>
          <w:divBdr>
            <w:top w:val="none" w:sz="0" w:space="0" w:color="auto"/>
            <w:left w:val="none" w:sz="0" w:space="0" w:color="auto"/>
            <w:bottom w:val="none" w:sz="0" w:space="0" w:color="auto"/>
            <w:right w:val="none" w:sz="0" w:space="0" w:color="auto"/>
          </w:divBdr>
          <w:divsChild>
            <w:div w:id="1272204560">
              <w:marLeft w:val="0"/>
              <w:marRight w:val="0"/>
              <w:marTop w:val="0"/>
              <w:marBottom w:val="0"/>
              <w:divBdr>
                <w:top w:val="none" w:sz="0" w:space="0" w:color="auto"/>
                <w:left w:val="none" w:sz="0" w:space="0" w:color="auto"/>
                <w:bottom w:val="none" w:sz="0" w:space="0" w:color="auto"/>
                <w:right w:val="none" w:sz="0" w:space="0" w:color="auto"/>
              </w:divBdr>
              <w:divsChild>
                <w:div w:id="684402626">
                  <w:marLeft w:val="0"/>
                  <w:marRight w:val="0"/>
                  <w:marTop w:val="0"/>
                  <w:marBottom w:val="0"/>
                  <w:divBdr>
                    <w:top w:val="none" w:sz="0" w:space="0" w:color="auto"/>
                    <w:left w:val="none" w:sz="0" w:space="0" w:color="auto"/>
                    <w:bottom w:val="none" w:sz="0" w:space="0" w:color="auto"/>
                    <w:right w:val="none" w:sz="0" w:space="0" w:color="auto"/>
                  </w:divBdr>
                  <w:divsChild>
                    <w:div w:id="112619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2939625">
      <w:bodyDiv w:val="1"/>
      <w:marLeft w:val="0"/>
      <w:marRight w:val="0"/>
      <w:marTop w:val="0"/>
      <w:marBottom w:val="0"/>
      <w:divBdr>
        <w:top w:val="none" w:sz="0" w:space="0" w:color="auto"/>
        <w:left w:val="none" w:sz="0" w:space="0" w:color="auto"/>
        <w:bottom w:val="none" w:sz="0" w:space="0" w:color="auto"/>
        <w:right w:val="none" w:sz="0" w:space="0" w:color="auto"/>
      </w:divBdr>
    </w:div>
    <w:div w:id="457530765">
      <w:bodyDiv w:val="1"/>
      <w:marLeft w:val="0"/>
      <w:marRight w:val="0"/>
      <w:marTop w:val="0"/>
      <w:marBottom w:val="0"/>
      <w:divBdr>
        <w:top w:val="none" w:sz="0" w:space="0" w:color="auto"/>
        <w:left w:val="none" w:sz="0" w:space="0" w:color="auto"/>
        <w:bottom w:val="none" w:sz="0" w:space="0" w:color="auto"/>
        <w:right w:val="none" w:sz="0" w:space="0" w:color="auto"/>
      </w:divBdr>
      <w:divsChild>
        <w:div w:id="682627040">
          <w:marLeft w:val="0"/>
          <w:marRight w:val="0"/>
          <w:marTop w:val="0"/>
          <w:marBottom w:val="0"/>
          <w:divBdr>
            <w:top w:val="none" w:sz="0" w:space="0" w:color="auto"/>
            <w:left w:val="none" w:sz="0" w:space="0" w:color="auto"/>
            <w:bottom w:val="none" w:sz="0" w:space="0" w:color="auto"/>
            <w:right w:val="none" w:sz="0" w:space="0" w:color="auto"/>
          </w:divBdr>
          <w:divsChild>
            <w:div w:id="1296372435">
              <w:marLeft w:val="0"/>
              <w:marRight w:val="0"/>
              <w:marTop w:val="0"/>
              <w:marBottom w:val="0"/>
              <w:divBdr>
                <w:top w:val="none" w:sz="0" w:space="0" w:color="auto"/>
                <w:left w:val="none" w:sz="0" w:space="0" w:color="auto"/>
                <w:bottom w:val="none" w:sz="0" w:space="0" w:color="auto"/>
                <w:right w:val="none" w:sz="0" w:space="0" w:color="auto"/>
              </w:divBdr>
              <w:divsChild>
                <w:div w:id="1783912960">
                  <w:marLeft w:val="0"/>
                  <w:marRight w:val="0"/>
                  <w:marTop w:val="0"/>
                  <w:marBottom w:val="0"/>
                  <w:divBdr>
                    <w:top w:val="none" w:sz="0" w:space="0" w:color="auto"/>
                    <w:left w:val="none" w:sz="0" w:space="0" w:color="auto"/>
                    <w:bottom w:val="none" w:sz="0" w:space="0" w:color="auto"/>
                    <w:right w:val="none" w:sz="0" w:space="0" w:color="auto"/>
                  </w:divBdr>
                  <w:divsChild>
                    <w:div w:id="1167330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132141">
      <w:bodyDiv w:val="1"/>
      <w:marLeft w:val="0"/>
      <w:marRight w:val="0"/>
      <w:marTop w:val="0"/>
      <w:marBottom w:val="0"/>
      <w:divBdr>
        <w:top w:val="none" w:sz="0" w:space="0" w:color="auto"/>
        <w:left w:val="none" w:sz="0" w:space="0" w:color="auto"/>
        <w:bottom w:val="none" w:sz="0" w:space="0" w:color="auto"/>
        <w:right w:val="none" w:sz="0" w:space="0" w:color="auto"/>
      </w:divBdr>
      <w:divsChild>
        <w:div w:id="1943950216">
          <w:marLeft w:val="0"/>
          <w:marRight w:val="0"/>
          <w:marTop w:val="0"/>
          <w:marBottom w:val="0"/>
          <w:divBdr>
            <w:top w:val="none" w:sz="0" w:space="0" w:color="auto"/>
            <w:left w:val="none" w:sz="0" w:space="0" w:color="auto"/>
            <w:bottom w:val="none" w:sz="0" w:space="0" w:color="auto"/>
            <w:right w:val="none" w:sz="0" w:space="0" w:color="auto"/>
          </w:divBdr>
          <w:divsChild>
            <w:div w:id="220990471">
              <w:marLeft w:val="0"/>
              <w:marRight w:val="0"/>
              <w:marTop w:val="0"/>
              <w:marBottom w:val="0"/>
              <w:divBdr>
                <w:top w:val="none" w:sz="0" w:space="0" w:color="auto"/>
                <w:left w:val="none" w:sz="0" w:space="0" w:color="auto"/>
                <w:bottom w:val="none" w:sz="0" w:space="0" w:color="auto"/>
                <w:right w:val="none" w:sz="0" w:space="0" w:color="auto"/>
              </w:divBdr>
              <w:divsChild>
                <w:div w:id="1023629962">
                  <w:marLeft w:val="0"/>
                  <w:marRight w:val="0"/>
                  <w:marTop w:val="0"/>
                  <w:marBottom w:val="0"/>
                  <w:divBdr>
                    <w:top w:val="none" w:sz="0" w:space="0" w:color="auto"/>
                    <w:left w:val="none" w:sz="0" w:space="0" w:color="auto"/>
                    <w:bottom w:val="none" w:sz="0" w:space="0" w:color="auto"/>
                    <w:right w:val="none" w:sz="0" w:space="0" w:color="auto"/>
                  </w:divBdr>
                  <w:divsChild>
                    <w:div w:id="109762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5976603">
      <w:bodyDiv w:val="1"/>
      <w:marLeft w:val="240"/>
      <w:marRight w:val="240"/>
      <w:marTop w:val="240"/>
      <w:marBottom w:val="60"/>
      <w:divBdr>
        <w:top w:val="none" w:sz="0" w:space="0" w:color="auto"/>
        <w:left w:val="none" w:sz="0" w:space="0" w:color="auto"/>
        <w:bottom w:val="none" w:sz="0" w:space="0" w:color="auto"/>
        <w:right w:val="none" w:sz="0" w:space="0" w:color="auto"/>
      </w:divBdr>
    </w:div>
    <w:div w:id="488401242">
      <w:bodyDiv w:val="1"/>
      <w:marLeft w:val="0"/>
      <w:marRight w:val="0"/>
      <w:marTop w:val="0"/>
      <w:marBottom w:val="0"/>
      <w:divBdr>
        <w:top w:val="none" w:sz="0" w:space="0" w:color="auto"/>
        <w:left w:val="none" w:sz="0" w:space="0" w:color="auto"/>
        <w:bottom w:val="none" w:sz="0" w:space="0" w:color="auto"/>
        <w:right w:val="none" w:sz="0" w:space="0" w:color="auto"/>
      </w:divBdr>
    </w:div>
    <w:div w:id="496118293">
      <w:bodyDiv w:val="1"/>
      <w:marLeft w:val="0"/>
      <w:marRight w:val="0"/>
      <w:marTop w:val="0"/>
      <w:marBottom w:val="0"/>
      <w:divBdr>
        <w:top w:val="none" w:sz="0" w:space="0" w:color="auto"/>
        <w:left w:val="none" w:sz="0" w:space="0" w:color="auto"/>
        <w:bottom w:val="none" w:sz="0" w:space="0" w:color="auto"/>
        <w:right w:val="none" w:sz="0" w:space="0" w:color="auto"/>
      </w:divBdr>
      <w:divsChild>
        <w:div w:id="291057221">
          <w:marLeft w:val="0"/>
          <w:marRight w:val="0"/>
          <w:marTop w:val="0"/>
          <w:marBottom w:val="0"/>
          <w:divBdr>
            <w:top w:val="none" w:sz="0" w:space="0" w:color="auto"/>
            <w:left w:val="none" w:sz="0" w:space="0" w:color="auto"/>
            <w:bottom w:val="none" w:sz="0" w:space="0" w:color="auto"/>
            <w:right w:val="none" w:sz="0" w:space="0" w:color="auto"/>
          </w:divBdr>
          <w:divsChild>
            <w:div w:id="1296333416">
              <w:marLeft w:val="0"/>
              <w:marRight w:val="0"/>
              <w:marTop w:val="0"/>
              <w:marBottom w:val="0"/>
              <w:divBdr>
                <w:top w:val="none" w:sz="0" w:space="0" w:color="auto"/>
                <w:left w:val="none" w:sz="0" w:space="0" w:color="auto"/>
                <w:bottom w:val="none" w:sz="0" w:space="0" w:color="auto"/>
                <w:right w:val="none" w:sz="0" w:space="0" w:color="auto"/>
              </w:divBdr>
              <w:divsChild>
                <w:div w:id="316343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389728">
      <w:bodyDiv w:val="1"/>
      <w:marLeft w:val="0"/>
      <w:marRight w:val="0"/>
      <w:marTop w:val="0"/>
      <w:marBottom w:val="0"/>
      <w:divBdr>
        <w:top w:val="none" w:sz="0" w:space="0" w:color="auto"/>
        <w:left w:val="none" w:sz="0" w:space="0" w:color="auto"/>
        <w:bottom w:val="none" w:sz="0" w:space="0" w:color="auto"/>
        <w:right w:val="none" w:sz="0" w:space="0" w:color="auto"/>
      </w:divBdr>
      <w:divsChild>
        <w:div w:id="865102840">
          <w:marLeft w:val="0"/>
          <w:marRight w:val="0"/>
          <w:marTop w:val="0"/>
          <w:marBottom w:val="0"/>
          <w:divBdr>
            <w:top w:val="none" w:sz="0" w:space="0" w:color="auto"/>
            <w:left w:val="none" w:sz="0" w:space="0" w:color="auto"/>
            <w:bottom w:val="none" w:sz="0" w:space="0" w:color="auto"/>
            <w:right w:val="none" w:sz="0" w:space="0" w:color="auto"/>
          </w:divBdr>
          <w:divsChild>
            <w:div w:id="1521968550">
              <w:marLeft w:val="0"/>
              <w:marRight w:val="0"/>
              <w:marTop w:val="0"/>
              <w:marBottom w:val="0"/>
              <w:divBdr>
                <w:top w:val="none" w:sz="0" w:space="0" w:color="auto"/>
                <w:left w:val="none" w:sz="0" w:space="0" w:color="auto"/>
                <w:bottom w:val="none" w:sz="0" w:space="0" w:color="auto"/>
                <w:right w:val="none" w:sz="0" w:space="0" w:color="auto"/>
              </w:divBdr>
              <w:divsChild>
                <w:div w:id="255090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869207">
      <w:bodyDiv w:val="1"/>
      <w:marLeft w:val="0"/>
      <w:marRight w:val="0"/>
      <w:marTop w:val="0"/>
      <w:marBottom w:val="0"/>
      <w:divBdr>
        <w:top w:val="none" w:sz="0" w:space="0" w:color="auto"/>
        <w:left w:val="none" w:sz="0" w:space="0" w:color="auto"/>
        <w:bottom w:val="none" w:sz="0" w:space="0" w:color="auto"/>
        <w:right w:val="none" w:sz="0" w:space="0" w:color="auto"/>
      </w:divBdr>
    </w:div>
    <w:div w:id="539513807">
      <w:bodyDiv w:val="1"/>
      <w:marLeft w:val="0"/>
      <w:marRight w:val="0"/>
      <w:marTop w:val="0"/>
      <w:marBottom w:val="0"/>
      <w:divBdr>
        <w:top w:val="none" w:sz="0" w:space="0" w:color="auto"/>
        <w:left w:val="none" w:sz="0" w:space="0" w:color="auto"/>
        <w:bottom w:val="none" w:sz="0" w:space="0" w:color="auto"/>
        <w:right w:val="none" w:sz="0" w:space="0" w:color="auto"/>
      </w:divBdr>
    </w:div>
    <w:div w:id="552157461">
      <w:bodyDiv w:val="1"/>
      <w:marLeft w:val="0"/>
      <w:marRight w:val="0"/>
      <w:marTop w:val="0"/>
      <w:marBottom w:val="0"/>
      <w:divBdr>
        <w:top w:val="none" w:sz="0" w:space="0" w:color="auto"/>
        <w:left w:val="none" w:sz="0" w:space="0" w:color="auto"/>
        <w:bottom w:val="none" w:sz="0" w:space="0" w:color="auto"/>
        <w:right w:val="none" w:sz="0" w:space="0" w:color="auto"/>
      </w:divBdr>
      <w:divsChild>
        <w:div w:id="894201421">
          <w:marLeft w:val="0"/>
          <w:marRight w:val="0"/>
          <w:marTop w:val="0"/>
          <w:marBottom w:val="0"/>
          <w:divBdr>
            <w:top w:val="none" w:sz="0" w:space="0" w:color="auto"/>
            <w:left w:val="none" w:sz="0" w:space="0" w:color="auto"/>
            <w:bottom w:val="none" w:sz="0" w:space="0" w:color="auto"/>
            <w:right w:val="none" w:sz="0" w:space="0" w:color="auto"/>
          </w:divBdr>
          <w:divsChild>
            <w:div w:id="438449404">
              <w:marLeft w:val="0"/>
              <w:marRight w:val="0"/>
              <w:marTop w:val="0"/>
              <w:marBottom w:val="0"/>
              <w:divBdr>
                <w:top w:val="none" w:sz="0" w:space="0" w:color="auto"/>
                <w:left w:val="none" w:sz="0" w:space="0" w:color="auto"/>
                <w:bottom w:val="none" w:sz="0" w:space="0" w:color="auto"/>
                <w:right w:val="none" w:sz="0" w:space="0" w:color="auto"/>
              </w:divBdr>
              <w:divsChild>
                <w:div w:id="1873104927">
                  <w:marLeft w:val="0"/>
                  <w:marRight w:val="0"/>
                  <w:marTop w:val="0"/>
                  <w:marBottom w:val="0"/>
                  <w:divBdr>
                    <w:top w:val="none" w:sz="0" w:space="0" w:color="auto"/>
                    <w:left w:val="none" w:sz="0" w:space="0" w:color="auto"/>
                    <w:bottom w:val="none" w:sz="0" w:space="0" w:color="auto"/>
                    <w:right w:val="none" w:sz="0" w:space="0" w:color="auto"/>
                  </w:divBdr>
                  <w:divsChild>
                    <w:div w:id="2026519369">
                      <w:marLeft w:val="0"/>
                      <w:marRight w:val="0"/>
                      <w:marTop w:val="0"/>
                      <w:marBottom w:val="0"/>
                      <w:divBdr>
                        <w:top w:val="none" w:sz="0" w:space="0" w:color="auto"/>
                        <w:left w:val="none" w:sz="0" w:space="0" w:color="auto"/>
                        <w:bottom w:val="none" w:sz="0" w:space="0" w:color="auto"/>
                        <w:right w:val="none" w:sz="0" w:space="0" w:color="auto"/>
                      </w:divBdr>
                    </w:div>
                  </w:divsChild>
                </w:div>
                <w:div w:id="1200126521">
                  <w:marLeft w:val="0"/>
                  <w:marRight w:val="0"/>
                  <w:marTop w:val="0"/>
                  <w:marBottom w:val="0"/>
                  <w:divBdr>
                    <w:top w:val="none" w:sz="0" w:space="0" w:color="auto"/>
                    <w:left w:val="none" w:sz="0" w:space="0" w:color="auto"/>
                    <w:bottom w:val="none" w:sz="0" w:space="0" w:color="auto"/>
                    <w:right w:val="none" w:sz="0" w:space="0" w:color="auto"/>
                  </w:divBdr>
                  <w:divsChild>
                    <w:div w:id="1293555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6088066">
      <w:bodyDiv w:val="1"/>
      <w:marLeft w:val="0"/>
      <w:marRight w:val="0"/>
      <w:marTop w:val="0"/>
      <w:marBottom w:val="0"/>
      <w:divBdr>
        <w:top w:val="none" w:sz="0" w:space="0" w:color="auto"/>
        <w:left w:val="none" w:sz="0" w:space="0" w:color="auto"/>
        <w:bottom w:val="none" w:sz="0" w:space="0" w:color="auto"/>
        <w:right w:val="none" w:sz="0" w:space="0" w:color="auto"/>
      </w:divBdr>
      <w:divsChild>
        <w:div w:id="1484082447">
          <w:marLeft w:val="0"/>
          <w:marRight w:val="0"/>
          <w:marTop w:val="0"/>
          <w:marBottom w:val="0"/>
          <w:divBdr>
            <w:top w:val="none" w:sz="0" w:space="0" w:color="auto"/>
            <w:left w:val="none" w:sz="0" w:space="0" w:color="auto"/>
            <w:bottom w:val="none" w:sz="0" w:space="0" w:color="auto"/>
            <w:right w:val="none" w:sz="0" w:space="0" w:color="auto"/>
          </w:divBdr>
          <w:divsChild>
            <w:div w:id="124088260">
              <w:marLeft w:val="0"/>
              <w:marRight w:val="0"/>
              <w:marTop w:val="0"/>
              <w:marBottom w:val="0"/>
              <w:divBdr>
                <w:top w:val="none" w:sz="0" w:space="0" w:color="auto"/>
                <w:left w:val="none" w:sz="0" w:space="0" w:color="auto"/>
                <w:bottom w:val="none" w:sz="0" w:space="0" w:color="auto"/>
                <w:right w:val="none" w:sz="0" w:space="0" w:color="auto"/>
              </w:divBdr>
              <w:divsChild>
                <w:div w:id="741946619">
                  <w:marLeft w:val="0"/>
                  <w:marRight w:val="0"/>
                  <w:marTop w:val="0"/>
                  <w:marBottom w:val="0"/>
                  <w:divBdr>
                    <w:top w:val="none" w:sz="0" w:space="0" w:color="auto"/>
                    <w:left w:val="none" w:sz="0" w:space="0" w:color="auto"/>
                    <w:bottom w:val="none" w:sz="0" w:space="0" w:color="auto"/>
                    <w:right w:val="none" w:sz="0" w:space="0" w:color="auto"/>
                  </w:divBdr>
                  <w:divsChild>
                    <w:div w:id="780534241">
                      <w:marLeft w:val="0"/>
                      <w:marRight w:val="0"/>
                      <w:marTop w:val="0"/>
                      <w:marBottom w:val="0"/>
                      <w:divBdr>
                        <w:top w:val="none" w:sz="0" w:space="0" w:color="auto"/>
                        <w:left w:val="none" w:sz="0" w:space="0" w:color="auto"/>
                        <w:bottom w:val="none" w:sz="0" w:space="0" w:color="auto"/>
                        <w:right w:val="none" w:sz="0" w:space="0" w:color="auto"/>
                      </w:divBdr>
                      <w:divsChild>
                        <w:div w:id="82473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2165591">
          <w:marLeft w:val="0"/>
          <w:marRight w:val="0"/>
          <w:marTop w:val="0"/>
          <w:marBottom w:val="0"/>
          <w:divBdr>
            <w:top w:val="none" w:sz="0" w:space="0" w:color="auto"/>
            <w:left w:val="none" w:sz="0" w:space="0" w:color="auto"/>
            <w:bottom w:val="none" w:sz="0" w:space="0" w:color="auto"/>
            <w:right w:val="none" w:sz="0" w:space="0" w:color="auto"/>
          </w:divBdr>
          <w:divsChild>
            <w:div w:id="927614399">
              <w:marLeft w:val="0"/>
              <w:marRight w:val="0"/>
              <w:marTop w:val="0"/>
              <w:marBottom w:val="0"/>
              <w:divBdr>
                <w:top w:val="none" w:sz="0" w:space="0" w:color="auto"/>
                <w:left w:val="none" w:sz="0" w:space="0" w:color="auto"/>
                <w:bottom w:val="none" w:sz="0" w:space="0" w:color="auto"/>
                <w:right w:val="none" w:sz="0" w:space="0" w:color="auto"/>
              </w:divBdr>
              <w:divsChild>
                <w:div w:id="1549758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0648386">
      <w:bodyDiv w:val="1"/>
      <w:marLeft w:val="0"/>
      <w:marRight w:val="0"/>
      <w:marTop w:val="0"/>
      <w:marBottom w:val="0"/>
      <w:divBdr>
        <w:top w:val="none" w:sz="0" w:space="0" w:color="auto"/>
        <w:left w:val="none" w:sz="0" w:space="0" w:color="auto"/>
        <w:bottom w:val="none" w:sz="0" w:space="0" w:color="auto"/>
        <w:right w:val="none" w:sz="0" w:space="0" w:color="auto"/>
      </w:divBdr>
      <w:divsChild>
        <w:div w:id="289362240">
          <w:marLeft w:val="0"/>
          <w:marRight w:val="0"/>
          <w:marTop w:val="0"/>
          <w:marBottom w:val="0"/>
          <w:divBdr>
            <w:top w:val="none" w:sz="0" w:space="0" w:color="auto"/>
            <w:left w:val="none" w:sz="0" w:space="0" w:color="auto"/>
            <w:bottom w:val="none" w:sz="0" w:space="0" w:color="auto"/>
            <w:right w:val="none" w:sz="0" w:space="0" w:color="auto"/>
          </w:divBdr>
          <w:divsChild>
            <w:div w:id="886644648">
              <w:marLeft w:val="0"/>
              <w:marRight w:val="0"/>
              <w:marTop w:val="0"/>
              <w:marBottom w:val="0"/>
              <w:divBdr>
                <w:top w:val="none" w:sz="0" w:space="0" w:color="auto"/>
                <w:left w:val="none" w:sz="0" w:space="0" w:color="auto"/>
                <w:bottom w:val="none" w:sz="0" w:space="0" w:color="auto"/>
                <w:right w:val="none" w:sz="0" w:space="0" w:color="auto"/>
              </w:divBdr>
              <w:divsChild>
                <w:div w:id="1882134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6620335">
      <w:bodyDiv w:val="1"/>
      <w:marLeft w:val="0"/>
      <w:marRight w:val="0"/>
      <w:marTop w:val="0"/>
      <w:marBottom w:val="0"/>
      <w:divBdr>
        <w:top w:val="none" w:sz="0" w:space="0" w:color="auto"/>
        <w:left w:val="none" w:sz="0" w:space="0" w:color="auto"/>
        <w:bottom w:val="none" w:sz="0" w:space="0" w:color="auto"/>
        <w:right w:val="none" w:sz="0" w:space="0" w:color="auto"/>
      </w:divBdr>
      <w:divsChild>
        <w:div w:id="881946112">
          <w:marLeft w:val="0"/>
          <w:marRight w:val="0"/>
          <w:marTop w:val="0"/>
          <w:marBottom w:val="0"/>
          <w:divBdr>
            <w:top w:val="none" w:sz="0" w:space="0" w:color="auto"/>
            <w:left w:val="none" w:sz="0" w:space="0" w:color="auto"/>
            <w:bottom w:val="none" w:sz="0" w:space="0" w:color="auto"/>
            <w:right w:val="none" w:sz="0" w:space="0" w:color="auto"/>
          </w:divBdr>
          <w:divsChild>
            <w:div w:id="2061057160">
              <w:marLeft w:val="0"/>
              <w:marRight w:val="0"/>
              <w:marTop w:val="0"/>
              <w:marBottom w:val="0"/>
              <w:divBdr>
                <w:top w:val="none" w:sz="0" w:space="0" w:color="auto"/>
                <w:left w:val="none" w:sz="0" w:space="0" w:color="auto"/>
                <w:bottom w:val="none" w:sz="0" w:space="0" w:color="auto"/>
                <w:right w:val="none" w:sz="0" w:space="0" w:color="auto"/>
              </w:divBdr>
              <w:divsChild>
                <w:div w:id="1851597863">
                  <w:marLeft w:val="0"/>
                  <w:marRight w:val="0"/>
                  <w:marTop w:val="0"/>
                  <w:marBottom w:val="0"/>
                  <w:divBdr>
                    <w:top w:val="none" w:sz="0" w:space="0" w:color="auto"/>
                    <w:left w:val="none" w:sz="0" w:space="0" w:color="auto"/>
                    <w:bottom w:val="none" w:sz="0" w:space="0" w:color="auto"/>
                    <w:right w:val="none" w:sz="0" w:space="0" w:color="auto"/>
                  </w:divBdr>
                  <w:divsChild>
                    <w:div w:id="7492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747623">
      <w:bodyDiv w:val="1"/>
      <w:marLeft w:val="0"/>
      <w:marRight w:val="0"/>
      <w:marTop w:val="0"/>
      <w:marBottom w:val="0"/>
      <w:divBdr>
        <w:top w:val="none" w:sz="0" w:space="0" w:color="auto"/>
        <w:left w:val="none" w:sz="0" w:space="0" w:color="auto"/>
        <w:bottom w:val="none" w:sz="0" w:space="0" w:color="auto"/>
        <w:right w:val="none" w:sz="0" w:space="0" w:color="auto"/>
      </w:divBdr>
    </w:div>
    <w:div w:id="662851990">
      <w:bodyDiv w:val="1"/>
      <w:marLeft w:val="0"/>
      <w:marRight w:val="0"/>
      <w:marTop w:val="0"/>
      <w:marBottom w:val="0"/>
      <w:divBdr>
        <w:top w:val="none" w:sz="0" w:space="0" w:color="auto"/>
        <w:left w:val="none" w:sz="0" w:space="0" w:color="auto"/>
        <w:bottom w:val="none" w:sz="0" w:space="0" w:color="auto"/>
        <w:right w:val="none" w:sz="0" w:space="0" w:color="auto"/>
      </w:divBdr>
    </w:div>
    <w:div w:id="682896191">
      <w:bodyDiv w:val="1"/>
      <w:marLeft w:val="0"/>
      <w:marRight w:val="0"/>
      <w:marTop w:val="0"/>
      <w:marBottom w:val="0"/>
      <w:divBdr>
        <w:top w:val="none" w:sz="0" w:space="0" w:color="auto"/>
        <w:left w:val="none" w:sz="0" w:space="0" w:color="auto"/>
        <w:bottom w:val="none" w:sz="0" w:space="0" w:color="auto"/>
        <w:right w:val="none" w:sz="0" w:space="0" w:color="auto"/>
      </w:divBdr>
    </w:div>
    <w:div w:id="712462543">
      <w:bodyDiv w:val="1"/>
      <w:marLeft w:val="0"/>
      <w:marRight w:val="0"/>
      <w:marTop w:val="0"/>
      <w:marBottom w:val="0"/>
      <w:divBdr>
        <w:top w:val="none" w:sz="0" w:space="0" w:color="auto"/>
        <w:left w:val="none" w:sz="0" w:space="0" w:color="auto"/>
        <w:bottom w:val="none" w:sz="0" w:space="0" w:color="auto"/>
        <w:right w:val="none" w:sz="0" w:space="0" w:color="auto"/>
      </w:divBdr>
    </w:div>
    <w:div w:id="736174156">
      <w:bodyDiv w:val="1"/>
      <w:marLeft w:val="0"/>
      <w:marRight w:val="0"/>
      <w:marTop w:val="0"/>
      <w:marBottom w:val="0"/>
      <w:divBdr>
        <w:top w:val="none" w:sz="0" w:space="0" w:color="auto"/>
        <w:left w:val="none" w:sz="0" w:space="0" w:color="auto"/>
        <w:bottom w:val="none" w:sz="0" w:space="0" w:color="auto"/>
        <w:right w:val="none" w:sz="0" w:space="0" w:color="auto"/>
      </w:divBdr>
      <w:divsChild>
        <w:div w:id="51852132">
          <w:marLeft w:val="0"/>
          <w:marRight w:val="0"/>
          <w:marTop w:val="0"/>
          <w:marBottom w:val="0"/>
          <w:divBdr>
            <w:top w:val="none" w:sz="0" w:space="0" w:color="auto"/>
            <w:left w:val="none" w:sz="0" w:space="0" w:color="auto"/>
            <w:bottom w:val="none" w:sz="0" w:space="0" w:color="auto"/>
            <w:right w:val="none" w:sz="0" w:space="0" w:color="auto"/>
          </w:divBdr>
          <w:divsChild>
            <w:div w:id="1312951060">
              <w:marLeft w:val="0"/>
              <w:marRight w:val="0"/>
              <w:marTop w:val="0"/>
              <w:marBottom w:val="0"/>
              <w:divBdr>
                <w:top w:val="none" w:sz="0" w:space="0" w:color="auto"/>
                <w:left w:val="none" w:sz="0" w:space="0" w:color="auto"/>
                <w:bottom w:val="none" w:sz="0" w:space="0" w:color="auto"/>
                <w:right w:val="none" w:sz="0" w:space="0" w:color="auto"/>
              </w:divBdr>
              <w:divsChild>
                <w:div w:id="1884904436">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748582032">
      <w:bodyDiv w:val="1"/>
      <w:marLeft w:val="0"/>
      <w:marRight w:val="0"/>
      <w:marTop w:val="0"/>
      <w:marBottom w:val="0"/>
      <w:divBdr>
        <w:top w:val="none" w:sz="0" w:space="0" w:color="auto"/>
        <w:left w:val="none" w:sz="0" w:space="0" w:color="auto"/>
        <w:bottom w:val="none" w:sz="0" w:space="0" w:color="auto"/>
        <w:right w:val="none" w:sz="0" w:space="0" w:color="auto"/>
      </w:divBdr>
      <w:divsChild>
        <w:div w:id="140660409">
          <w:marLeft w:val="0"/>
          <w:marRight w:val="0"/>
          <w:marTop w:val="0"/>
          <w:marBottom w:val="0"/>
          <w:divBdr>
            <w:top w:val="none" w:sz="0" w:space="0" w:color="auto"/>
            <w:left w:val="none" w:sz="0" w:space="0" w:color="auto"/>
            <w:bottom w:val="none" w:sz="0" w:space="0" w:color="auto"/>
            <w:right w:val="none" w:sz="0" w:space="0" w:color="auto"/>
          </w:divBdr>
          <w:divsChild>
            <w:div w:id="1521775210">
              <w:marLeft w:val="0"/>
              <w:marRight w:val="0"/>
              <w:marTop w:val="0"/>
              <w:marBottom w:val="0"/>
              <w:divBdr>
                <w:top w:val="none" w:sz="0" w:space="0" w:color="auto"/>
                <w:left w:val="none" w:sz="0" w:space="0" w:color="auto"/>
                <w:bottom w:val="none" w:sz="0" w:space="0" w:color="auto"/>
                <w:right w:val="none" w:sz="0" w:space="0" w:color="auto"/>
              </w:divBdr>
              <w:divsChild>
                <w:div w:id="3180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763671">
      <w:bodyDiv w:val="1"/>
      <w:marLeft w:val="0"/>
      <w:marRight w:val="0"/>
      <w:marTop w:val="0"/>
      <w:marBottom w:val="0"/>
      <w:divBdr>
        <w:top w:val="none" w:sz="0" w:space="0" w:color="auto"/>
        <w:left w:val="none" w:sz="0" w:space="0" w:color="auto"/>
        <w:bottom w:val="none" w:sz="0" w:space="0" w:color="auto"/>
        <w:right w:val="none" w:sz="0" w:space="0" w:color="auto"/>
      </w:divBdr>
    </w:div>
    <w:div w:id="770514807">
      <w:bodyDiv w:val="1"/>
      <w:marLeft w:val="240"/>
      <w:marRight w:val="240"/>
      <w:marTop w:val="240"/>
      <w:marBottom w:val="60"/>
      <w:divBdr>
        <w:top w:val="none" w:sz="0" w:space="0" w:color="auto"/>
        <w:left w:val="none" w:sz="0" w:space="0" w:color="auto"/>
        <w:bottom w:val="none" w:sz="0" w:space="0" w:color="auto"/>
        <w:right w:val="none" w:sz="0" w:space="0" w:color="auto"/>
      </w:divBdr>
      <w:divsChild>
        <w:div w:id="371541161">
          <w:marLeft w:val="0"/>
          <w:marRight w:val="0"/>
          <w:marTop w:val="0"/>
          <w:marBottom w:val="0"/>
          <w:divBdr>
            <w:top w:val="none" w:sz="0" w:space="0" w:color="auto"/>
            <w:left w:val="none" w:sz="0" w:space="0" w:color="auto"/>
            <w:bottom w:val="none" w:sz="0" w:space="0" w:color="auto"/>
            <w:right w:val="none" w:sz="0" w:space="0" w:color="auto"/>
          </w:divBdr>
        </w:div>
      </w:divsChild>
    </w:div>
    <w:div w:id="781656329">
      <w:bodyDiv w:val="1"/>
      <w:marLeft w:val="0"/>
      <w:marRight w:val="0"/>
      <w:marTop w:val="0"/>
      <w:marBottom w:val="0"/>
      <w:divBdr>
        <w:top w:val="none" w:sz="0" w:space="0" w:color="auto"/>
        <w:left w:val="none" w:sz="0" w:space="0" w:color="auto"/>
        <w:bottom w:val="none" w:sz="0" w:space="0" w:color="auto"/>
        <w:right w:val="none" w:sz="0" w:space="0" w:color="auto"/>
      </w:divBdr>
      <w:divsChild>
        <w:div w:id="1570799186">
          <w:marLeft w:val="0"/>
          <w:marRight w:val="0"/>
          <w:marTop w:val="0"/>
          <w:marBottom w:val="0"/>
          <w:divBdr>
            <w:top w:val="none" w:sz="0" w:space="0" w:color="auto"/>
            <w:left w:val="none" w:sz="0" w:space="0" w:color="auto"/>
            <w:bottom w:val="none" w:sz="0" w:space="0" w:color="auto"/>
            <w:right w:val="none" w:sz="0" w:space="0" w:color="auto"/>
          </w:divBdr>
          <w:divsChild>
            <w:div w:id="1330016770">
              <w:marLeft w:val="0"/>
              <w:marRight w:val="0"/>
              <w:marTop w:val="0"/>
              <w:marBottom w:val="0"/>
              <w:divBdr>
                <w:top w:val="none" w:sz="0" w:space="0" w:color="auto"/>
                <w:left w:val="none" w:sz="0" w:space="0" w:color="auto"/>
                <w:bottom w:val="none" w:sz="0" w:space="0" w:color="auto"/>
                <w:right w:val="none" w:sz="0" w:space="0" w:color="auto"/>
              </w:divBdr>
              <w:divsChild>
                <w:div w:id="705758304">
                  <w:marLeft w:val="0"/>
                  <w:marRight w:val="0"/>
                  <w:marTop w:val="0"/>
                  <w:marBottom w:val="0"/>
                  <w:divBdr>
                    <w:top w:val="none" w:sz="0" w:space="0" w:color="auto"/>
                    <w:left w:val="none" w:sz="0" w:space="0" w:color="auto"/>
                    <w:bottom w:val="none" w:sz="0" w:space="0" w:color="auto"/>
                    <w:right w:val="none" w:sz="0" w:space="0" w:color="auto"/>
                  </w:divBdr>
                  <w:divsChild>
                    <w:div w:id="17303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5121852">
      <w:bodyDiv w:val="1"/>
      <w:marLeft w:val="0"/>
      <w:marRight w:val="0"/>
      <w:marTop w:val="0"/>
      <w:marBottom w:val="0"/>
      <w:divBdr>
        <w:top w:val="none" w:sz="0" w:space="0" w:color="auto"/>
        <w:left w:val="none" w:sz="0" w:space="0" w:color="auto"/>
        <w:bottom w:val="none" w:sz="0" w:space="0" w:color="auto"/>
        <w:right w:val="none" w:sz="0" w:space="0" w:color="auto"/>
      </w:divBdr>
    </w:div>
    <w:div w:id="824125831">
      <w:bodyDiv w:val="1"/>
      <w:marLeft w:val="0"/>
      <w:marRight w:val="0"/>
      <w:marTop w:val="0"/>
      <w:marBottom w:val="0"/>
      <w:divBdr>
        <w:top w:val="none" w:sz="0" w:space="0" w:color="auto"/>
        <w:left w:val="none" w:sz="0" w:space="0" w:color="auto"/>
        <w:bottom w:val="none" w:sz="0" w:space="0" w:color="auto"/>
        <w:right w:val="none" w:sz="0" w:space="0" w:color="auto"/>
      </w:divBdr>
      <w:divsChild>
        <w:div w:id="707682972">
          <w:marLeft w:val="0"/>
          <w:marRight w:val="0"/>
          <w:marTop w:val="0"/>
          <w:marBottom w:val="0"/>
          <w:divBdr>
            <w:top w:val="none" w:sz="0" w:space="0" w:color="auto"/>
            <w:left w:val="none" w:sz="0" w:space="0" w:color="auto"/>
            <w:bottom w:val="none" w:sz="0" w:space="0" w:color="auto"/>
            <w:right w:val="none" w:sz="0" w:space="0" w:color="auto"/>
          </w:divBdr>
          <w:divsChild>
            <w:div w:id="1547373063">
              <w:marLeft w:val="0"/>
              <w:marRight w:val="0"/>
              <w:marTop w:val="0"/>
              <w:marBottom w:val="0"/>
              <w:divBdr>
                <w:top w:val="none" w:sz="0" w:space="0" w:color="auto"/>
                <w:left w:val="none" w:sz="0" w:space="0" w:color="auto"/>
                <w:bottom w:val="none" w:sz="0" w:space="0" w:color="auto"/>
                <w:right w:val="none" w:sz="0" w:space="0" w:color="auto"/>
              </w:divBdr>
              <w:divsChild>
                <w:div w:id="509177849">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835465006">
      <w:bodyDiv w:val="1"/>
      <w:marLeft w:val="0"/>
      <w:marRight w:val="0"/>
      <w:marTop w:val="0"/>
      <w:marBottom w:val="0"/>
      <w:divBdr>
        <w:top w:val="none" w:sz="0" w:space="0" w:color="auto"/>
        <w:left w:val="none" w:sz="0" w:space="0" w:color="auto"/>
        <w:bottom w:val="none" w:sz="0" w:space="0" w:color="auto"/>
        <w:right w:val="none" w:sz="0" w:space="0" w:color="auto"/>
      </w:divBdr>
      <w:divsChild>
        <w:div w:id="42097181">
          <w:marLeft w:val="0"/>
          <w:marRight w:val="0"/>
          <w:marTop w:val="0"/>
          <w:marBottom w:val="0"/>
          <w:divBdr>
            <w:top w:val="none" w:sz="0" w:space="0" w:color="auto"/>
            <w:left w:val="none" w:sz="0" w:space="0" w:color="auto"/>
            <w:bottom w:val="none" w:sz="0" w:space="0" w:color="auto"/>
            <w:right w:val="none" w:sz="0" w:space="0" w:color="auto"/>
          </w:divBdr>
          <w:divsChild>
            <w:div w:id="637035387">
              <w:marLeft w:val="0"/>
              <w:marRight w:val="0"/>
              <w:marTop w:val="0"/>
              <w:marBottom w:val="0"/>
              <w:divBdr>
                <w:top w:val="none" w:sz="0" w:space="0" w:color="auto"/>
                <w:left w:val="none" w:sz="0" w:space="0" w:color="auto"/>
                <w:bottom w:val="none" w:sz="0" w:space="0" w:color="auto"/>
                <w:right w:val="none" w:sz="0" w:space="0" w:color="auto"/>
              </w:divBdr>
              <w:divsChild>
                <w:div w:id="2036729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215264">
      <w:bodyDiv w:val="1"/>
      <w:marLeft w:val="0"/>
      <w:marRight w:val="0"/>
      <w:marTop w:val="0"/>
      <w:marBottom w:val="0"/>
      <w:divBdr>
        <w:top w:val="none" w:sz="0" w:space="0" w:color="auto"/>
        <w:left w:val="none" w:sz="0" w:space="0" w:color="auto"/>
        <w:bottom w:val="none" w:sz="0" w:space="0" w:color="auto"/>
        <w:right w:val="none" w:sz="0" w:space="0" w:color="auto"/>
      </w:divBdr>
      <w:divsChild>
        <w:div w:id="475487520">
          <w:marLeft w:val="0"/>
          <w:marRight w:val="0"/>
          <w:marTop w:val="0"/>
          <w:marBottom w:val="0"/>
          <w:divBdr>
            <w:top w:val="none" w:sz="0" w:space="0" w:color="auto"/>
            <w:left w:val="none" w:sz="0" w:space="0" w:color="auto"/>
            <w:bottom w:val="none" w:sz="0" w:space="0" w:color="auto"/>
            <w:right w:val="none" w:sz="0" w:space="0" w:color="auto"/>
          </w:divBdr>
          <w:divsChild>
            <w:div w:id="109935692">
              <w:marLeft w:val="0"/>
              <w:marRight w:val="0"/>
              <w:marTop w:val="0"/>
              <w:marBottom w:val="0"/>
              <w:divBdr>
                <w:top w:val="none" w:sz="0" w:space="0" w:color="auto"/>
                <w:left w:val="none" w:sz="0" w:space="0" w:color="auto"/>
                <w:bottom w:val="none" w:sz="0" w:space="0" w:color="auto"/>
                <w:right w:val="none" w:sz="0" w:space="0" w:color="auto"/>
              </w:divBdr>
              <w:divsChild>
                <w:div w:id="1111365851">
                  <w:marLeft w:val="0"/>
                  <w:marRight w:val="0"/>
                  <w:marTop w:val="0"/>
                  <w:marBottom w:val="0"/>
                  <w:divBdr>
                    <w:top w:val="none" w:sz="0" w:space="0" w:color="auto"/>
                    <w:left w:val="none" w:sz="0" w:space="0" w:color="auto"/>
                    <w:bottom w:val="none" w:sz="0" w:space="0" w:color="auto"/>
                    <w:right w:val="none" w:sz="0" w:space="0" w:color="auto"/>
                  </w:divBdr>
                  <w:divsChild>
                    <w:div w:id="192410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7353790">
      <w:bodyDiv w:val="1"/>
      <w:marLeft w:val="0"/>
      <w:marRight w:val="0"/>
      <w:marTop w:val="0"/>
      <w:marBottom w:val="0"/>
      <w:divBdr>
        <w:top w:val="none" w:sz="0" w:space="0" w:color="auto"/>
        <w:left w:val="none" w:sz="0" w:space="0" w:color="auto"/>
        <w:bottom w:val="none" w:sz="0" w:space="0" w:color="auto"/>
        <w:right w:val="none" w:sz="0" w:space="0" w:color="auto"/>
      </w:divBdr>
      <w:divsChild>
        <w:div w:id="691804396">
          <w:marLeft w:val="0"/>
          <w:marRight w:val="0"/>
          <w:marTop w:val="0"/>
          <w:marBottom w:val="0"/>
          <w:divBdr>
            <w:top w:val="none" w:sz="0" w:space="0" w:color="auto"/>
            <w:left w:val="none" w:sz="0" w:space="0" w:color="auto"/>
            <w:bottom w:val="none" w:sz="0" w:space="0" w:color="auto"/>
            <w:right w:val="none" w:sz="0" w:space="0" w:color="auto"/>
          </w:divBdr>
          <w:divsChild>
            <w:div w:id="98187312">
              <w:marLeft w:val="0"/>
              <w:marRight w:val="0"/>
              <w:marTop w:val="0"/>
              <w:marBottom w:val="0"/>
              <w:divBdr>
                <w:top w:val="none" w:sz="0" w:space="0" w:color="auto"/>
                <w:left w:val="none" w:sz="0" w:space="0" w:color="auto"/>
                <w:bottom w:val="none" w:sz="0" w:space="0" w:color="auto"/>
                <w:right w:val="none" w:sz="0" w:space="0" w:color="auto"/>
              </w:divBdr>
              <w:divsChild>
                <w:div w:id="200188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7548232">
      <w:bodyDiv w:val="1"/>
      <w:marLeft w:val="0"/>
      <w:marRight w:val="0"/>
      <w:marTop w:val="0"/>
      <w:marBottom w:val="0"/>
      <w:divBdr>
        <w:top w:val="none" w:sz="0" w:space="0" w:color="auto"/>
        <w:left w:val="none" w:sz="0" w:space="0" w:color="auto"/>
        <w:bottom w:val="none" w:sz="0" w:space="0" w:color="auto"/>
        <w:right w:val="none" w:sz="0" w:space="0" w:color="auto"/>
      </w:divBdr>
      <w:divsChild>
        <w:div w:id="1576822275">
          <w:marLeft w:val="0"/>
          <w:marRight w:val="0"/>
          <w:marTop w:val="0"/>
          <w:marBottom w:val="0"/>
          <w:divBdr>
            <w:top w:val="none" w:sz="0" w:space="0" w:color="auto"/>
            <w:left w:val="none" w:sz="0" w:space="0" w:color="auto"/>
            <w:bottom w:val="none" w:sz="0" w:space="0" w:color="auto"/>
            <w:right w:val="none" w:sz="0" w:space="0" w:color="auto"/>
          </w:divBdr>
          <w:divsChild>
            <w:div w:id="108359009">
              <w:marLeft w:val="0"/>
              <w:marRight w:val="0"/>
              <w:marTop w:val="0"/>
              <w:marBottom w:val="0"/>
              <w:divBdr>
                <w:top w:val="none" w:sz="0" w:space="0" w:color="auto"/>
                <w:left w:val="none" w:sz="0" w:space="0" w:color="auto"/>
                <w:bottom w:val="none" w:sz="0" w:space="0" w:color="auto"/>
                <w:right w:val="none" w:sz="0" w:space="0" w:color="auto"/>
              </w:divBdr>
              <w:divsChild>
                <w:div w:id="81437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468809">
      <w:bodyDiv w:val="1"/>
      <w:marLeft w:val="0"/>
      <w:marRight w:val="0"/>
      <w:marTop w:val="0"/>
      <w:marBottom w:val="0"/>
      <w:divBdr>
        <w:top w:val="none" w:sz="0" w:space="0" w:color="auto"/>
        <w:left w:val="none" w:sz="0" w:space="0" w:color="auto"/>
        <w:bottom w:val="none" w:sz="0" w:space="0" w:color="auto"/>
        <w:right w:val="none" w:sz="0" w:space="0" w:color="auto"/>
      </w:divBdr>
    </w:div>
    <w:div w:id="877546804">
      <w:bodyDiv w:val="1"/>
      <w:marLeft w:val="0"/>
      <w:marRight w:val="0"/>
      <w:marTop w:val="0"/>
      <w:marBottom w:val="0"/>
      <w:divBdr>
        <w:top w:val="none" w:sz="0" w:space="0" w:color="auto"/>
        <w:left w:val="none" w:sz="0" w:space="0" w:color="auto"/>
        <w:bottom w:val="none" w:sz="0" w:space="0" w:color="auto"/>
        <w:right w:val="none" w:sz="0" w:space="0" w:color="auto"/>
      </w:divBdr>
    </w:div>
    <w:div w:id="887646406">
      <w:bodyDiv w:val="1"/>
      <w:marLeft w:val="0"/>
      <w:marRight w:val="0"/>
      <w:marTop w:val="0"/>
      <w:marBottom w:val="0"/>
      <w:divBdr>
        <w:top w:val="none" w:sz="0" w:space="0" w:color="auto"/>
        <w:left w:val="none" w:sz="0" w:space="0" w:color="auto"/>
        <w:bottom w:val="none" w:sz="0" w:space="0" w:color="auto"/>
        <w:right w:val="none" w:sz="0" w:space="0" w:color="auto"/>
      </w:divBdr>
    </w:div>
    <w:div w:id="893737731">
      <w:bodyDiv w:val="1"/>
      <w:marLeft w:val="0"/>
      <w:marRight w:val="0"/>
      <w:marTop w:val="0"/>
      <w:marBottom w:val="0"/>
      <w:divBdr>
        <w:top w:val="none" w:sz="0" w:space="0" w:color="auto"/>
        <w:left w:val="none" w:sz="0" w:space="0" w:color="auto"/>
        <w:bottom w:val="none" w:sz="0" w:space="0" w:color="auto"/>
        <w:right w:val="none" w:sz="0" w:space="0" w:color="auto"/>
      </w:divBdr>
      <w:divsChild>
        <w:div w:id="1180774308">
          <w:marLeft w:val="0"/>
          <w:marRight w:val="0"/>
          <w:marTop w:val="0"/>
          <w:marBottom w:val="0"/>
          <w:divBdr>
            <w:top w:val="none" w:sz="0" w:space="0" w:color="auto"/>
            <w:left w:val="none" w:sz="0" w:space="0" w:color="auto"/>
            <w:bottom w:val="none" w:sz="0" w:space="0" w:color="auto"/>
            <w:right w:val="none" w:sz="0" w:space="0" w:color="auto"/>
          </w:divBdr>
          <w:divsChild>
            <w:div w:id="1362123960">
              <w:marLeft w:val="0"/>
              <w:marRight w:val="0"/>
              <w:marTop w:val="0"/>
              <w:marBottom w:val="0"/>
              <w:divBdr>
                <w:top w:val="none" w:sz="0" w:space="0" w:color="auto"/>
                <w:left w:val="none" w:sz="0" w:space="0" w:color="auto"/>
                <w:bottom w:val="none" w:sz="0" w:space="0" w:color="auto"/>
                <w:right w:val="none" w:sz="0" w:space="0" w:color="auto"/>
              </w:divBdr>
              <w:divsChild>
                <w:div w:id="36854302">
                  <w:marLeft w:val="0"/>
                  <w:marRight w:val="0"/>
                  <w:marTop w:val="0"/>
                  <w:marBottom w:val="0"/>
                  <w:divBdr>
                    <w:top w:val="none" w:sz="0" w:space="0" w:color="auto"/>
                    <w:left w:val="none" w:sz="0" w:space="0" w:color="auto"/>
                    <w:bottom w:val="none" w:sz="0" w:space="0" w:color="auto"/>
                    <w:right w:val="none" w:sz="0" w:space="0" w:color="auto"/>
                  </w:divBdr>
                </w:div>
              </w:divsChild>
            </w:div>
            <w:div w:id="942692103">
              <w:marLeft w:val="0"/>
              <w:marRight w:val="0"/>
              <w:marTop w:val="0"/>
              <w:marBottom w:val="0"/>
              <w:divBdr>
                <w:top w:val="none" w:sz="0" w:space="0" w:color="auto"/>
                <w:left w:val="none" w:sz="0" w:space="0" w:color="auto"/>
                <w:bottom w:val="none" w:sz="0" w:space="0" w:color="auto"/>
                <w:right w:val="none" w:sz="0" w:space="0" w:color="auto"/>
              </w:divBdr>
              <w:divsChild>
                <w:div w:id="471751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547754">
      <w:bodyDiv w:val="1"/>
      <w:marLeft w:val="0"/>
      <w:marRight w:val="0"/>
      <w:marTop w:val="0"/>
      <w:marBottom w:val="0"/>
      <w:divBdr>
        <w:top w:val="none" w:sz="0" w:space="0" w:color="auto"/>
        <w:left w:val="none" w:sz="0" w:space="0" w:color="auto"/>
        <w:bottom w:val="none" w:sz="0" w:space="0" w:color="auto"/>
        <w:right w:val="none" w:sz="0" w:space="0" w:color="auto"/>
      </w:divBdr>
    </w:div>
    <w:div w:id="935555592">
      <w:bodyDiv w:val="1"/>
      <w:marLeft w:val="0"/>
      <w:marRight w:val="0"/>
      <w:marTop w:val="0"/>
      <w:marBottom w:val="0"/>
      <w:divBdr>
        <w:top w:val="none" w:sz="0" w:space="0" w:color="auto"/>
        <w:left w:val="none" w:sz="0" w:space="0" w:color="auto"/>
        <w:bottom w:val="none" w:sz="0" w:space="0" w:color="auto"/>
        <w:right w:val="none" w:sz="0" w:space="0" w:color="auto"/>
      </w:divBdr>
    </w:div>
    <w:div w:id="951277897">
      <w:bodyDiv w:val="1"/>
      <w:marLeft w:val="0"/>
      <w:marRight w:val="0"/>
      <w:marTop w:val="0"/>
      <w:marBottom w:val="0"/>
      <w:divBdr>
        <w:top w:val="none" w:sz="0" w:space="0" w:color="auto"/>
        <w:left w:val="none" w:sz="0" w:space="0" w:color="auto"/>
        <w:bottom w:val="none" w:sz="0" w:space="0" w:color="auto"/>
        <w:right w:val="none" w:sz="0" w:space="0" w:color="auto"/>
      </w:divBdr>
    </w:div>
    <w:div w:id="951399261">
      <w:bodyDiv w:val="1"/>
      <w:marLeft w:val="0"/>
      <w:marRight w:val="0"/>
      <w:marTop w:val="0"/>
      <w:marBottom w:val="0"/>
      <w:divBdr>
        <w:top w:val="none" w:sz="0" w:space="0" w:color="auto"/>
        <w:left w:val="none" w:sz="0" w:space="0" w:color="auto"/>
        <w:bottom w:val="none" w:sz="0" w:space="0" w:color="auto"/>
        <w:right w:val="none" w:sz="0" w:space="0" w:color="auto"/>
      </w:divBdr>
      <w:divsChild>
        <w:div w:id="2069912931">
          <w:marLeft w:val="0"/>
          <w:marRight w:val="0"/>
          <w:marTop w:val="0"/>
          <w:marBottom w:val="0"/>
          <w:divBdr>
            <w:top w:val="none" w:sz="0" w:space="0" w:color="auto"/>
            <w:left w:val="none" w:sz="0" w:space="0" w:color="auto"/>
            <w:bottom w:val="none" w:sz="0" w:space="0" w:color="auto"/>
            <w:right w:val="none" w:sz="0" w:space="0" w:color="auto"/>
          </w:divBdr>
          <w:divsChild>
            <w:div w:id="1641497061">
              <w:marLeft w:val="0"/>
              <w:marRight w:val="0"/>
              <w:marTop w:val="0"/>
              <w:marBottom w:val="0"/>
              <w:divBdr>
                <w:top w:val="none" w:sz="0" w:space="0" w:color="auto"/>
                <w:left w:val="none" w:sz="0" w:space="0" w:color="auto"/>
                <w:bottom w:val="none" w:sz="0" w:space="0" w:color="auto"/>
                <w:right w:val="none" w:sz="0" w:space="0" w:color="auto"/>
              </w:divBdr>
              <w:divsChild>
                <w:div w:id="42488497">
                  <w:marLeft w:val="0"/>
                  <w:marRight w:val="0"/>
                  <w:marTop w:val="0"/>
                  <w:marBottom w:val="0"/>
                  <w:divBdr>
                    <w:top w:val="none" w:sz="0" w:space="0" w:color="auto"/>
                    <w:left w:val="none" w:sz="0" w:space="0" w:color="auto"/>
                    <w:bottom w:val="none" w:sz="0" w:space="0" w:color="auto"/>
                    <w:right w:val="none" w:sz="0" w:space="0" w:color="auto"/>
                  </w:divBdr>
                  <w:divsChild>
                    <w:div w:id="728771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1545057">
      <w:bodyDiv w:val="1"/>
      <w:marLeft w:val="0"/>
      <w:marRight w:val="0"/>
      <w:marTop w:val="0"/>
      <w:marBottom w:val="0"/>
      <w:divBdr>
        <w:top w:val="none" w:sz="0" w:space="0" w:color="auto"/>
        <w:left w:val="none" w:sz="0" w:space="0" w:color="auto"/>
        <w:bottom w:val="none" w:sz="0" w:space="0" w:color="auto"/>
        <w:right w:val="none" w:sz="0" w:space="0" w:color="auto"/>
      </w:divBdr>
      <w:divsChild>
        <w:div w:id="571235126">
          <w:marLeft w:val="0"/>
          <w:marRight w:val="0"/>
          <w:marTop w:val="0"/>
          <w:marBottom w:val="0"/>
          <w:divBdr>
            <w:top w:val="none" w:sz="0" w:space="0" w:color="auto"/>
            <w:left w:val="none" w:sz="0" w:space="0" w:color="auto"/>
            <w:bottom w:val="none" w:sz="0" w:space="0" w:color="auto"/>
            <w:right w:val="none" w:sz="0" w:space="0" w:color="auto"/>
          </w:divBdr>
          <w:divsChild>
            <w:div w:id="1801461476">
              <w:marLeft w:val="0"/>
              <w:marRight w:val="0"/>
              <w:marTop w:val="0"/>
              <w:marBottom w:val="0"/>
              <w:divBdr>
                <w:top w:val="none" w:sz="0" w:space="0" w:color="auto"/>
                <w:left w:val="none" w:sz="0" w:space="0" w:color="auto"/>
                <w:bottom w:val="none" w:sz="0" w:space="0" w:color="auto"/>
                <w:right w:val="none" w:sz="0" w:space="0" w:color="auto"/>
              </w:divBdr>
              <w:divsChild>
                <w:div w:id="1320767653">
                  <w:marLeft w:val="0"/>
                  <w:marRight w:val="0"/>
                  <w:marTop w:val="0"/>
                  <w:marBottom w:val="0"/>
                  <w:divBdr>
                    <w:top w:val="none" w:sz="0" w:space="0" w:color="auto"/>
                    <w:left w:val="none" w:sz="0" w:space="0" w:color="auto"/>
                    <w:bottom w:val="none" w:sz="0" w:space="0" w:color="auto"/>
                    <w:right w:val="none" w:sz="0" w:space="0" w:color="auto"/>
                  </w:divBdr>
                  <w:divsChild>
                    <w:div w:id="92773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2079669">
      <w:bodyDiv w:val="1"/>
      <w:marLeft w:val="0"/>
      <w:marRight w:val="0"/>
      <w:marTop w:val="0"/>
      <w:marBottom w:val="0"/>
      <w:divBdr>
        <w:top w:val="none" w:sz="0" w:space="0" w:color="auto"/>
        <w:left w:val="none" w:sz="0" w:space="0" w:color="auto"/>
        <w:bottom w:val="none" w:sz="0" w:space="0" w:color="auto"/>
        <w:right w:val="none" w:sz="0" w:space="0" w:color="auto"/>
      </w:divBdr>
    </w:div>
    <w:div w:id="981082155">
      <w:bodyDiv w:val="1"/>
      <w:marLeft w:val="0"/>
      <w:marRight w:val="0"/>
      <w:marTop w:val="0"/>
      <w:marBottom w:val="0"/>
      <w:divBdr>
        <w:top w:val="none" w:sz="0" w:space="0" w:color="auto"/>
        <w:left w:val="none" w:sz="0" w:space="0" w:color="auto"/>
        <w:bottom w:val="none" w:sz="0" w:space="0" w:color="auto"/>
        <w:right w:val="none" w:sz="0" w:space="0" w:color="auto"/>
      </w:divBdr>
      <w:divsChild>
        <w:div w:id="1138492257">
          <w:marLeft w:val="0"/>
          <w:marRight w:val="0"/>
          <w:marTop w:val="0"/>
          <w:marBottom w:val="0"/>
          <w:divBdr>
            <w:top w:val="none" w:sz="0" w:space="0" w:color="auto"/>
            <w:left w:val="none" w:sz="0" w:space="0" w:color="auto"/>
            <w:bottom w:val="none" w:sz="0" w:space="0" w:color="auto"/>
            <w:right w:val="none" w:sz="0" w:space="0" w:color="auto"/>
          </w:divBdr>
          <w:divsChild>
            <w:div w:id="647168816">
              <w:marLeft w:val="0"/>
              <w:marRight w:val="0"/>
              <w:marTop w:val="0"/>
              <w:marBottom w:val="0"/>
              <w:divBdr>
                <w:top w:val="none" w:sz="0" w:space="0" w:color="auto"/>
                <w:left w:val="none" w:sz="0" w:space="0" w:color="auto"/>
                <w:bottom w:val="none" w:sz="0" w:space="0" w:color="auto"/>
                <w:right w:val="none" w:sz="0" w:space="0" w:color="auto"/>
              </w:divBdr>
              <w:divsChild>
                <w:div w:id="1704284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6396302">
      <w:bodyDiv w:val="1"/>
      <w:marLeft w:val="0"/>
      <w:marRight w:val="0"/>
      <w:marTop w:val="0"/>
      <w:marBottom w:val="0"/>
      <w:divBdr>
        <w:top w:val="none" w:sz="0" w:space="0" w:color="auto"/>
        <w:left w:val="none" w:sz="0" w:space="0" w:color="auto"/>
        <w:bottom w:val="none" w:sz="0" w:space="0" w:color="auto"/>
        <w:right w:val="none" w:sz="0" w:space="0" w:color="auto"/>
      </w:divBdr>
      <w:divsChild>
        <w:div w:id="330833483">
          <w:marLeft w:val="0"/>
          <w:marRight w:val="0"/>
          <w:marTop w:val="0"/>
          <w:marBottom w:val="0"/>
          <w:divBdr>
            <w:top w:val="none" w:sz="0" w:space="0" w:color="auto"/>
            <w:left w:val="none" w:sz="0" w:space="0" w:color="auto"/>
            <w:bottom w:val="none" w:sz="0" w:space="0" w:color="auto"/>
            <w:right w:val="none" w:sz="0" w:space="0" w:color="auto"/>
          </w:divBdr>
          <w:divsChild>
            <w:div w:id="139033756">
              <w:marLeft w:val="0"/>
              <w:marRight w:val="0"/>
              <w:marTop w:val="0"/>
              <w:marBottom w:val="0"/>
              <w:divBdr>
                <w:top w:val="none" w:sz="0" w:space="0" w:color="auto"/>
                <w:left w:val="none" w:sz="0" w:space="0" w:color="auto"/>
                <w:bottom w:val="none" w:sz="0" w:space="0" w:color="auto"/>
                <w:right w:val="none" w:sz="0" w:space="0" w:color="auto"/>
              </w:divBdr>
              <w:divsChild>
                <w:div w:id="1961253791">
                  <w:marLeft w:val="0"/>
                  <w:marRight w:val="0"/>
                  <w:marTop w:val="0"/>
                  <w:marBottom w:val="0"/>
                  <w:divBdr>
                    <w:top w:val="none" w:sz="0" w:space="0" w:color="auto"/>
                    <w:left w:val="none" w:sz="0" w:space="0" w:color="auto"/>
                    <w:bottom w:val="none" w:sz="0" w:space="0" w:color="auto"/>
                    <w:right w:val="none" w:sz="0" w:space="0" w:color="auto"/>
                  </w:divBdr>
                  <w:divsChild>
                    <w:div w:id="1839612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4334554">
      <w:bodyDiv w:val="1"/>
      <w:marLeft w:val="0"/>
      <w:marRight w:val="0"/>
      <w:marTop w:val="0"/>
      <w:marBottom w:val="0"/>
      <w:divBdr>
        <w:top w:val="none" w:sz="0" w:space="0" w:color="auto"/>
        <w:left w:val="none" w:sz="0" w:space="0" w:color="auto"/>
        <w:bottom w:val="none" w:sz="0" w:space="0" w:color="auto"/>
        <w:right w:val="none" w:sz="0" w:space="0" w:color="auto"/>
      </w:divBdr>
      <w:divsChild>
        <w:div w:id="1983269051">
          <w:marLeft w:val="0"/>
          <w:marRight w:val="0"/>
          <w:marTop w:val="0"/>
          <w:marBottom w:val="0"/>
          <w:divBdr>
            <w:top w:val="none" w:sz="0" w:space="0" w:color="auto"/>
            <w:left w:val="none" w:sz="0" w:space="0" w:color="auto"/>
            <w:bottom w:val="none" w:sz="0" w:space="0" w:color="auto"/>
            <w:right w:val="none" w:sz="0" w:space="0" w:color="auto"/>
          </w:divBdr>
          <w:divsChild>
            <w:div w:id="759251238">
              <w:marLeft w:val="0"/>
              <w:marRight w:val="0"/>
              <w:marTop w:val="0"/>
              <w:marBottom w:val="0"/>
              <w:divBdr>
                <w:top w:val="none" w:sz="0" w:space="0" w:color="auto"/>
                <w:left w:val="none" w:sz="0" w:space="0" w:color="auto"/>
                <w:bottom w:val="none" w:sz="0" w:space="0" w:color="auto"/>
                <w:right w:val="none" w:sz="0" w:space="0" w:color="auto"/>
              </w:divBdr>
              <w:divsChild>
                <w:div w:id="1177815976">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996692565">
      <w:bodyDiv w:val="1"/>
      <w:marLeft w:val="0"/>
      <w:marRight w:val="0"/>
      <w:marTop w:val="0"/>
      <w:marBottom w:val="0"/>
      <w:divBdr>
        <w:top w:val="none" w:sz="0" w:space="0" w:color="auto"/>
        <w:left w:val="none" w:sz="0" w:space="0" w:color="auto"/>
        <w:bottom w:val="none" w:sz="0" w:space="0" w:color="auto"/>
        <w:right w:val="none" w:sz="0" w:space="0" w:color="auto"/>
      </w:divBdr>
      <w:divsChild>
        <w:div w:id="1943951151">
          <w:marLeft w:val="0"/>
          <w:marRight w:val="0"/>
          <w:marTop w:val="0"/>
          <w:marBottom w:val="0"/>
          <w:divBdr>
            <w:top w:val="none" w:sz="0" w:space="0" w:color="auto"/>
            <w:left w:val="none" w:sz="0" w:space="0" w:color="auto"/>
            <w:bottom w:val="none" w:sz="0" w:space="0" w:color="auto"/>
            <w:right w:val="none" w:sz="0" w:space="0" w:color="auto"/>
          </w:divBdr>
          <w:divsChild>
            <w:div w:id="1606840661">
              <w:marLeft w:val="0"/>
              <w:marRight w:val="0"/>
              <w:marTop w:val="0"/>
              <w:marBottom w:val="0"/>
              <w:divBdr>
                <w:top w:val="none" w:sz="0" w:space="0" w:color="auto"/>
                <w:left w:val="none" w:sz="0" w:space="0" w:color="auto"/>
                <w:bottom w:val="none" w:sz="0" w:space="0" w:color="auto"/>
                <w:right w:val="none" w:sz="0" w:space="0" w:color="auto"/>
              </w:divBdr>
              <w:divsChild>
                <w:div w:id="504396023">
                  <w:marLeft w:val="0"/>
                  <w:marRight w:val="0"/>
                  <w:marTop w:val="0"/>
                  <w:marBottom w:val="0"/>
                  <w:divBdr>
                    <w:top w:val="none" w:sz="0" w:space="0" w:color="auto"/>
                    <w:left w:val="none" w:sz="0" w:space="0" w:color="auto"/>
                    <w:bottom w:val="none" w:sz="0" w:space="0" w:color="auto"/>
                    <w:right w:val="none" w:sz="0" w:space="0" w:color="auto"/>
                  </w:divBdr>
                  <w:divsChild>
                    <w:div w:id="1519849137">
                      <w:marLeft w:val="0"/>
                      <w:marRight w:val="0"/>
                      <w:marTop w:val="0"/>
                      <w:marBottom w:val="0"/>
                      <w:divBdr>
                        <w:top w:val="none" w:sz="0" w:space="0" w:color="auto"/>
                        <w:left w:val="none" w:sz="0" w:space="0" w:color="auto"/>
                        <w:bottom w:val="none" w:sz="0" w:space="0" w:color="auto"/>
                        <w:right w:val="none" w:sz="0" w:space="0" w:color="auto"/>
                      </w:divBdr>
                    </w:div>
                  </w:divsChild>
                </w:div>
                <w:div w:id="1750033751">
                  <w:marLeft w:val="0"/>
                  <w:marRight w:val="0"/>
                  <w:marTop w:val="0"/>
                  <w:marBottom w:val="0"/>
                  <w:divBdr>
                    <w:top w:val="none" w:sz="0" w:space="0" w:color="auto"/>
                    <w:left w:val="none" w:sz="0" w:space="0" w:color="auto"/>
                    <w:bottom w:val="none" w:sz="0" w:space="0" w:color="auto"/>
                    <w:right w:val="none" w:sz="0" w:space="0" w:color="auto"/>
                  </w:divBdr>
                  <w:divsChild>
                    <w:div w:id="1251816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7925965">
      <w:bodyDiv w:val="1"/>
      <w:marLeft w:val="0"/>
      <w:marRight w:val="0"/>
      <w:marTop w:val="0"/>
      <w:marBottom w:val="0"/>
      <w:divBdr>
        <w:top w:val="none" w:sz="0" w:space="0" w:color="auto"/>
        <w:left w:val="none" w:sz="0" w:space="0" w:color="auto"/>
        <w:bottom w:val="none" w:sz="0" w:space="0" w:color="auto"/>
        <w:right w:val="none" w:sz="0" w:space="0" w:color="auto"/>
      </w:divBdr>
      <w:divsChild>
        <w:div w:id="202058887">
          <w:marLeft w:val="0"/>
          <w:marRight w:val="0"/>
          <w:marTop w:val="0"/>
          <w:marBottom w:val="0"/>
          <w:divBdr>
            <w:top w:val="none" w:sz="0" w:space="0" w:color="auto"/>
            <w:left w:val="none" w:sz="0" w:space="0" w:color="auto"/>
            <w:bottom w:val="none" w:sz="0" w:space="0" w:color="auto"/>
            <w:right w:val="none" w:sz="0" w:space="0" w:color="auto"/>
          </w:divBdr>
          <w:divsChild>
            <w:div w:id="1958874620">
              <w:marLeft w:val="0"/>
              <w:marRight w:val="0"/>
              <w:marTop w:val="0"/>
              <w:marBottom w:val="0"/>
              <w:divBdr>
                <w:top w:val="none" w:sz="0" w:space="0" w:color="auto"/>
                <w:left w:val="none" w:sz="0" w:space="0" w:color="auto"/>
                <w:bottom w:val="none" w:sz="0" w:space="0" w:color="auto"/>
                <w:right w:val="none" w:sz="0" w:space="0" w:color="auto"/>
              </w:divBdr>
              <w:divsChild>
                <w:div w:id="912393226">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998271813">
      <w:bodyDiv w:val="1"/>
      <w:marLeft w:val="0"/>
      <w:marRight w:val="0"/>
      <w:marTop w:val="0"/>
      <w:marBottom w:val="0"/>
      <w:divBdr>
        <w:top w:val="none" w:sz="0" w:space="0" w:color="auto"/>
        <w:left w:val="none" w:sz="0" w:space="0" w:color="auto"/>
        <w:bottom w:val="none" w:sz="0" w:space="0" w:color="auto"/>
        <w:right w:val="none" w:sz="0" w:space="0" w:color="auto"/>
      </w:divBdr>
    </w:div>
    <w:div w:id="1013338682">
      <w:bodyDiv w:val="1"/>
      <w:marLeft w:val="0"/>
      <w:marRight w:val="0"/>
      <w:marTop w:val="0"/>
      <w:marBottom w:val="0"/>
      <w:divBdr>
        <w:top w:val="none" w:sz="0" w:space="0" w:color="auto"/>
        <w:left w:val="none" w:sz="0" w:space="0" w:color="auto"/>
        <w:bottom w:val="none" w:sz="0" w:space="0" w:color="auto"/>
        <w:right w:val="none" w:sz="0" w:space="0" w:color="auto"/>
      </w:divBdr>
    </w:div>
    <w:div w:id="1015957387">
      <w:bodyDiv w:val="1"/>
      <w:marLeft w:val="0"/>
      <w:marRight w:val="0"/>
      <w:marTop w:val="0"/>
      <w:marBottom w:val="0"/>
      <w:divBdr>
        <w:top w:val="none" w:sz="0" w:space="0" w:color="auto"/>
        <w:left w:val="none" w:sz="0" w:space="0" w:color="auto"/>
        <w:bottom w:val="none" w:sz="0" w:space="0" w:color="auto"/>
        <w:right w:val="none" w:sz="0" w:space="0" w:color="auto"/>
      </w:divBdr>
      <w:divsChild>
        <w:div w:id="1902791460">
          <w:marLeft w:val="0"/>
          <w:marRight w:val="0"/>
          <w:marTop w:val="0"/>
          <w:marBottom w:val="0"/>
          <w:divBdr>
            <w:top w:val="none" w:sz="0" w:space="0" w:color="auto"/>
            <w:left w:val="none" w:sz="0" w:space="0" w:color="auto"/>
            <w:bottom w:val="none" w:sz="0" w:space="0" w:color="auto"/>
            <w:right w:val="none" w:sz="0" w:space="0" w:color="auto"/>
          </w:divBdr>
          <w:divsChild>
            <w:div w:id="4326143">
              <w:marLeft w:val="0"/>
              <w:marRight w:val="0"/>
              <w:marTop w:val="0"/>
              <w:marBottom w:val="0"/>
              <w:divBdr>
                <w:top w:val="none" w:sz="0" w:space="0" w:color="auto"/>
                <w:left w:val="none" w:sz="0" w:space="0" w:color="auto"/>
                <w:bottom w:val="none" w:sz="0" w:space="0" w:color="auto"/>
                <w:right w:val="none" w:sz="0" w:space="0" w:color="auto"/>
              </w:divBdr>
              <w:divsChild>
                <w:div w:id="708728431">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020547203">
      <w:bodyDiv w:val="1"/>
      <w:marLeft w:val="0"/>
      <w:marRight w:val="0"/>
      <w:marTop w:val="0"/>
      <w:marBottom w:val="0"/>
      <w:divBdr>
        <w:top w:val="none" w:sz="0" w:space="0" w:color="auto"/>
        <w:left w:val="none" w:sz="0" w:space="0" w:color="auto"/>
        <w:bottom w:val="none" w:sz="0" w:space="0" w:color="auto"/>
        <w:right w:val="none" w:sz="0" w:space="0" w:color="auto"/>
      </w:divBdr>
      <w:divsChild>
        <w:div w:id="1915898760">
          <w:marLeft w:val="0"/>
          <w:marRight w:val="0"/>
          <w:marTop w:val="0"/>
          <w:marBottom w:val="0"/>
          <w:divBdr>
            <w:top w:val="none" w:sz="0" w:space="0" w:color="auto"/>
            <w:left w:val="none" w:sz="0" w:space="0" w:color="auto"/>
            <w:bottom w:val="none" w:sz="0" w:space="0" w:color="auto"/>
            <w:right w:val="none" w:sz="0" w:space="0" w:color="auto"/>
          </w:divBdr>
          <w:divsChild>
            <w:div w:id="567886198">
              <w:marLeft w:val="0"/>
              <w:marRight w:val="0"/>
              <w:marTop w:val="0"/>
              <w:marBottom w:val="0"/>
              <w:divBdr>
                <w:top w:val="none" w:sz="0" w:space="0" w:color="auto"/>
                <w:left w:val="none" w:sz="0" w:space="0" w:color="auto"/>
                <w:bottom w:val="none" w:sz="0" w:space="0" w:color="auto"/>
                <w:right w:val="none" w:sz="0" w:space="0" w:color="auto"/>
              </w:divBdr>
              <w:divsChild>
                <w:div w:id="1131439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640439">
      <w:bodyDiv w:val="1"/>
      <w:marLeft w:val="0"/>
      <w:marRight w:val="0"/>
      <w:marTop w:val="0"/>
      <w:marBottom w:val="0"/>
      <w:divBdr>
        <w:top w:val="none" w:sz="0" w:space="0" w:color="auto"/>
        <w:left w:val="none" w:sz="0" w:space="0" w:color="auto"/>
        <w:bottom w:val="none" w:sz="0" w:space="0" w:color="auto"/>
        <w:right w:val="none" w:sz="0" w:space="0" w:color="auto"/>
      </w:divBdr>
      <w:divsChild>
        <w:div w:id="76294509">
          <w:marLeft w:val="0"/>
          <w:marRight w:val="0"/>
          <w:marTop w:val="0"/>
          <w:marBottom w:val="0"/>
          <w:divBdr>
            <w:top w:val="none" w:sz="0" w:space="0" w:color="auto"/>
            <w:left w:val="none" w:sz="0" w:space="0" w:color="auto"/>
            <w:bottom w:val="none" w:sz="0" w:space="0" w:color="auto"/>
            <w:right w:val="none" w:sz="0" w:space="0" w:color="auto"/>
          </w:divBdr>
          <w:divsChild>
            <w:div w:id="186605468">
              <w:marLeft w:val="0"/>
              <w:marRight w:val="0"/>
              <w:marTop w:val="0"/>
              <w:marBottom w:val="0"/>
              <w:divBdr>
                <w:top w:val="none" w:sz="0" w:space="0" w:color="auto"/>
                <w:left w:val="none" w:sz="0" w:space="0" w:color="auto"/>
                <w:bottom w:val="none" w:sz="0" w:space="0" w:color="auto"/>
                <w:right w:val="none" w:sz="0" w:space="0" w:color="auto"/>
              </w:divBdr>
              <w:divsChild>
                <w:div w:id="1425615889">
                  <w:marLeft w:val="0"/>
                  <w:marRight w:val="0"/>
                  <w:marTop w:val="0"/>
                  <w:marBottom w:val="0"/>
                  <w:divBdr>
                    <w:top w:val="none" w:sz="0" w:space="0" w:color="auto"/>
                    <w:left w:val="none" w:sz="0" w:space="0" w:color="auto"/>
                    <w:bottom w:val="none" w:sz="0" w:space="0" w:color="auto"/>
                    <w:right w:val="none" w:sz="0" w:space="0" w:color="auto"/>
                  </w:divBdr>
                  <w:divsChild>
                    <w:div w:id="138178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5787635">
      <w:bodyDiv w:val="1"/>
      <w:marLeft w:val="240"/>
      <w:marRight w:val="240"/>
      <w:marTop w:val="240"/>
      <w:marBottom w:val="60"/>
      <w:divBdr>
        <w:top w:val="none" w:sz="0" w:space="0" w:color="auto"/>
        <w:left w:val="none" w:sz="0" w:space="0" w:color="auto"/>
        <w:bottom w:val="none" w:sz="0" w:space="0" w:color="auto"/>
        <w:right w:val="none" w:sz="0" w:space="0" w:color="auto"/>
      </w:divBdr>
      <w:divsChild>
        <w:div w:id="96369891">
          <w:marLeft w:val="0"/>
          <w:marRight w:val="0"/>
          <w:marTop w:val="0"/>
          <w:marBottom w:val="0"/>
          <w:divBdr>
            <w:top w:val="none" w:sz="0" w:space="0" w:color="auto"/>
            <w:left w:val="none" w:sz="0" w:space="0" w:color="auto"/>
            <w:bottom w:val="none" w:sz="0" w:space="0" w:color="auto"/>
            <w:right w:val="none" w:sz="0" w:space="0" w:color="auto"/>
          </w:divBdr>
        </w:div>
      </w:divsChild>
    </w:div>
    <w:div w:id="1069108472">
      <w:bodyDiv w:val="1"/>
      <w:marLeft w:val="0"/>
      <w:marRight w:val="0"/>
      <w:marTop w:val="0"/>
      <w:marBottom w:val="0"/>
      <w:divBdr>
        <w:top w:val="none" w:sz="0" w:space="0" w:color="auto"/>
        <w:left w:val="none" w:sz="0" w:space="0" w:color="auto"/>
        <w:bottom w:val="none" w:sz="0" w:space="0" w:color="auto"/>
        <w:right w:val="none" w:sz="0" w:space="0" w:color="auto"/>
      </w:divBdr>
    </w:div>
    <w:div w:id="1094790704">
      <w:bodyDiv w:val="1"/>
      <w:marLeft w:val="0"/>
      <w:marRight w:val="0"/>
      <w:marTop w:val="0"/>
      <w:marBottom w:val="0"/>
      <w:divBdr>
        <w:top w:val="none" w:sz="0" w:space="0" w:color="auto"/>
        <w:left w:val="none" w:sz="0" w:space="0" w:color="auto"/>
        <w:bottom w:val="none" w:sz="0" w:space="0" w:color="auto"/>
        <w:right w:val="none" w:sz="0" w:space="0" w:color="auto"/>
      </w:divBdr>
      <w:divsChild>
        <w:div w:id="1555237023">
          <w:marLeft w:val="0"/>
          <w:marRight w:val="0"/>
          <w:marTop w:val="0"/>
          <w:marBottom w:val="0"/>
          <w:divBdr>
            <w:top w:val="none" w:sz="0" w:space="0" w:color="auto"/>
            <w:left w:val="none" w:sz="0" w:space="0" w:color="auto"/>
            <w:bottom w:val="none" w:sz="0" w:space="0" w:color="auto"/>
            <w:right w:val="none" w:sz="0" w:space="0" w:color="auto"/>
          </w:divBdr>
          <w:divsChild>
            <w:div w:id="1869685348">
              <w:marLeft w:val="0"/>
              <w:marRight w:val="0"/>
              <w:marTop w:val="0"/>
              <w:marBottom w:val="0"/>
              <w:divBdr>
                <w:top w:val="none" w:sz="0" w:space="0" w:color="auto"/>
                <w:left w:val="none" w:sz="0" w:space="0" w:color="auto"/>
                <w:bottom w:val="none" w:sz="0" w:space="0" w:color="auto"/>
                <w:right w:val="none" w:sz="0" w:space="0" w:color="auto"/>
              </w:divBdr>
              <w:divsChild>
                <w:div w:id="911237727">
                  <w:marLeft w:val="0"/>
                  <w:marRight w:val="0"/>
                  <w:marTop w:val="0"/>
                  <w:marBottom w:val="0"/>
                  <w:divBdr>
                    <w:top w:val="none" w:sz="0" w:space="0" w:color="auto"/>
                    <w:left w:val="none" w:sz="0" w:space="0" w:color="auto"/>
                    <w:bottom w:val="none" w:sz="0" w:space="0" w:color="auto"/>
                    <w:right w:val="none" w:sz="0" w:space="0" w:color="auto"/>
                  </w:divBdr>
                  <w:divsChild>
                    <w:div w:id="2136100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2531602">
      <w:bodyDiv w:val="1"/>
      <w:marLeft w:val="0"/>
      <w:marRight w:val="0"/>
      <w:marTop w:val="0"/>
      <w:marBottom w:val="0"/>
      <w:divBdr>
        <w:top w:val="none" w:sz="0" w:space="0" w:color="auto"/>
        <w:left w:val="none" w:sz="0" w:space="0" w:color="auto"/>
        <w:bottom w:val="none" w:sz="0" w:space="0" w:color="auto"/>
        <w:right w:val="none" w:sz="0" w:space="0" w:color="auto"/>
      </w:divBdr>
      <w:divsChild>
        <w:div w:id="226497349">
          <w:marLeft w:val="0"/>
          <w:marRight w:val="0"/>
          <w:marTop w:val="0"/>
          <w:marBottom w:val="0"/>
          <w:divBdr>
            <w:top w:val="none" w:sz="0" w:space="0" w:color="auto"/>
            <w:left w:val="none" w:sz="0" w:space="0" w:color="auto"/>
            <w:bottom w:val="none" w:sz="0" w:space="0" w:color="auto"/>
            <w:right w:val="none" w:sz="0" w:space="0" w:color="auto"/>
          </w:divBdr>
          <w:divsChild>
            <w:div w:id="1127700827">
              <w:marLeft w:val="0"/>
              <w:marRight w:val="0"/>
              <w:marTop w:val="0"/>
              <w:marBottom w:val="0"/>
              <w:divBdr>
                <w:top w:val="none" w:sz="0" w:space="0" w:color="auto"/>
                <w:left w:val="none" w:sz="0" w:space="0" w:color="auto"/>
                <w:bottom w:val="none" w:sz="0" w:space="0" w:color="auto"/>
                <w:right w:val="none" w:sz="0" w:space="0" w:color="auto"/>
              </w:divBdr>
              <w:divsChild>
                <w:div w:id="1465198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020784">
      <w:bodyDiv w:val="1"/>
      <w:marLeft w:val="0"/>
      <w:marRight w:val="0"/>
      <w:marTop w:val="0"/>
      <w:marBottom w:val="0"/>
      <w:divBdr>
        <w:top w:val="none" w:sz="0" w:space="0" w:color="auto"/>
        <w:left w:val="none" w:sz="0" w:space="0" w:color="auto"/>
        <w:bottom w:val="none" w:sz="0" w:space="0" w:color="auto"/>
        <w:right w:val="none" w:sz="0" w:space="0" w:color="auto"/>
      </w:divBdr>
      <w:divsChild>
        <w:div w:id="1339577215">
          <w:marLeft w:val="0"/>
          <w:marRight w:val="0"/>
          <w:marTop w:val="0"/>
          <w:marBottom w:val="0"/>
          <w:divBdr>
            <w:top w:val="none" w:sz="0" w:space="0" w:color="auto"/>
            <w:left w:val="none" w:sz="0" w:space="0" w:color="auto"/>
            <w:bottom w:val="none" w:sz="0" w:space="0" w:color="auto"/>
            <w:right w:val="none" w:sz="0" w:space="0" w:color="auto"/>
          </w:divBdr>
          <w:divsChild>
            <w:div w:id="2057660679">
              <w:marLeft w:val="0"/>
              <w:marRight w:val="0"/>
              <w:marTop w:val="0"/>
              <w:marBottom w:val="0"/>
              <w:divBdr>
                <w:top w:val="none" w:sz="0" w:space="0" w:color="auto"/>
                <w:left w:val="none" w:sz="0" w:space="0" w:color="auto"/>
                <w:bottom w:val="none" w:sz="0" w:space="0" w:color="auto"/>
                <w:right w:val="none" w:sz="0" w:space="0" w:color="auto"/>
              </w:divBdr>
              <w:divsChild>
                <w:div w:id="317878550">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198740557">
      <w:bodyDiv w:val="1"/>
      <w:marLeft w:val="0"/>
      <w:marRight w:val="0"/>
      <w:marTop w:val="0"/>
      <w:marBottom w:val="0"/>
      <w:divBdr>
        <w:top w:val="none" w:sz="0" w:space="0" w:color="auto"/>
        <w:left w:val="none" w:sz="0" w:space="0" w:color="auto"/>
        <w:bottom w:val="none" w:sz="0" w:space="0" w:color="auto"/>
        <w:right w:val="none" w:sz="0" w:space="0" w:color="auto"/>
      </w:divBdr>
      <w:divsChild>
        <w:div w:id="1562330409">
          <w:marLeft w:val="0"/>
          <w:marRight w:val="0"/>
          <w:marTop w:val="0"/>
          <w:marBottom w:val="0"/>
          <w:divBdr>
            <w:top w:val="none" w:sz="0" w:space="0" w:color="auto"/>
            <w:left w:val="none" w:sz="0" w:space="0" w:color="auto"/>
            <w:bottom w:val="none" w:sz="0" w:space="0" w:color="auto"/>
            <w:right w:val="none" w:sz="0" w:space="0" w:color="auto"/>
          </w:divBdr>
          <w:divsChild>
            <w:div w:id="1103920609">
              <w:marLeft w:val="0"/>
              <w:marRight w:val="0"/>
              <w:marTop w:val="0"/>
              <w:marBottom w:val="0"/>
              <w:divBdr>
                <w:top w:val="none" w:sz="0" w:space="0" w:color="auto"/>
                <w:left w:val="none" w:sz="0" w:space="0" w:color="auto"/>
                <w:bottom w:val="none" w:sz="0" w:space="0" w:color="auto"/>
                <w:right w:val="none" w:sz="0" w:space="0" w:color="auto"/>
              </w:divBdr>
              <w:divsChild>
                <w:div w:id="1809400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612264">
      <w:bodyDiv w:val="1"/>
      <w:marLeft w:val="0"/>
      <w:marRight w:val="0"/>
      <w:marTop w:val="0"/>
      <w:marBottom w:val="0"/>
      <w:divBdr>
        <w:top w:val="none" w:sz="0" w:space="0" w:color="auto"/>
        <w:left w:val="none" w:sz="0" w:space="0" w:color="auto"/>
        <w:bottom w:val="none" w:sz="0" w:space="0" w:color="auto"/>
        <w:right w:val="none" w:sz="0" w:space="0" w:color="auto"/>
      </w:divBdr>
      <w:divsChild>
        <w:div w:id="872304931">
          <w:marLeft w:val="0"/>
          <w:marRight w:val="0"/>
          <w:marTop w:val="0"/>
          <w:marBottom w:val="0"/>
          <w:divBdr>
            <w:top w:val="none" w:sz="0" w:space="0" w:color="auto"/>
            <w:left w:val="none" w:sz="0" w:space="0" w:color="auto"/>
            <w:bottom w:val="none" w:sz="0" w:space="0" w:color="auto"/>
            <w:right w:val="none" w:sz="0" w:space="0" w:color="auto"/>
          </w:divBdr>
          <w:divsChild>
            <w:div w:id="206990788">
              <w:marLeft w:val="0"/>
              <w:marRight w:val="0"/>
              <w:marTop w:val="0"/>
              <w:marBottom w:val="0"/>
              <w:divBdr>
                <w:top w:val="none" w:sz="0" w:space="0" w:color="auto"/>
                <w:left w:val="none" w:sz="0" w:space="0" w:color="auto"/>
                <w:bottom w:val="none" w:sz="0" w:space="0" w:color="auto"/>
                <w:right w:val="none" w:sz="0" w:space="0" w:color="auto"/>
              </w:divBdr>
              <w:divsChild>
                <w:div w:id="1964343102">
                  <w:marLeft w:val="0"/>
                  <w:marRight w:val="0"/>
                  <w:marTop w:val="0"/>
                  <w:marBottom w:val="0"/>
                  <w:divBdr>
                    <w:top w:val="none" w:sz="0" w:space="0" w:color="auto"/>
                    <w:left w:val="none" w:sz="0" w:space="0" w:color="auto"/>
                    <w:bottom w:val="none" w:sz="0" w:space="0" w:color="auto"/>
                    <w:right w:val="none" w:sz="0" w:space="0" w:color="auto"/>
                  </w:divBdr>
                  <w:divsChild>
                    <w:div w:id="121990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4733907">
      <w:bodyDiv w:val="1"/>
      <w:marLeft w:val="0"/>
      <w:marRight w:val="0"/>
      <w:marTop w:val="0"/>
      <w:marBottom w:val="0"/>
      <w:divBdr>
        <w:top w:val="none" w:sz="0" w:space="0" w:color="auto"/>
        <w:left w:val="none" w:sz="0" w:space="0" w:color="auto"/>
        <w:bottom w:val="none" w:sz="0" w:space="0" w:color="auto"/>
        <w:right w:val="none" w:sz="0" w:space="0" w:color="auto"/>
      </w:divBdr>
      <w:divsChild>
        <w:div w:id="1061364357">
          <w:marLeft w:val="0"/>
          <w:marRight w:val="0"/>
          <w:marTop w:val="0"/>
          <w:marBottom w:val="0"/>
          <w:divBdr>
            <w:top w:val="none" w:sz="0" w:space="0" w:color="auto"/>
            <w:left w:val="none" w:sz="0" w:space="0" w:color="auto"/>
            <w:bottom w:val="none" w:sz="0" w:space="0" w:color="auto"/>
            <w:right w:val="none" w:sz="0" w:space="0" w:color="auto"/>
          </w:divBdr>
          <w:divsChild>
            <w:div w:id="2078700253">
              <w:marLeft w:val="0"/>
              <w:marRight w:val="0"/>
              <w:marTop w:val="0"/>
              <w:marBottom w:val="0"/>
              <w:divBdr>
                <w:top w:val="none" w:sz="0" w:space="0" w:color="auto"/>
                <w:left w:val="none" w:sz="0" w:space="0" w:color="auto"/>
                <w:bottom w:val="none" w:sz="0" w:space="0" w:color="auto"/>
                <w:right w:val="none" w:sz="0" w:space="0" w:color="auto"/>
              </w:divBdr>
              <w:divsChild>
                <w:div w:id="1876310473">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221332921">
      <w:bodyDiv w:val="1"/>
      <w:marLeft w:val="0"/>
      <w:marRight w:val="0"/>
      <w:marTop w:val="0"/>
      <w:marBottom w:val="0"/>
      <w:divBdr>
        <w:top w:val="none" w:sz="0" w:space="0" w:color="auto"/>
        <w:left w:val="none" w:sz="0" w:space="0" w:color="auto"/>
        <w:bottom w:val="none" w:sz="0" w:space="0" w:color="auto"/>
        <w:right w:val="none" w:sz="0" w:space="0" w:color="auto"/>
      </w:divBdr>
      <w:divsChild>
        <w:div w:id="620116414">
          <w:marLeft w:val="0"/>
          <w:marRight w:val="0"/>
          <w:marTop w:val="0"/>
          <w:marBottom w:val="0"/>
          <w:divBdr>
            <w:top w:val="none" w:sz="0" w:space="0" w:color="auto"/>
            <w:left w:val="none" w:sz="0" w:space="0" w:color="auto"/>
            <w:bottom w:val="none" w:sz="0" w:space="0" w:color="auto"/>
            <w:right w:val="none" w:sz="0" w:space="0" w:color="auto"/>
          </w:divBdr>
          <w:divsChild>
            <w:div w:id="1910073819">
              <w:marLeft w:val="0"/>
              <w:marRight w:val="0"/>
              <w:marTop w:val="0"/>
              <w:marBottom w:val="0"/>
              <w:divBdr>
                <w:top w:val="none" w:sz="0" w:space="0" w:color="auto"/>
                <w:left w:val="none" w:sz="0" w:space="0" w:color="auto"/>
                <w:bottom w:val="none" w:sz="0" w:space="0" w:color="auto"/>
                <w:right w:val="none" w:sz="0" w:space="0" w:color="auto"/>
              </w:divBdr>
              <w:divsChild>
                <w:div w:id="1291667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521075">
      <w:bodyDiv w:val="1"/>
      <w:marLeft w:val="0"/>
      <w:marRight w:val="0"/>
      <w:marTop w:val="0"/>
      <w:marBottom w:val="0"/>
      <w:divBdr>
        <w:top w:val="none" w:sz="0" w:space="0" w:color="auto"/>
        <w:left w:val="none" w:sz="0" w:space="0" w:color="auto"/>
        <w:bottom w:val="none" w:sz="0" w:space="0" w:color="auto"/>
        <w:right w:val="none" w:sz="0" w:space="0" w:color="auto"/>
      </w:divBdr>
    </w:div>
    <w:div w:id="1267884145">
      <w:bodyDiv w:val="1"/>
      <w:marLeft w:val="0"/>
      <w:marRight w:val="0"/>
      <w:marTop w:val="0"/>
      <w:marBottom w:val="0"/>
      <w:divBdr>
        <w:top w:val="none" w:sz="0" w:space="0" w:color="auto"/>
        <w:left w:val="none" w:sz="0" w:space="0" w:color="auto"/>
        <w:bottom w:val="none" w:sz="0" w:space="0" w:color="auto"/>
        <w:right w:val="none" w:sz="0" w:space="0" w:color="auto"/>
      </w:divBdr>
    </w:div>
    <w:div w:id="1268999105">
      <w:bodyDiv w:val="1"/>
      <w:marLeft w:val="0"/>
      <w:marRight w:val="0"/>
      <w:marTop w:val="0"/>
      <w:marBottom w:val="0"/>
      <w:divBdr>
        <w:top w:val="none" w:sz="0" w:space="0" w:color="auto"/>
        <w:left w:val="none" w:sz="0" w:space="0" w:color="auto"/>
        <w:bottom w:val="none" w:sz="0" w:space="0" w:color="auto"/>
        <w:right w:val="none" w:sz="0" w:space="0" w:color="auto"/>
      </w:divBdr>
    </w:div>
    <w:div w:id="1323392442">
      <w:bodyDiv w:val="1"/>
      <w:marLeft w:val="0"/>
      <w:marRight w:val="0"/>
      <w:marTop w:val="0"/>
      <w:marBottom w:val="0"/>
      <w:divBdr>
        <w:top w:val="none" w:sz="0" w:space="0" w:color="auto"/>
        <w:left w:val="none" w:sz="0" w:space="0" w:color="auto"/>
        <w:bottom w:val="none" w:sz="0" w:space="0" w:color="auto"/>
        <w:right w:val="none" w:sz="0" w:space="0" w:color="auto"/>
      </w:divBdr>
      <w:divsChild>
        <w:div w:id="1553728894">
          <w:marLeft w:val="0"/>
          <w:marRight w:val="0"/>
          <w:marTop w:val="0"/>
          <w:marBottom w:val="0"/>
          <w:divBdr>
            <w:top w:val="none" w:sz="0" w:space="0" w:color="auto"/>
            <w:left w:val="none" w:sz="0" w:space="0" w:color="auto"/>
            <w:bottom w:val="none" w:sz="0" w:space="0" w:color="auto"/>
            <w:right w:val="none" w:sz="0" w:space="0" w:color="auto"/>
          </w:divBdr>
          <w:divsChild>
            <w:div w:id="184368778">
              <w:marLeft w:val="0"/>
              <w:marRight w:val="0"/>
              <w:marTop w:val="0"/>
              <w:marBottom w:val="0"/>
              <w:divBdr>
                <w:top w:val="none" w:sz="0" w:space="0" w:color="auto"/>
                <w:left w:val="none" w:sz="0" w:space="0" w:color="auto"/>
                <w:bottom w:val="none" w:sz="0" w:space="0" w:color="auto"/>
                <w:right w:val="none" w:sz="0" w:space="0" w:color="auto"/>
              </w:divBdr>
              <w:divsChild>
                <w:div w:id="998926400">
                  <w:marLeft w:val="0"/>
                  <w:marRight w:val="0"/>
                  <w:marTop w:val="0"/>
                  <w:marBottom w:val="0"/>
                  <w:divBdr>
                    <w:top w:val="none" w:sz="0" w:space="0" w:color="auto"/>
                    <w:left w:val="none" w:sz="0" w:space="0" w:color="auto"/>
                    <w:bottom w:val="none" w:sz="0" w:space="0" w:color="auto"/>
                    <w:right w:val="none" w:sz="0" w:space="0" w:color="auto"/>
                  </w:divBdr>
                  <w:divsChild>
                    <w:div w:id="2087994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3530856">
      <w:bodyDiv w:val="1"/>
      <w:marLeft w:val="0"/>
      <w:marRight w:val="0"/>
      <w:marTop w:val="0"/>
      <w:marBottom w:val="0"/>
      <w:divBdr>
        <w:top w:val="none" w:sz="0" w:space="0" w:color="auto"/>
        <w:left w:val="none" w:sz="0" w:space="0" w:color="auto"/>
        <w:bottom w:val="none" w:sz="0" w:space="0" w:color="auto"/>
        <w:right w:val="none" w:sz="0" w:space="0" w:color="auto"/>
      </w:divBdr>
    </w:div>
    <w:div w:id="1362899131">
      <w:bodyDiv w:val="1"/>
      <w:marLeft w:val="0"/>
      <w:marRight w:val="0"/>
      <w:marTop w:val="0"/>
      <w:marBottom w:val="0"/>
      <w:divBdr>
        <w:top w:val="none" w:sz="0" w:space="0" w:color="auto"/>
        <w:left w:val="none" w:sz="0" w:space="0" w:color="auto"/>
        <w:bottom w:val="none" w:sz="0" w:space="0" w:color="auto"/>
        <w:right w:val="none" w:sz="0" w:space="0" w:color="auto"/>
      </w:divBdr>
      <w:divsChild>
        <w:div w:id="1347711329">
          <w:marLeft w:val="0"/>
          <w:marRight w:val="0"/>
          <w:marTop w:val="0"/>
          <w:marBottom w:val="0"/>
          <w:divBdr>
            <w:top w:val="none" w:sz="0" w:space="0" w:color="auto"/>
            <w:left w:val="none" w:sz="0" w:space="0" w:color="auto"/>
            <w:bottom w:val="none" w:sz="0" w:space="0" w:color="auto"/>
            <w:right w:val="none" w:sz="0" w:space="0" w:color="auto"/>
          </w:divBdr>
          <w:divsChild>
            <w:div w:id="2023504905">
              <w:marLeft w:val="0"/>
              <w:marRight w:val="0"/>
              <w:marTop w:val="0"/>
              <w:marBottom w:val="0"/>
              <w:divBdr>
                <w:top w:val="none" w:sz="0" w:space="0" w:color="auto"/>
                <w:left w:val="none" w:sz="0" w:space="0" w:color="auto"/>
                <w:bottom w:val="none" w:sz="0" w:space="0" w:color="auto"/>
                <w:right w:val="none" w:sz="0" w:space="0" w:color="auto"/>
              </w:divBdr>
              <w:divsChild>
                <w:div w:id="394937188">
                  <w:marLeft w:val="0"/>
                  <w:marRight w:val="0"/>
                  <w:marTop w:val="0"/>
                  <w:marBottom w:val="0"/>
                  <w:divBdr>
                    <w:top w:val="none" w:sz="0" w:space="0" w:color="auto"/>
                    <w:left w:val="none" w:sz="0" w:space="0" w:color="auto"/>
                    <w:bottom w:val="none" w:sz="0" w:space="0" w:color="auto"/>
                    <w:right w:val="none" w:sz="0" w:space="0" w:color="auto"/>
                  </w:divBdr>
                  <w:divsChild>
                    <w:div w:id="117618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7971201">
      <w:bodyDiv w:val="1"/>
      <w:marLeft w:val="0"/>
      <w:marRight w:val="0"/>
      <w:marTop w:val="0"/>
      <w:marBottom w:val="0"/>
      <w:divBdr>
        <w:top w:val="none" w:sz="0" w:space="0" w:color="auto"/>
        <w:left w:val="none" w:sz="0" w:space="0" w:color="auto"/>
        <w:bottom w:val="none" w:sz="0" w:space="0" w:color="auto"/>
        <w:right w:val="none" w:sz="0" w:space="0" w:color="auto"/>
      </w:divBdr>
    </w:div>
    <w:div w:id="1392001087">
      <w:bodyDiv w:val="1"/>
      <w:marLeft w:val="0"/>
      <w:marRight w:val="0"/>
      <w:marTop w:val="0"/>
      <w:marBottom w:val="0"/>
      <w:divBdr>
        <w:top w:val="none" w:sz="0" w:space="0" w:color="auto"/>
        <w:left w:val="none" w:sz="0" w:space="0" w:color="auto"/>
        <w:bottom w:val="none" w:sz="0" w:space="0" w:color="auto"/>
        <w:right w:val="none" w:sz="0" w:space="0" w:color="auto"/>
      </w:divBdr>
    </w:div>
    <w:div w:id="1419861838">
      <w:bodyDiv w:val="1"/>
      <w:marLeft w:val="0"/>
      <w:marRight w:val="0"/>
      <w:marTop w:val="0"/>
      <w:marBottom w:val="0"/>
      <w:divBdr>
        <w:top w:val="none" w:sz="0" w:space="0" w:color="auto"/>
        <w:left w:val="none" w:sz="0" w:space="0" w:color="auto"/>
        <w:bottom w:val="none" w:sz="0" w:space="0" w:color="auto"/>
        <w:right w:val="none" w:sz="0" w:space="0" w:color="auto"/>
      </w:divBdr>
      <w:divsChild>
        <w:div w:id="708914101">
          <w:marLeft w:val="0"/>
          <w:marRight w:val="0"/>
          <w:marTop w:val="0"/>
          <w:marBottom w:val="0"/>
          <w:divBdr>
            <w:top w:val="none" w:sz="0" w:space="0" w:color="auto"/>
            <w:left w:val="none" w:sz="0" w:space="0" w:color="auto"/>
            <w:bottom w:val="none" w:sz="0" w:space="0" w:color="auto"/>
            <w:right w:val="none" w:sz="0" w:space="0" w:color="auto"/>
          </w:divBdr>
          <w:divsChild>
            <w:div w:id="446780233">
              <w:marLeft w:val="0"/>
              <w:marRight w:val="0"/>
              <w:marTop w:val="0"/>
              <w:marBottom w:val="0"/>
              <w:divBdr>
                <w:top w:val="none" w:sz="0" w:space="0" w:color="auto"/>
                <w:left w:val="none" w:sz="0" w:space="0" w:color="auto"/>
                <w:bottom w:val="none" w:sz="0" w:space="0" w:color="auto"/>
                <w:right w:val="none" w:sz="0" w:space="0" w:color="auto"/>
              </w:divBdr>
              <w:divsChild>
                <w:div w:id="1376127264">
                  <w:marLeft w:val="0"/>
                  <w:marRight w:val="0"/>
                  <w:marTop w:val="0"/>
                  <w:marBottom w:val="0"/>
                  <w:divBdr>
                    <w:top w:val="none" w:sz="0" w:space="0" w:color="auto"/>
                    <w:left w:val="none" w:sz="0" w:space="0" w:color="auto"/>
                    <w:bottom w:val="none" w:sz="0" w:space="0" w:color="auto"/>
                    <w:right w:val="none" w:sz="0" w:space="0" w:color="auto"/>
                  </w:divBdr>
                  <w:divsChild>
                    <w:div w:id="138881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9153684">
      <w:bodyDiv w:val="1"/>
      <w:marLeft w:val="0"/>
      <w:marRight w:val="0"/>
      <w:marTop w:val="0"/>
      <w:marBottom w:val="0"/>
      <w:divBdr>
        <w:top w:val="none" w:sz="0" w:space="0" w:color="auto"/>
        <w:left w:val="none" w:sz="0" w:space="0" w:color="auto"/>
        <w:bottom w:val="none" w:sz="0" w:space="0" w:color="auto"/>
        <w:right w:val="none" w:sz="0" w:space="0" w:color="auto"/>
      </w:divBdr>
      <w:divsChild>
        <w:div w:id="1096362669">
          <w:marLeft w:val="0"/>
          <w:marRight w:val="0"/>
          <w:marTop w:val="0"/>
          <w:marBottom w:val="0"/>
          <w:divBdr>
            <w:top w:val="none" w:sz="0" w:space="0" w:color="auto"/>
            <w:left w:val="none" w:sz="0" w:space="0" w:color="auto"/>
            <w:bottom w:val="none" w:sz="0" w:space="0" w:color="auto"/>
            <w:right w:val="none" w:sz="0" w:space="0" w:color="auto"/>
          </w:divBdr>
          <w:divsChild>
            <w:div w:id="357242870">
              <w:marLeft w:val="0"/>
              <w:marRight w:val="0"/>
              <w:marTop w:val="0"/>
              <w:marBottom w:val="0"/>
              <w:divBdr>
                <w:top w:val="none" w:sz="0" w:space="0" w:color="auto"/>
                <w:left w:val="none" w:sz="0" w:space="0" w:color="auto"/>
                <w:bottom w:val="none" w:sz="0" w:space="0" w:color="auto"/>
                <w:right w:val="none" w:sz="0" w:space="0" w:color="auto"/>
              </w:divBdr>
              <w:divsChild>
                <w:div w:id="90980047">
                  <w:marLeft w:val="0"/>
                  <w:marRight w:val="0"/>
                  <w:marTop w:val="0"/>
                  <w:marBottom w:val="0"/>
                  <w:divBdr>
                    <w:top w:val="none" w:sz="0" w:space="0" w:color="auto"/>
                    <w:left w:val="none" w:sz="0" w:space="0" w:color="auto"/>
                    <w:bottom w:val="none" w:sz="0" w:space="0" w:color="auto"/>
                    <w:right w:val="none" w:sz="0" w:space="0" w:color="auto"/>
                  </w:divBdr>
                  <w:divsChild>
                    <w:div w:id="2068066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9332601">
      <w:bodyDiv w:val="1"/>
      <w:marLeft w:val="0"/>
      <w:marRight w:val="0"/>
      <w:marTop w:val="0"/>
      <w:marBottom w:val="0"/>
      <w:divBdr>
        <w:top w:val="none" w:sz="0" w:space="0" w:color="auto"/>
        <w:left w:val="none" w:sz="0" w:space="0" w:color="auto"/>
        <w:bottom w:val="none" w:sz="0" w:space="0" w:color="auto"/>
        <w:right w:val="none" w:sz="0" w:space="0" w:color="auto"/>
      </w:divBdr>
      <w:divsChild>
        <w:div w:id="1835872298">
          <w:marLeft w:val="0"/>
          <w:marRight w:val="0"/>
          <w:marTop w:val="0"/>
          <w:marBottom w:val="0"/>
          <w:divBdr>
            <w:top w:val="none" w:sz="0" w:space="0" w:color="auto"/>
            <w:left w:val="none" w:sz="0" w:space="0" w:color="auto"/>
            <w:bottom w:val="none" w:sz="0" w:space="0" w:color="auto"/>
            <w:right w:val="none" w:sz="0" w:space="0" w:color="auto"/>
          </w:divBdr>
          <w:divsChild>
            <w:div w:id="2019189256">
              <w:marLeft w:val="0"/>
              <w:marRight w:val="0"/>
              <w:marTop w:val="0"/>
              <w:marBottom w:val="0"/>
              <w:divBdr>
                <w:top w:val="none" w:sz="0" w:space="0" w:color="auto"/>
                <w:left w:val="none" w:sz="0" w:space="0" w:color="auto"/>
                <w:bottom w:val="none" w:sz="0" w:space="0" w:color="auto"/>
                <w:right w:val="none" w:sz="0" w:space="0" w:color="auto"/>
              </w:divBdr>
              <w:divsChild>
                <w:div w:id="819077516">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441797106">
      <w:bodyDiv w:val="1"/>
      <w:marLeft w:val="0"/>
      <w:marRight w:val="0"/>
      <w:marTop w:val="0"/>
      <w:marBottom w:val="0"/>
      <w:divBdr>
        <w:top w:val="none" w:sz="0" w:space="0" w:color="auto"/>
        <w:left w:val="none" w:sz="0" w:space="0" w:color="auto"/>
        <w:bottom w:val="none" w:sz="0" w:space="0" w:color="auto"/>
        <w:right w:val="none" w:sz="0" w:space="0" w:color="auto"/>
      </w:divBdr>
      <w:divsChild>
        <w:div w:id="2147356455">
          <w:marLeft w:val="0"/>
          <w:marRight w:val="0"/>
          <w:marTop w:val="0"/>
          <w:marBottom w:val="0"/>
          <w:divBdr>
            <w:top w:val="none" w:sz="0" w:space="0" w:color="auto"/>
            <w:left w:val="none" w:sz="0" w:space="0" w:color="auto"/>
            <w:bottom w:val="none" w:sz="0" w:space="0" w:color="auto"/>
            <w:right w:val="none" w:sz="0" w:space="0" w:color="auto"/>
          </w:divBdr>
          <w:divsChild>
            <w:div w:id="341200221">
              <w:marLeft w:val="0"/>
              <w:marRight w:val="0"/>
              <w:marTop w:val="0"/>
              <w:marBottom w:val="0"/>
              <w:divBdr>
                <w:top w:val="none" w:sz="0" w:space="0" w:color="auto"/>
                <w:left w:val="none" w:sz="0" w:space="0" w:color="auto"/>
                <w:bottom w:val="none" w:sz="0" w:space="0" w:color="auto"/>
                <w:right w:val="none" w:sz="0" w:space="0" w:color="auto"/>
              </w:divBdr>
              <w:divsChild>
                <w:div w:id="551769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598375">
      <w:bodyDiv w:val="1"/>
      <w:marLeft w:val="0"/>
      <w:marRight w:val="0"/>
      <w:marTop w:val="0"/>
      <w:marBottom w:val="0"/>
      <w:divBdr>
        <w:top w:val="none" w:sz="0" w:space="0" w:color="auto"/>
        <w:left w:val="none" w:sz="0" w:space="0" w:color="auto"/>
        <w:bottom w:val="none" w:sz="0" w:space="0" w:color="auto"/>
        <w:right w:val="none" w:sz="0" w:space="0" w:color="auto"/>
      </w:divBdr>
    </w:div>
    <w:div w:id="1470051467">
      <w:bodyDiv w:val="1"/>
      <w:marLeft w:val="0"/>
      <w:marRight w:val="0"/>
      <w:marTop w:val="0"/>
      <w:marBottom w:val="0"/>
      <w:divBdr>
        <w:top w:val="none" w:sz="0" w:space="0" w:color="auto"/>
        <w:left w:val="none" w:sz="0" w:space="0" w:color="auto"/>
        <w:bottom w:val="none" w:sz="0" w:space="0" w:color="auto"/>
        <w:right w:val="none" w:sz="0" w:space="0" w:color="auto"/>
      </w:divBdr>
    </w:div>
    <w:div w:id="1479615140">
      <w:bodyDiv w:val="1"/>
      <w:marLeft w:val="0"/>
      <w:marRight w:val="0"/>
      <w:marTop w:val="0"/>
      <w:marBottom w:val="0"/>
      <w:divBdr>
        <w:top w:val="none" w:sz="0" w:space="0" w:color="auto"/>
        <w:left w:val="none" w:sz="0" w:space="0" w:color="auto"/>
        <w:bottom w:val="none" w:sz="0" w:space="0" w:color="auto"/>
        <w:right w:val="none" w:sz="0" w:space="0" w:color="auto"/>
      </w:divBdr>
    </w:div>
    <w:div w:id="1485584235">
      <w:bodyDiv w:val="1"/>
      <w:marLeft w:val="0"/>
      <w:marRight w:val="0"/>
      <w:marTop w:val="0"/>
      <w:marBottom w:val="0"/>
      <w:divBdr>
        <w:top w:val="none" w:sz="0" w:space="0" w:color="auto"/>
        <w:left w:val="none" w:sz="0" w:space="0" w:color="auto"/>
        <w:bottom w:val="none" w:sz="0" w:space="0" w:color="auto"/>
        <w:right w:val="none" w:sz="0" w:space="0" w:color="auto"/>
      </w:divBdr>
      <w:divsChild>
        <w:div w:id="1217547749">
          <w:marLeft w:val="0"/>
          <w:marRight w:val="0"/>
          <w:marTop w:val="0"/>
          <w:marBottom w:val="0"/>
          <w:divBdr>
            <w:top w:val="none" w:sz="0" w:space="0" w:color="auto"/>
            <w:left w:val="none" w:sz="0" w:space="0" w:color="auto"/>
            <w:bottom w:val="none" w:sz="0" w:space="0" w:color="auto"/>
            <w:right w:val="none" w:sz="0" w:space="0" w:color="auto"/>
          </w:divBdr>
          <w:divsChild>
            <w:div w:id="472214924">
              <w:marLeft w:val="0"/>
              <w:marRight w:val="0"/>
              <w:marTop w:val="0"/>
              <w:marBottom w:val="0"/>
              <w:divBdr>
                <w:top w:val="none" w:sz="0" w:space="0" w:color="auto"/>
                <w:left w:val="none" w:sz="0" w:space="0" w:color="auto"/>
                <w:bottom w:val="none" w:sz="0" w:space="0" w:color="auto"/>
                <w:right w:val="none" w:sz="0" w:space="0" w:color="auto"/>
              </w:divBdr>
              <w:divsChild>
                <w:div w:id="927229960">
                  <w:marLeft w:val="0"/>
                  <w:marRight w:val="0"/>
                  <w:marTop w:val="0"/>
                  <w:marBottom w:val="0"/>
                  <w:divBdr>
                    <w:top w:val="none" w:sz="0" w:space="0" w:color="auto"/>
                    <w:left w:val="none" w:sz="0" w:space="0" w:color="auto"/>
                    <w:bottom w:val="none" w:sz="0" w:space="0" w:color="auto"/>
                    <w:right w:val="none" w:sz="0" w:space="0" w:color="auto"/>
                  </w:divBdr>
                  <w:divsChild>
                    <w:div w:id="193331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114260">
      <w:bodyDiv w:val="1"/>
      <w:marLeft w:val="0"/>
      <w:marRight w:val="0"/>
      <w:marTop w:val="0"/>
      <w:marBottom w:val="0"/>
      <w:divBdr>
        <w:top w:val="none" w:sz="0" w:space="0" w:color="auto"/>
        <w:left w:val="none" w:sz="0" w:space="0" w:color="auto"/>
        <w:bottom w:val="none" w:sz="0" w:space="0" w:color="auto"/>
        <w:right w:val="none" w:sz="0" w:space="0" w:color="auto"/>
      </w:divBdr>
      <w:divsChild>
        <w:div w:id="1506941349">
          <w:marLeft w:val="0"/>
          <w:marRight w:val="0"/>
          <w:marTop w:val="0"/>
          <w:marBottom w:val="0"/>
          <w:divBdr>
            <w:top w:val="none" w:sz="0" w:space="0" w:color="auto"/>
            <w:left w:val="none" w:sz="0" w:space="0" w:color="auto"/>
            <w:bottom w:val="none" w:sz="0" w:space="0" w:color="auto"/>
            <w:right w:val="none" w:sz="0" w:space="0" w:color="auto"/>
          </w:divBdr>
          <w:divsChild>
            <w:div w:id="1084186042">
              <w:marLeft w:val="0"/>
              <w:marRight w:val="0"/>
              <w:marTop w:val="0"/>
              <w:marBottom w:val="0"/>
              <w:divBdr>
                <w:top w:val="none" w:sz="0" w:space="0" w:color="auto"/>
                <w:left w:val="none" w:sz="0" w:space="0" w:color="auto"/>
                <w:bottom w:val="none" w:sz="0" w:space="0" w:color="auto"/>
                <w:right w:val="none" w:sz="0" w:space="0" w:color="auto"/>
              </w:divBdr>
              <w:divsChild>
                <w:div w:id="2129085440">
                  <w:marLeft w:val="0"/>
                  <w:marRight w:val="0"/>
                  <w:marTop w:val="0"/>
                  <w:marBottom w:val="0"/>
                  <w:divBdr>
                    <w:top w:val="none" w:sz="0" w:space="0" w:color="auto"/>
                    <w:left w:val="none" w:sz="0" w:space="0" w:color="auto"/>
                    <w:bottom w:val="none" w:sz="0" w:space="0" w:color="auto"/>
                    <w:right w:val="none" w:sz="0" w:space="0" w:color="auto"/>
                  </w:divBdr>
                  <w:divsChild>
                    <w:div w:id="32579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259239">
      <w:bodyDiv w:val="1"/>
      <w:marLeft w:val="0"/>
      <w:marRight w:val="0"/>
      <w:marTop w:val="0"/>
      <w:marBottom w:val="0"/>
      <w:divBdr>
        <w:top w:val="none" w:sz="0" w:space="0" w:color="auto"/>
        <w:left w:val="none" w:sz="0" w:space="0" w:color="auto"/>
        <w:bottom w:val="none" w:sz="0" w:space="0" w:color="auto"/>
        <w:right w:val="none" w:sz="0" w:space="0" w:color="auto"/>
      </w:divBdr>
      <w:divsChild>
        <w:div w:id="699016607">
          <w:marLeft w:val="0"/>
          <w:marRight w:val="0"/>
          <w:marTop w:val="0"/>
          <w:marBottom w:val="0"/>
          <w:divBdr>
            <w:top w:val="none" w:sz="0" w:space="0" w:color="auto"/>
            <w:left w:val="none" w:sz="0" w:space="0" w:color="auto"/>
            <w:bottom w:val="none" w:sz="0" w:space="0" w:color="auto"/>
            <w:right w:val="none" w:sz="0" w:space="0" w:color="auto"/>
          </w:divBdr>
          <w:divsChild>
            <w:div w:id="13071723">
              <w:marLeft w:val="0"/>
              <w:marRight w:val="0"/>
              <w:marTop w:val="0"/>
              <w:marBottom w:val="0"/>
              <w:divBdr>
                <w:top w:val="none" w:sz="0" w:space="0" w:color="auto"/>
                <w:left w:val="none" w:sz="0" w:space="0" w:color="auto"/>
                <w:bottom w:val="none" w:sz="0" w:space="0" w:color="auto"/>
                <w:right w:val="none" w:sz="0" w:space="0" w:color="auto"/>
              </w:divBdr>
              <w:divsChild>
                <w:div w:id="1040592906">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511137417">
      <w:bodyDiv w:val="1"/>
      <w:marLeft w:val="0"/>
      <w:marRight w:val="0"/>
      <w:marTop w:val="0"/>
      <w:marBottom w:val="0"/>
      <w:divBdr>
        <w:top w:val="none" w:sz="0" w:space="0" w:color="auto"/>
        <w:left w:val="none" w:sz="0" w:space="0" w:color="auto"/>
        <w:bottom w:val="none" w:sz="0" w:space="0" w:color="auto"/>
        <w:right w:val="none" w:sz="0" w:space="0" w:color="auto"/>
      </w:divBdr>
      <w:divsChild>
        <w:div w:id="1207720348">
          <w:marLeft w:val="0"/>
          <w:marRight w:val="0"/>
          <w:marTop w:val="0"/>
          <w:marBottom w:val="0"/>
          <w:divBdr>
            <w:top w:val="none" w:sz="0" w:space="0" w:color="auto"/>
            <w:left w:val="none" w:sz="0" w:space="0" w:color="auto"/>
            <w:bottom w:val="none" w:sz="0" w:space="0" w:color="auto"/>
            <w:right w:val="none" w:sz="0" w:space="0" w:color="auto"/>
          </w:divBdr>
          <w:divsChild>
            <w:div w:id="1060904797">
              <w:marLeft w:val="0"/>
              <w:marRight w:val="0"/>
              <w:marTop w:val="0"/>
              <w:marBottom w:val="0"/>
              <w:divBdr>
                <w:top w:val="none" w:sz="0" w:space="0" w:color="auto"/>
                <w:left w:val="none" w:sz="0" w:space="0" w:color="auto"/>
                <w:bottom w:val="none" w:sz="0" w:space="0" w:color="auto"/>
                <w:right w:val="none" w:sz="0" w:space="0" w:color="auto"/>
              </w:divBdr>
              <w:divsChild>
                <w:div w:id="340744683">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514805777">
      <w:bodyDiv w:val="1"/>
      <w:marLeft w:val="0"/>
      <w:marRight w:val="0"/>
      <w:marTop w:val="0"/>
      <w:marBottom w:val="0"/>
      <w:divBdr>
        <w:top w:val="none" w:sz="0" w:space="0" w:color="auto"/>
        <w:left w:val="none" w:sz="0" w:space="0" w:color="auto"/>
        <w:bottom w:val="none" w:sz="0" w:space="0" w:color="auto"/>
        <w:right w:val="none" w:sz="0" w:space="0" w:color="auto"/>
      </w:divBdr>
      <w:divsChild>
        <w:div w:id="403646215">
          <w:marLeft w:val="0"/>
          <w:marRight w:val="0"/>
          <w:marTop w:val="0"/>
          <w:marBottom w:val="0"/>
          <w:divBdr>
            <w:top w:val="none" w:sz="0" w:space="0" w:color="auto"/>
            <w:left w:val="none" w:sz="0" w:space="0" w:color="auto"/>
            <w:bottom w:val="none" w:sz="0" w:space="0" w:color="auto"/>
            <w:right w:val="none" w:sz="0" w:space="0" w:color="auto"/>
          </w:divBdr>
          <w:divsChild>
            <w:div w:id="1345204925">
              <w:marLeft w:val="0"/>
              <w:marRight w:val="0"/>
              <w:marTop w:val="0"/>
              <w:marBottom w:val="0"/>
              <w:divBdr>
                <w:top w:val="none" w:sz="0" w:space="0" w:color="auto"/>
                <w:left w:val="none" w:sz="0" w:space="0" w:color="auto"/>
                <w:bottom w:val="none" w:sz="0" w:space="0" w:color="auto"/>
                <w:right w:val="none" w:sz="0" w:space="0" w:color="auto"/>
              </w:divBdr>
              <w:divsChild>
                <w:div w:id="1161193308">
                  <w:marLeft w:val="0"/>
                  <w:marRight w:val="0"/>
                  <w:marTop w:val="0"/>
                  <w:marBottom w:val="0"/>
                  <w:divBdr>
                    <w:top w:val="none" w:sz="0" w:space="0" w:color="auto"/>
                    <w:left w:val="none" w:sz="0" w:space="0" w:color="auto"/>
                    <w:bottom w:val="none" w:sz="0" w:space="0" w:color="auto"/>
                    <w:right w:val="none" w:sz="0" w:space="0" w:color="auto"/>
                  </w:divBdr>
                  <w:divsChild>
                    <w:div w:id="105535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3979873">
      <w:bodyDiv w:val="1"/>
      <w:marLeft w:val="0"/>
      <w:marRight w:val="0"/>
      <w:marTop w:val="0"/>
      <w:marBottom w:val="0"/>
      <w:divBdr>
        <w:top w:val="none" w:sz="0" w:space="0" w:color="auto"/>
        <w:left w:val="none" w:sz="0" w:space="0" w:color="auto"/>
        <w:bottom w:val="none" w:sz="0" w:space="0" w:color="auto"/>
        <w:right w:val="none" w:sz="0" w:space="0" w:color="auto"/>
      </w:divBdr>
    </w:div>
    <w:div w:id="1524368141">
      <w:bodyDiv w:val="1"/>
      <w:marLeft w:val="0"/>
      <w:marRight w:val="0"/>
      <w:marTop w:val="0"/>
      <w:marBottom w:val="0"/>
      <w:divBdr>
        <w:top w:val="none" w:sz="0" w:space="0" w:color="auto"/>
        <w:left w:val="none" w:sz="0" w:space="0" w:color="auto"/>
        <w:bottom w:val="none" w:sz="0" w:space="0" w:color="auto"/>
        <w:right w:val="none" w:sz="0" w:space="0" w:color="auto"/>
      </w:divBdr>
    </w:div>
    <w:div w:id="1539123398">
      <w:bodyDiv w:val="1"/>
      <w:marLeft w:val="0"/>
      <w:marRight w:val="0"/>
      <w:marTop w:val="0"/>
      <w:marBottom w:val="0"/>
      <w:divBdr>
        <w:top w:val="none" w:sz="0" w:space="0" w:color="auto"/>
        <w:left w:val="none" w:sz="0" w:space="0" w:color="auto"/>
        <w:bottom w:val="none" w:sz="0" w:space="0" w:color="auto"/>
        <w:right w:val="none" w:sz="0" w:space="0" w:color="auto"/>
      </w:divBdr>
      <w:divsChild>
        <w:div w:id="1584683043">
          <w:marLeft w:val="0"/>
          <w:marRight w:val="0"/>
          <w:marTop w:val="0"/>
          <w:marBottom w:val="0"/>
          <w:divBdr>
            <w:top w:val="none" w:sz="0" w:space="0" w:color="auto"/>
            <w:left w:val="none" w:sz="0" w:space="0" w:color="auto"/>
            <w:bottom w:val="none" w:sz="0" w:space="0" w:color="auto"/>
            <w:right w:val="none" w:sz="0" w:space="0" w:color="auto"/>
          </w:divBdr>
          <w:divsChild>
            <w:div w:id="432478275">
              <w:marLeft w:val="0"/>
              <w:marRight w:val="0"/>
              <w:marTop w:val="0"/>
              <w:marBottom w:val="0"/>
              <w:divBdr>
                <w:top w:val="none" w:sz="0" w:space="0" w:color="auto"/>
                <w:left w:val="none" w:sz="0" w:space="0" w:color="auto"/>
                <w:bottom w:val="none" w:sz="0" w:space="0" w:color="auto"/>
                <w:right w:val="none" w:sz="0" w:space="0" w:color="auto"/>
              </w:divBdr>
              <w:divsChild>
                <w:div w:id="63178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309017">
      <w:bodyDiv w:val="1"/>
      <w:marLeft w:val="0"/>
      <w:marRight w:val="0"/>
      <w:marTop w:val="0"/>
      <w:marBottom w:val="0"/>
      <w:divBdr>
        <w:top w:val="none" w:sz="0" w:space="0" w:color="auto"/>
        <w:left w:val="none" w:sz="0" w:space="0" w:color="auto"/>
        <w:bottom w:val="none" w:sz="0" w:space="0" w:color="auto"/>
        <w:right w:val="none" w:sz="0" w:space="0" w:color="auto"/>
      </w:divBdr>
    </w:div>
    <w:div w:id="1556818150">
      <w:bodyDiv w:val="1"/>
      <w:marLeft w:val="0"/>
      <w:marRight w:val="0"/>
      <w:marTop w:val="0"/>
      <w:marBottom w:val="0"/>
      <w:divBdr>
        <w:top w:val="none" w:sz="0" w:space="0" w:color="auto"/>
        <w:left w:val="none" w:sz="0" w:space="0" w:color="auto"/>
        <w:bottom w:val="none" w:sz="0" w:space="0" w:color="auto"/>
        <w:right w:val="none" w:sz="0" w:space="0" w:color="auto"/>
      </w:divBdr>
    </w:div>
    <w:div w:id="1558784115">
      <w:bodyDiv w:val="1"/>
      <w:marLeft w:val="240"/>
      <w:marRight w:val="240"/>
      <w:marTop w:val="240"/>
      <w:marBottom w:val="60"/>
      <w:divBdr>
        <w:top w:val="none" w:sz="0" w:space="0" w:color="auto"/>
        <w:left w:val="none" w:sz="0" w:space="0" w:color="auto"/>
        <w:bottom w:val="none" w:sz="0" w:space="0" w:color="auto"/>
        <w:right w:val="none" w:sz="0" w:space="0" w:color="auto"/>
      </w:divBdr>
      <w:divsChild>
        <w:div w:id="529221941">
          <w:marLeft w:val="0"/>
          <w:marRight w:val="0"/>
          <w:marTop w:val="0"/>
          <w:marBottom w:val="0"/>
          <w:divBdr>
            <w:top w:val="none" w:sz="0" w:space="0" w:color="auto"/>
            <w:left w:val="none" w:sz="0" w:space="0" w:color="auto"/>
            <w:bottom w:val="none" w:sz="0" w:space="0" w:color="auto"/>
            <w:right w:val="none" w:sz="0" w:space="0" w:color="auto"/>
          </w:divBdr>
        </w:div>
        <w:div w:id="275412232">
          <w:marLeft w:val="0"/>
          <w:marRight w:val="0"/>
          <w:marTop w:val="0"/>
          <w:marBottom w:val="0"/>
          <w:divBdr>
            <w:top w:val="none" w:sz="0" w:space="0" w:color="auto"/>
            <w:left w:val="none" w:sz="0" w:space="0" w:color="auto"/>
            <w:bottom w:val="none" w:sz="0" w:space="0" w:color="auto"/>
            <w:right w:val="none" w:sz="0" w:space="0" w:color="auto"/>
          </w:divBdr>
        </w:div>
      </w:divsChild>
    </w:div>
    <w:div w:id="1559124682">
      <w:bodyDiv w:val="1"/>
      <w:marLeft w:val="0"/>
      <w:marRight w:val="0"/>
      <w:marTop w:val="0"/>
      <w:marBottom w:val="0"/>
      <w:divBdr>
        <w:top w:val="none" w:sz="0" w:space="0" w:color="auto"/>
        <w:left w:val="none" w:sz="0" w:space="0" w:color="auto"/>
        <w:bottom w:val="none" w:sz="0" w:space="0" w:color="auto"/>
        <w:right w:val="none" w:sz="0" w:space="0" w:color="auto"/>
      </w:divBdr>
    </w:div>
    <w:div w:id="1592205044">
      <w:bodyDiv w:val="1"/>
      <w:marLeft w:val="0"/>
      <w:marRight w:val="0"/>
      <w:marTop w:val="0"/>
      <w:marBottom w:val="0"/>
      <w:divBdr>
        <w:top w:val="none" w:sz="0" w:space="0" w:color="auto"/>
        <w:left w:val="none" w:sz="0" w:space="0" w:color="auto"/>
        <w:bottom w:val="none" w:sz="0" w:space="0" w:color="auto"/>
        <w:right w:val="none" w:sz="0" w:space="0" w:color="auto"/>
      </w:divBdr>
    </w:div>
    <w:div w:id="1636138724">
      <w:bodyDiv w:val="1"/>
      <w:marLeft w:val="0"/>
      <w:marRight w:val="0"/>
      <w:marTop w:val="0"/>
      <w:marBottom w:val="0"/>
      <w:divBdr>
        <w:top w:val="none" w:sz="0" w:space="0" w:color="auto"/>
        <w:left w:val="none" w:sz="0" w:space="0" w:color="auto"/>
        <w:bottom w:val="none" w:sz="0" w:space="0" w:color="auto"/>
        <w:right w:val="none" w:sz="0" w:space="0" w:color="auto"/>
      </w:divBdr>
      <w:divsChild>
        <w:div w:id="1060833119">
          <w:marLeft w:val="0"/>
          <w:marRight w:val="0"/>
          <w:marTop w:val="0"/>
          <w:marBottom w:val="0"/>
          <w:divBdr>
            <w:top w:val="none" w:sz="0" w:space="0" w:color="auto"/>
            <w:left w:val="none" w:sz="0" w:space="0" w:color="auto"/>
            <w:bottom w:val="none" w:sz="0" w:space="0" w:color="auto"/>
            <w:right w:val="none" w:sz="0" w:space="0" w:color="auto"/>
          </w:divBdr>
          <w:divsChild>
            <w:div w:id="1117485910">
              <w:marLeft w:val="0"/>
              <w:marRight w:val="0"/>
              <w:marTop w:val="0"/>
              <w:marBottom w:val="0"/>
              <w:divBdr>
                <w:top w:val="none" w:sz="0" w:space="0" w:color="auto"/>
                <w:left w:val="none" w:sz="0" w:space="0" w:color="auto"/>
                <w:bottom w:val="none" w:sz="0" w:space="0" w:color="auto"/>
                <w:right w:val="none" w:sz="0" w:space="0" w:color="auto"/>
              </w:divBdr>
              <w:divsChild>
                <w:div w:id="1780904813">
                  <w:marLeft w:val="0"/>
                  <w:marRight w:val="0"/>
                  <w:marTop w:val="0"/>
                  <w:marBottom w:val="0"/>
                  <w:divBdr>
                    <w:top w:val="none" w:sz="0" w:space="0" w:color="auto"/>
                    <w:left w:val="none" w:sz="0" w:space="0" w:color="auto"/>
                    <w:bottom w:val="none" w:sz="0" w:space="0" w:color="auto"/>
                    <w:right w:val="none" w:sz="0" w:space="0" w:color="auto"/>
                  </w:divBdr>
                  <w:divsChild>
                    <w:div w:id="794493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2270879">
      <w:bodyDiv w:val="1"/>
      <w:marLeft w:val="0"/>
      <w:marRight w:val="0"/>
      <w:marTop w:val="0"/>
      <w:marBottom w:val="0"/>
      <w:divBdr>
        <w:top w:val="none" w:sz="0" w:space="0" w:color="auto"/>
        <w:left w:val="none" w:sz="0" w:space="0" w:color="auto"/>
        <w:bottom w:val="none" w:sz="0" w:space="0" w:color="auto"/>
        <w:right w:val="none" w:sz="0" w:space="0" w:color="auto"/>
      </w:divBdr>
      <w:divsChild>
        <w:div w:id="1478261988">
          <w:marLeft w:val="0"/>
          <w:marRight w:val="0"/>
          <w:marTop w:val="0"/>
          <w:marBottom w:val="0"/>
          <w:divBdr>
            <w:top w:val="none" w:sz="0" w:space="0" w:color="auto"/>
            <w:left w:val="none" w:sz="0" w:space="0" w:color="auto"/>
            <w:bottom w:val="none" w:sz="0" w:space="0" w:color="auto"/>
            <w:right w:val="none" w:sz="0" w:space="0" w:color="auto"/>
          </w:divBdr>
          <w:divsChild>
            <w:div w:id="404382779">
              <w:marLeft w:val="0"/>
              <w:marRight w:val="0"/>
              <w:marTop w:val="0"/>
              <w:marBottom w:val="0"/>
              <w:divBdr>
                <w:top w:val="none" w:sz="0" w:space="0" w:color="auto"/>
                <w:left w:val="none" w:sz="0" w:space="0" w:color="auto"/>
                <w:bottom w:val="none" w:sz="0" w:space="0" w:color="auto"/>
                <w:right w:val="none" w:sz="0" w:space="0" w:color="auto"/>
              </w:divBdr>
              <w:divsChild>
                <w:div w:id="1981228045">
                  <w:marLeft w:val="0"/>
                  <w:marRight w:val="0"/>
                  <w:marTop w:val="0"/>
                  <w:marBottom w:val="0"/>
                  <w:divBdr>
                    <w:top w:val="none" w:sz="0" w:space="0" w:color="auto"/>
                    <w:left w:val="none" w:sz="0" w:space="0" w:color="auto"/>
                    <w:bottom w:val="none" w:sz="0" w:space="0" w:color="auto"/>
                    <w:right w:val="none" w:sz="0" w:space="0" w:color="auto"/>
                  </w:divBdr>
                  <w:divsChild>
                    <w:div w:id="144441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2971982">
      <w:bodyDiv w:val="1"/>
      <w:marLeft w:val="240"/>
      <w:marRight w:val="240"/>
      <w:marTop w:val="240"/>
      <w:marBottom w:val="60"/>
      <w:divBdr>
        <w:top w:val="none" w:sz="0" w:space="0" w:color="auto"/>
        <w:left w:val="none" w:sz="0" w:space="0" w:color="auto"/>
        <w:bottom w:val="none" w:sz="0" w:space="0" w:color="auto"/>
        <w:right w:val="none" w:sz="0" w:space="0" w:color="auto"/>
      </w:divBdr>
      <w:divsChild>
        <w:div w:id="241991338">
          <w:marLeft w:val="0"/>
          <w:marRight w:val="0"/>
          <w:marTop w:val="0"/>
          <w:marBottom w:val="0"/>
          <w:divBdr>
            <w:top w:val="none" w:sz="0" w:space="0" w:color="auto"/>
            <w:left w:val="none" w:sz="0" w:space="0" w:color="auto"/>
            <w:bottom w:val="none" w:sz="0" w:space="0" w:color="auto"/>
            <w:right w:val="none" w:sz="0" w:space="0" w:color="auto"/>
          </w:divBdr>
        </w:div>
        <w:div w:id="1529029517">
          <w:marLeft w:val="0"/>
          <w:marRight w:val="0"/>
          <w:marTop w:val="0"/>
          <w:marBottom w:val="0"/>
          <w:divBdr>
            <w:top w:val="none" w:sz="0" w:space="0" w:color="auto"/>
            <w:left w:val="none" w:sz="0" w:space="0" w:color="auto"/>
            <w:bottom w:val="none" w:sz="0" w:space="0" w:color="auto"/>
            <w:right w:val="none" w:sz="0" w:space="0" w:color="auto"/>
          </w:divBdr>
        </w:div>
      </w:divsChild>
    </w:div>
    <w:div w:id="1692948515">
      <w:bodyDiv w:val="1"/>
      <w:marLeft w:val="0"/>
      <w:marRight w:val="0"/>
      <w:marTop w:val="0"/>
      <w:marBottom w:val="0"/>
      <w:divBdr>
        <w:top w:val="none" w:sz="0" w:space="0" w:color="auto"/>
        <w:left w:val="none" w:sz="0" w:space="0" w:color="auto"/>
        <w:bottom w:val="none" w:sz="0" w:space="0" w:color="auto"/>
        <w:right w:val="none" w:sz="0" w:space="0" w:color="auto"/>
      </w:divBdr>
    </w:div>
    <w:div w:id="1713187513">
      <w:bodyDiv w:val="1"/>
      <w:marLeft w:val="0"/>
      <w:marRight w:val="0"/>
      <w:marTop w:val="0"/>
      <w:marBottom w:val="0"/>
      <w:divBdr>
        <w:top w:val="none" w:sz="0" w:space="0" w:color="auto"/>
        <w:left w:val="none" w:sz="0" w:space="0" w:color="auto"/>
        <w:bottom w:val="none" w:sz="0" w:space="0" w:color="auto"/>
        <w:right w:val="none" w:sz="0" w:space="0" w:color="auto"/>
      </w:divBdr>
      <w:divsChild>
        <w:div w:id="1426456996">
          <w:marLeft w:val="0"/>
          <w:marRight w:val="0"/>
          <w:marTop w:val="0"/>
          <w:marBottom w:val="0"/>
          <w:divBdr>
            <w:top w:val="none" w:sz="0" w:space="0" w:color="auto"/>
            <w:left w:val="none" w:sz="0" w:space="0" w:color="auto"/>
            <w:bottom w:val="none" w:sz="0" w:space="0" w:color="auto"/>
            <w:right w:val="none" w:sz="0" w:space="0" w:color="auto"/>
          </w:divBdr>
          <w:divsChild>
            <w:div w:id="1498420588">
              <w:marLeft w:val="0"/>
              <w:marRight w:val="0"/>
              <w:marTop w:val="0"/>
              <w:marBottom w:val="0"/>
              <w:divBdr>
                <w:top w:val="none" w:sz="0" w:space="0" w:color="auto"/>
                <w:left w:val="none" w:sz="0" w:space="0" w:color="auto"/>
                <w:bottom w:val="none" w:sz="0" w:space="0" w:color="auto"/>
                <w:right w:val="none" w:sz="0" w:space="0" w:color="auto"/>
              </w:divBdr>
              <w:divsChild>
                <w:div w:id="109591168">
                  <w:marLeft w:val="0"/>
                  <w:marRight w:val="0"/>
                  <w:marTop w:val="0"/>
                  <w:marBottom w:val="0"/>
                  <w:divBdr>
                    <w:top w:val="none" w:sz="0" w:space="0" w:color="auto"/>
                    <w:left w:val="none" w:sz="0" w:space="0" w:color="auto"/>
                    <w:bottom w:val="none" w:sz="0" w:space="0" w:color="auto"/>
                    <w:right w:val="none" w:sz="0" w:space="0" w:color="auto"/>
                  </w:divBdr>
                  <w:divsChild>
                    <w:div w:id="198249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8964651">
      <w:bodyDiv w:val="1"/>
      <w:marLeft w:val="0"/>
      <w:marRight w:val="0"/>
      <w:marTop w:val="0"/>
      <w:marBottom w:val="0"/>
      <w:divBdr>
        <w:top w:val="none" w:sz="0" w:space="0" w:color="auto"/>
        <w:left w:val="none" w:sz="0" w:space="0" w:color="auto"/>
        <w:bottom w:val="none" w:sz="0" w:space="0" w:color="auto"/>
        <w:right w:val="none" w:sz="0" w:space="0" w:color="auto"/>
      </w:divBdr>
      <w:divsChild>
        <w:div w:id="425922877">
          <w:marLeft w:val="0"/>
          <w:marRight w:val="0"/>
          <w:marTop w:val="0"/>
          <w:marBottom w:val="0"/>
          <w:divBdr>
            <w:top w:val="none" w:sz="0" w:space="0" w:color="auto"/>
            <w:left w:val="none" w:sz="0" w:space="0" w:color="auto"/>
            <w:bottom w:val="none" w:sz="0" w:space="0" w:color="auto"/>
            <w:right w:val="none" w:sz="0" w:space="0" w:color="auto"/>
          </w:divBdr>
          <w:divsChild>
            <w:div w:id="514272793">
              <w:marLeft w:val="0"/>
              <w:marRight w:val="0"/>
              <w:marTop w:val="0"/>
              <w:marBottom w:val="0"/>
              <w:divBdr>
                <w:top w:val="none" w:sz="0" w:space="0" w:color="auto"/>
                <w:left w:val="none" w:sz="0" w:space="0" w:color="auto"/>
                <w:bottom w:val="none" w:sz="0" w:space="0" w:color="auto"/>
                <w:right w:val="none" w:sz="0" w:space="0" w:color="auto"/>
              </w:divBdr>
              <w:divsChild>
                <w:div w:id="543059876">
                  <w:marLeft w:val="0"/>
                  <w:marRight w:val="0"/>
                  <w:marTop w:val="0"/>
                  <w:marBottom w:val="0"/>
                  <w:divBdr>
                    <w:top w:val="none" w:sz="0" w:space="0" w:color="auto"/>
                    <w:left w:val="none" w:sz="0" w:space="0" w:color="auto"/>
                    <w:bottom w:val="none" w:sz="0" w:space="0" w:color="auto"/>
                    <w:right w:val="none" w:sz="0" w:space="0" w:color="auto"/>
                  </w:divBdr>
                  <w:divsChild>
                    <w:div w:id="182689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0155321">
      <w:bodyDiv w:val="1"/>
      <w:marLeft w:val="0"/>
      <w:marRight w:val="0"/>
      <w:marTop w:val="0"/>
      <w:marBottom w:val="0"/>
      <w:divBdr>
        <w:top w:val="none" w:sz="0" w:space="0" w:color="auto"/>
        <w:left w:val="none" w:sz="0" w:space="0" w:color="auto"/>
        <w:bottom w:val="none" w:sz="0" w:space="0" w:color="auto"/>
        <w:right w:val="none" w:sz="0" w:space="0" w:color="auto"/>
      </w:divBdr>
      <w:divsChild>
        <w:div w:id="1307123333">
          <w:marLeft w:val="0"/>
          <w:marRight w:val="0"/>
          <w:marTop w:val="0"/>
          <w:marBottom w:val="0"/>
          <w:divBdr>
            <w:top w:val="none" w:sz="0" w:space="0" w:color="auto"/>
            <w:left w:val="none" w:sz="0" w:space="0" w:color="auto"/>
            <w:bottom w:val="none" w:sz="0" w:space="0" w:color="auto"/>
            <w:right w:val="none" w:sz="0" w:space="0" w:color="auto"/>
          </w:divBdr>
          <w:divsChild>
            <w:div w:id="47382553">
              <w:marLeft w:val="0"/>
              <w:marRight w:val="0"/>
              <w:marTop w:val="0"/>
              <w:marBottom w:val="0"/>
              <w:divBdr>
                <w:top w:val="none" w:sz="0" w:space="0" w:color="auto"/>
                <w:left w:val="none" w:sz="0" w:space="0" w:color="auto"/>
                <w:bottom w:val="none" w:sz="0" w:space="0" w:color="auto"/>
                <w:right w:val="none" w:sz="0" w:space="0" w:color="auto"/>
              </w:divBdr>
              <w:divsChild>
                <w:div w:id="1413237537">
                  <w:marLeft w:val="0"/>
                  <w:marRight w:val="0"/>
                  <w:marTop w:val="0"/>
                  <w:marBottom w:val="0"/>
                  <w:divBdr>
                    <w:top w:val="none" w:sz="0" w:space="0" w:color="auto"/>
                    <w:left w:val="none" w:sz="0" w:space="0" w:color="auto"/>
                    <w:bottom w:val="none" w:sz="0" w:space="0" w:color="auto"/>
                    <w:right w:val="none" w:sz="0" w:space="0" w:color="auto"/>
                  </w:divBdr>
                  <w:divsChild>
                    <w:div w:id="2099906282">
                      <w:marLeft w:val="0"/>
                      <w:marRight w:val="0"/>
                      <w:marTop w:val="0"/>
                      <w:marBottom w:val="0"/>
                      <w:divBdr>
                        <w:top w:val="none" w:sz="0" w:space="0" w:color="auto"/>
                        <w:left w:val="none" w:sz="0" w:space="0" w:color="auto"/>
                        <w:bottom w:val="none" w:sz="0" w:space="0" w:color="auto"/>
                        <w:right w:val="none" w:sz="0" w:space="0" w:color="auto"/>
                      </w:divBdr>
                    </w:div>
                  </w:divsChild>
                </w:div>
                <w:div w:id="1659842725">
                  <w:marLeft w:val="0"/>
                  <w:marRight w:val="0"/>
                  <w:marTop w:val="0"/>
                  <w:marBottom w:val="0"/>
                  <w:divBdr>
                    <w:top w:val="none" w:sz="0" w:space="0" w:color="auto"/>
                    <w:left w:val="none" w:sz="0" w:space="0" w:color="auto"/>
                    <w:bottom w:val="none" w:sz="0" w:space="0" w:color="auto"/>
                    <w:right w:val="none" w:sz="0" w:space="0" w:color="auto"/>
                  </w:divBdr>
                  <w:divsChild>
                    <w:div w:id="1269040915">
                      <w:marLeft w:val="0"/>
                      <w:marRight w:val="0"/>
                      <w:marTop w:val="0"/>
                      <w:marBottom w:val="0"/>
                      <w:divBdr>
                        <w:top w:val="none" w:sz="0" w:space="0" w:color="auto"/>
                        <w:left w:val="none" w:sz="0" w:space="0" w:color="auto"/>
                        <w:bottom w:val="none" w:sz="0" w:space="0" w:color="auto"/>
                        <w:right w:val="none" w:sz="0" w:space="0" w:color="auto"/>
                      </w:divBdr>
                    </w:div>
                  </w:divsChild>
                </w:div>
                <w:div w:id="1905866841">
                  <w:marLeft w:val="0"/>
                  <w:marRight w:val="0"/>
                  <w:marTop w:val="0"/>
                  <w:marBottom w:val="0"/>
                  <w:divBdr>
                    <w:top w:val="none" w:sz="0" w:space="0" w:color="auto"/>
                    <w:left w:val="none" w:sz="0" w:space="0" w:color="auto"/>
                    <w:bottom w:val="none" w:sz="0" w:space="0" w:color="auto"/>
                    <w:right w:val="none" w:sz="0" w:space="0" w:color="auto"/>
                  </w:divBdr>
                  <w:divsChild>
                    <w:div w:id="998506912">
                      <w:marLeft w:val="0"/>
                      <w:marRight w:val="0"/>
                      <w:marTop w:val="0"/>
                      <w:marBottom w:val="0"/>
                      <w:divBdr>
                        <w:top w:val="none" w:sz="0" w:space="0" w:color="auto"/>
                        <w:left w:val="none" w:sz="0" w:space="0" w:color="auto"/>
                        <w:bottom w:val="none" w:sz="0" w:space="0" w:color="auto"/>
                        <w:right w:val="none" w:sz="0" w:space="0" w:color="auto"/>
                      </w:divBdr>
                    </w:div>
                  </w:divsChild>
                </w:div>
                <w:div w:id="1819180391">
                  <w:marLeft w:val="0"/>
                  <w:marRight w:val="0"/>
                  <w:marTop w:val="0"/>
                  <w:marBottom w:val="0"/>
                  <w:divBdr>
                    <w:top w:val="none" w:sz="0" w:space="0" w:color="auto"/>
                    <w:left w:val="none" w:sz="0" w:space="0" w:color="auto"/>
                    <w:bottom w:val="none" w:sz="0" w:space="0" w:color="auto"/>
                    <w:right w:val="none" w:sz="0" w:space="0" w:color="auto"/>
                  </w:divBdr>
                  <w:divsChild>
                    <w:div w:id="908273379">
                      <w:marLeft w:val="0"/>
                      <w:marRight w:val="0"/>
                      <w:marTop w:val="0"/>
                      <w:marBottom w:val="0"/>
                      <w:divBdr>
                        <w:top w:val="none" w:sz="0" w:space="0" w:color="auto"/>
                        <w:left w:val="none" w:sz="0" w:space="0" w:color="auto"/>
                        <w:bottom w:val="none" w:sz="0" w:space="0" w:color="auto"/>
                        <w:right w:val="none" w:sz="0" w:space="0" w:color="auto"/>
                      </w:divBdr>
                    </w:div>
                  </w:divsChild>
                </w:div>
                <w:div w:id="2021422565">
                  <w:marLeft w:val="0"/>
                  <w:marRight w:val="0"/>
                  <w:marTop w:val="0"/>
                  <w:marBottom w:val="0"/>
                  <w:divBdr>
                    <w:top w:val="none" w:sz="0" w:space="0" w:color="auto"/>
                    <w:left w:val="none" w:sz="0" w:space="0" w:color="auto"/>
                    <w:bottom w:val="none" w:sz="0" w:space="0" w:color="auto"/>
                    <w:right w:val="none" w:sz="0" w:space="0" w:color="auto"/>
                  </w:divBdr>
                  <w:divsChild>
                    <w:div w:id="293218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3236573">
      <w:bodyDiv w:val="1"/>
      <w:marLeft w:val="0"/>
      <w:marRight w:val="0"/>
      <w:marTop w:val="0"/>
      <w:marBottom w:val="0"/>
      <w:divBdr>
        <w:top w:val="none" w:sz="0" w:space="0" w:color="auto"/>
        <w:left w:val="none" w:sz="0" w:space="0" w:color="auto"/>
        <w:bottom w:val="none" w:sz="0" w:space="0" w:color="auto"/>
        <w:right w:val="none" w:sz="0" w:space="0" w:color="auto"/>
      </w:divBdr>
      <w:divsChild>
        <w:div w:id="107242252">
          <w:marLeft w:val="0"/>
          <w:marRight w:val="0"/>
          <w:marTop w:val="0"/>
          <w:marBottom w:val="0"/>
          <w:divBdr>
            <w:top w:val="none" w:sz="0" w:space="0" w:color="auto"/>
            <w:left w:val="none" w:sz="0" w:space="0" w:color="auto"/>
            <w:bottom w:val="none" w:sz="0" w:space="0" w:color="auto"/>
            <w:right w:val="none" w:sz="0" w:space="0" w:color="auto"/>
          </w:divBdr>
          <w:divsChild>
            <w:div w:id="1368919268">
              <w:marLeft w:val="0"/>
              <w:marRight w:val="0"/>
              <w:marTop w:val="0"/>
              <w:marBottom w:val="0"/>
              <w:divBdr>
                <w:top w:val="none" w:sz="0" w:space="0" w:color="auto"/>
                <w:left w:val="none" w:sz="0" w:space="0" w:color="auto"/>
                <w:bottom w:val="none" w:sz="0" w:space="0" w:color="auto"/>
                <w:right w:val="none" w:sz="0" w:space="0" w:color="auto"/>
              </w:divBdr>
              <w:divsChild>
                <w:div w:id="874348148">
                  <w:marLeft w:val="0"/>
                  <w:marRight w:val="0"/>
                  <w:marTop w:val="0"/>
                  <w:marBottom w:val="0"/>
                  <w:divBdr>
                    <w:top w:val="none" w:sz="0" w:space="0" w:color="auto"/>
                    <w:left w:val="none" w:sz="0" w:space="0" w:color="auto"/>
                    <w:bottom w:val="none" w:sz="0" w:space="0" w:color="auto"/>
                    <w:right w:val="none" w:sz="0" w:space="0" w:color="auto"/>
                  </w:divBdr>
                  <w:divsChild>
                    <w:div w:id="174129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398783">
      <w:bodyDiv w:val="1"/>
      <w:marLeft w:val="0"/>
      <w:marRight w:val="0"/>
      <w:marTop w:val="0"/>
      <w:marBottom w:val="0"/>
      <w:divBdr>
        <w:top w:val="none" w:sz="0" w:space="0" w:color="auto"/>
        <w:left w:val="none" w:sz="0" w:space="0" w:color="auto"/>
        <w:bottom w:val="none" w:sz="0" w:space="0" w:color="auto"/>
        <w:right w:val="none" w:sz="0" w:space="0" w:color="auto"/>
      </w:divBdr>
    </w:div>
    <w:div w:id="1750039606">
      <w:bodyDiv w:val="1"/>
      <w:marLeft w:val="0"/>
      <w:marRight w:val="0"/>
      <w:marTop w:val="0"/>
      <w:marBottom w:val="0"/>
      <w:divBdr>
        <w:top w:val="none" w:sz="0" w:space="0" w:color="auto"/>
        <w:left w:val="none" w:sz="0" w:space="0" w:color="auto"/>
        <w:bottom w:val="none" w:sz="0" w:space="0" w:color="auto"/>
        <w:right w:val="none" w:sz="0" w:space="0" w:color="auto"/>
      </w:divBdr>
    </w:div>
    <w:div w:id="1752047302">
      <w:bodyDiv w:val="1"/>
      <w:marLeft w:val="0"/>
      <w:marRight w:val="0"/>
      <w:marTop w:val="0"/>
      <w:marBottom w:val="0"/>
      <w:divBdr>
        <w:top w:val="none" w:sz="0" w:space="0" w:color="auto"/>
        <w:left w:val="none" w:sz="0" w:space="0" w:color="auto"/>
        <w:bottom w:val="none" w:sz="0" w:space="0" w:color="auto"/>
        <w:right w:val="none" w:sz="0" w:space="0" w:color="auto"/>
      </w:divBdr>
    </w:div>
    <w:div w:id="1753161641">
      <w:bodyDiv w:val="1"/>
      <w:marLeft w:val="0"/>
      <w:marRight w:val="0"/>
      <w:marTop w:val="0"/>
      <w:marBottom w:val="0"/>
      <w:divBdr>
        <w:top w:val="none" w:sz="0" w:space="0" w:color="auto"/>
        <w:left w:val="none" w:sz="0" w:space="0" w:color="auto"/>
        <w:bottom w:val="none" w:sz="0" w:space="0" w:color="auto"/>
        <w:right w:val="none" w:sz="0" w:space="0" w:color="auto"/>
      </w:divBdr>
    </w:div>
    <w:div w:id="1755738786">
      <w:bodyDiv w:val="1"/>
      <w:marLeft w:val="0"/>
      <w:marRight w:val="0"/>
      <w:marTop w:val="0"/>
      <w:marBottom w:val="0"/>
      <w:divBdr>
        <w:top w:val="none" w:sz="0" w:space="0" w:color="auto"/>
        <w:left w:val="none" w:sz="0" w:space="0" w:color="auto"/>
        <w:bottom w:val="none" w:sz="0" w:space="0" w:color="auto"/>
        <w:right w:val="none" w:sz="0" w:space="0" w:color="auto"/>
      </w:divBdr>
    </w:div>
    <w:div w:id="1770347980">
      <w:bodyDiv w:val="1"/>
      <w:marLeft w:val="0"/>
      <w:marRight w:val="0"/>
      <w:marTop w:val="0"/>
      <w:marBottom w:val="0"/>
      <w:divBdr>
        <w:top w:val="none" w:sz="0" w:space="0" w:color="auto"/>
        <w:left w:val="none" w:sz="0" w:space="0" w:color="auto"/>
        <w:bottom w:val="none" w:sz="0" w:space="0" w:color="auto"/>
        <w:right w:val="none" w:sz="0" w:space="0" w:color="auto"/>
      </w:divBdr>
      <w:divsChild>
        <w:div w:id="258368271">
          <w:marLeft w:val="0"/>
          <w:marRight w:val="0"/>
          <w:marTop w:val="0"/>
          <w:marBottom w:val="0"/>
          <w:divBdr>
            <w:top w:val="none" w:sz="0" w:space="0" w:color="auto"/>
            <w:left w:val="none" w:sz="0" w:space="0" w:color="auto"/>
            <w:bottom w:val="none" w:sz="0" w:space="0" w:color="auto"/>
            <w:right w:val="none" w:sz="0" w:space="0" w:color="auto"/>
          </w:divBdr>
          <w:divsChild>
            <w:div w:id="413205955">
              <w:marLeft w:val="0"/>
              <w:marRight w:val="0"/>
              <w:marTop w:val="0"/>
              <w:marBottom w:val="0"/>
              <w:divBdr>
                <w:top w:val="none" w:sz="0" w:space="0" w:color="auto"/>
                <w:left w:val="none" w:sz="0" w:space="0" w:color="auto"/>
                <w:bottom w:val="none" w:sz="0" w:space="0" w:color="auto"/>
                <w:right w:val="none" w:sz="0" w:space="0" w:color="auto"/>
              </w:divBdr>
              <w:divsChild>
                <w:div w:id="832259000">
                  <w:marLeft w:val="0"/>
                  <w:marRight w:val="0"/>
                  <w:marTop w:val="0"/>
                  <w:marBottom w:val="0"/>
                  <w:divBdr>
                    <w:top w:val="none" w:sz="0" w:space="0" w:color="auto"/>
                    <w:left w:val="none" w:sz="0" w:space="0" w:color="auto"/>
                    <w:bottom w:val="none" w:sz="0" w:space="0" w:color="auto"/>
                    <w:right w:val="none" w:sz="0" w:space="0" w:color="auto"/>
                  </w:divBdr>
                  <w:divsChild>
                    <w:div w:id="1719353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0567345">
      <w:bodyDiv w:val="1"/>
      <w:marLeft w:val="0"/>
      <w:marRight w:val="0"/>
      <w:marTop w:val="0"/>
      <w:marBottom w:val="0"/>
      <w:divBdr>
        <w:top w:val="none" w:sz="0" w:space="0" w:color="auto"/>
        <w:left w:val="none" w:sz="0" w:space="0" w:color="auto"/>
        <w:bottom w:val="none" w:sz="0" w:space="0" w:color="auto"/>
        <w:right w:val="none" w:sz="0" w:space="0" w:color="auto"/>
      </w:divBdr>
    </w:div>
    <w:div w:id="1798908346">
      <w:bodyDiv w:val="1"/>
      <w:marLeft w:val="0"/>
      <w:marRight w:val="0"/>
      <w:marTop w:val="0"/>
      <w:marBottom w:val="0"/>
      <w:divBdr>
        <w:top w:val="none" w:sz="0" w:space="0" w:color="auto"/>
        <w:left w:val="none" w:sz="0" w:space="0" w:color="auto"/>
        <w:bottom w:val="none" w:sz="0" w:space="0" w:color="auto"/>
        <w:right w:val="none" w:sz="0" w:space="0" w:color="auto"/>
      </w:divBdr>
      <w:divsChild>
        <w:div w:id="2035187036">
          <w:marLeft w:val="0"/>
          <w:marRight w:val="0"/>
          <w:marTop w:val="0"/>
          <w:marBottom w:val="0"/>
          <w:divBdr>
            <w:top w:val="none" w:sz="0" w:space="0" w:color="auto"/>
            <w:left w:val="none" w:sz="0" w:space="0" w:color="auto"/>
            <w:bottom w:val="none" w:sz="0" w:space="0" w:color="auto"/>
            <w:right w:val="none" w:sz="0" w:space="0" w:color="auto"/>
          </w:divBdr>
          <w:divsChild>
            <w:div w:id="1325431456">
              <w:marLeft w:val="0"/>
              <w:marRight w:val="0"/>
              <w:marTop w:val="0"/>
              <w:marBottom w:val="0"/>
              <w:divBdr>
                <w:top w:val="none" w:sz="0" w:space="0" w:color="auto"/>
                <w:left w:val="none" w:sz="0" w:space="0" w:color="auto"/>
                <w:bottom w:val="none" w:sz="0" w:space="0" w:color="auto"/>
                <w:right w:val="none" w:sz="0" w:space="0" w:color="auto"/>
              </w:divBdr>
              <w:divsChild>
                <w:div w:id="180357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808887">
      <w:bodyDiv w:val="1"/>
      <w:marLeft w:val="0"/>
      <w:marRight w:val="0"/>
      <w:marTop w:val="0"/>
      <w:marBottom w:val="0"/>
      <w:divBdr>
        <w:top w:val="none" w:sz="0" w:space="0" w:color="auto"/>
        <w:left w:val="none" w:sz="0" w:space="0" w:color="auto"/>
        <w:bottom w:val="none" w:sz="0" w:space="0" w:color="auto"/>
        <w:right w:val="none" w:sz="0" w:space="0" w:color="auto"/>
      </w:divBdr>
    </w:div>
    <w:div w:id="1820227373">
      <w:bodyDiv w:val="1"/>
      <w:marLeft w:val="0"/>
      <w:marRight w:val="0"/>
      <w:marTop w:val="0"/>
      <w:marBottom w:val="0"/>
      <w:divBdr>
        <w:top w:val="none" w:sz="0" w:space="0" w:color="auto"/>
        <w:left w:val="none" w:sz="0" w:space="0" w:color="auto"/>
        <w:bottom w:val="none" w:sz="0" w:space="0" w:color="auto"/>
        <w:right w:val="none" w:sz="0" w:space="0" w:color="auto"/>
      </w:divBdr>
    </w:div>
    <w:div w:id="1820532266">
      <w:bodyDiv w:val="1"/>
      <w:marLeft w:val="0"/>
      <w:marRight w:val="0"/>
      <w:marTop w:val="0"/>
      <w:marBottom w:val="0"/>
      <w:divBdr>
        <w:top w:val="none" w:sz="0" w:space="0" w:color="auto"/>
        <w:left w:val="none" w:sz="0" w:space="0" w:color="auto"/>
        <w:bottom w:val="none" w:sz="0" w:space="0" w:color="auto"/>
        <w:right w:val="none" w:sz="0" w:space="0" w:color="auto"/>
      </w:divBdr>
      <w:divsChild>
        <w:div w:id="1035497296">
          <w:marLeft w:val="0"/>
          <w:marRight w:val="0"/>
          <w:marTop w:val="0"/>
          <w:marBottom w:val="0"/>
          <w:divBdr>
            <w:top w:val="none" w:sz="0" w:space="0" w:color="auto"/>
            <w:left w:val="none" w:sz="0" w:space="0" w:color="auto"/>
            <w:bottom w:val="none" w:sz="0" w:space="0" w:color="auto"/>
            <w:right w:val="none" w:sz="0" w:space="0" w:color="auto"/>
          </w:divBdr>
          <w:divsChild>
            <w:div w:id="54596047">
              <w:marLeft w:val="0"/>
              <w:marRight w:val="0"/>
              <w:marTop w:val="0"/>
              <w:marBottom w:val="0"/>
              <w:divBdr>
                <w:top w:val="none" w:sz="0" w:space="0" w:color="auto"/>
                <w:left w:val="none" w:sz="0" w:space="0" w:color="auto"/>
                <w:bottom w:val="none" w:sz="0" w:space="0" w:color="auto"/>
                <w:right w:val="none" w:sz="0" w:space="0" w:color="auto"/>
              </w:divBdr>
              <w:divsChild>
                <w:div w:id="1726836694">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830946123">
      <w:bodyDiv w:val="1"/>
      <w:marLeft w:val="0"/>
      <w:marRight w:val="0"/>
      <w:marTop w:val="0"/>
      <w:marBottom w:val="0"/>
      <w:divBdr>
        <w:top w:val="none" w:sz="0" w:space="0" w:color="auto"/>
        <w:left w:val="none" w:sz="0" w:space="0" w:color="auto"/>
        <w:bottom w:val="none" w:sz="0" w:space="0" w:color="auto"/>
        <w:right w:val="none" w:sz="0" w:space="0" w:color="auto"/>
      </w:divBdr>
      <w:divsChild>
        <w:div w:id="1687442758">
          <w:marLeft w:val="0"/>
          <w:marRight w:val="0"/>
          <w:marTop w:val="0"/>
          <w:marBottom w:val="0"/>
          <w:divBdr>
            <w:top w:val="none" w:sz="0" w:space="0" w:color="auto"/>
            <w:left w:val="none" w:sz="0" w:space="0" w:color="auto"/>
            <w:bottom w:val="none" w:sz="0" w:space="0" w:color="auto"/>
            <w:right w:val="none" w:sz="0" w:space="0" w:color="auto"/>
          </w:divBdr>
          <w:divsChild>
            <w:div w:id="1203445494">
              <w:marLeft w:val="0"/>
              <w:marRight w:val="0"/>
              <w:marTop w:val="0"/>
              <w:marBottom w:val="0"/>
              <w:divBdr>
                <w:top w:val="none" w:sz="0" w:space="0" w:color="auto"/>
                <w:left w:val="none" w:sz="0" w:space="0" w:color="auto"/>
                <w:bottom w:val="none" w:sz="0" w:space="0" w:color="auto"/>
                <w:right w:val="none" w:sz="0" w:space="0" w:color="auto"/>
              </w:divBdr>
              <w:divsChild>
                <w:div w:id="152085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357587">
      <w:bodyDiv w:val="1"/>
      <w:marLeft w:val="0"/>
      <w:marRight w:val="0"/>
      <w:marTop w:val="0"/>
      <w:marBottom w:val="0"/>
      <w:divBdr>
        <w:top w:val="none" w:sz="0" w:space="0" w:color="auto"/>
        <w:left w:val="none" w:sz="0" w:space="0" w:color="auto"/>
        <w:bottom w:val="none" w:sz="0" w:space="0" w:color="auto"/>
        <w:right w:val="none" w:sz="0" w:space="0" w:color="auto"/>
      </w:divBdr>
      <w:divsChild>
        <w:div w:id="337998468">
          <w:marLeft w:val="0"/>
          <w:marRight w:val="0"/>
          <w:marTop w:val="0"/>
          <w:marBottom w:val="0"/>
          <w:divBdr>
            <w:top w:val="none" w:sz="0" w:space="0" w:color="auto"/>
            <w:left w:val="none" w:sz="0" w:space="0" w:color="auto"/>
            <w:bottom w:val="none" w:sz="0" w:space="0" w:color="auto"/>
            <w:right w:val="none" w:sz="0" w:space="0" w:color="auto"/>
          </w:divBdr>
          <w:divsChild>
            <w:div w:id="31730815">
              <w:marLeft w:val="0"/>
              <w:marRight w:val="0"/>
              <w:marTop w:val="0"/>
              <w:marBottom w:val="0"/>
              <w:divBdr>
                <w:top w:val="none" w:sz="0" w:space="0" w:color="auto"/>
                <w:left w:val="none" w:sz="0" w:space="0" w:color="auto"/>
                <w:bottom w:val="none" w:sz="0" w:space="0" w:color="auto"/>
                <w:right w:val="none" w:sz="0" w:space="0" w:color="auto"/>
              </w:divBdr>
              <w:divsChild>
                <w:div w:id="302585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424823">
      <w:bodyDiv w:val="1"/>
      <w:marLeft w:val="0"/>
      <w:marRight w:val="0"/>
      <w:marTop w:val="0"/>
      <w:marBottom w:val="0"/>
      <w:divBdr>
        <w:top w:val="none" w:sz="0" w:space="0" w:color="auto"/>
        <w:left w:val="none" w:sz="0" w:space="0" w:color="auto"/>
        <w:bottom w:val="none" w:sz="0" w:space="0" w:color="auto"/>
        <w:right w:val="none" w:sz="0" w:space="0" w:color="auto"/>
      </w:divBdr>
    </w:div>
    <w:div w:id="1846550154">
      <w:bodyDiv w:val="1"/>
      <w:marLeft w:val="0"/>
      <w:marRight w:val="0"/>
      <w:marTop w:val="0"/>
      <w:marBottom w:val="0"/>
      <w:divBdr>
        <w:top w:val="none" w:sz="0" w:space="0" w:color="auto"/>
        <w:left w:val="none" w:sz="0" w:space="0" w:color="auto"/>
        <w:bottom w:val="none" w:sz="0" w:space="0" w:color="auto"/>
        <w:right w:val="none" w:sz="0" w:space="0" w:color="auto"/>
      </w:divBdr>
    </w:div>
    <w:div w:id="1858956235">
      <w:bodyDiv w:val="1"/>
      <w:marLeft w:val="0"/>
      <w:marRight w:val="0"/>
      <w:marTop w:val="0"/>
      <w:marBottom w:val="0"/>
      <w:divBdr>
        <w:top w:val="none" w:sz="0" w:space="0" w:color="auto"/>
        <w:left w:val="none" w:sz="0" w:space="0" w:color="auto"/>
        <w:bottom w:val="none" w:sz="0" w:space="0" w:color="auto"/>
        <w:right w:val="none" w:sz="0" w:space="0" w:color="auto"/>
      </w:divBdr>
      <w:divsChild>
        <w:div w:id="1871071016">
          <w:marLeft w:val="0"/>
          <w:marRight w:val="0"/>
          <w:marTop w:val="0"/>
          <w:marBottom w:val="0"/>
          <w:divBdr>
            <w:top w:val="none" w:sz="0" w:space="0" w:color="auto"/>
            <w:left w:val="none" w:sz="0" w:space="0" w:color="auto"/>
            <w:bottom w:val="none" w:sz="0" w:space="0" w:color="auto"/>
            <w:right w:val="none" w:sz="0" w:space="0" w:color="auto"/>
          </w:divBdr>
          <w:divsChild>
            <w:div w:id="356469354">
              <w:marLeft w:val="0"/>
              <w:marRight w:val="0"/>
              <w:marTop w:val="0"/>
              <w:marBottom w:val="0"/>
              <w:divBdr>
                <w:top w:val="none" w:sz="0" w:space="0" w:color="auto"/>
                <w:left w:val="none" w:sz="0" w:space="0" w:color="auto"/>
                <w:bottom w:val="none" w:sz="0" w:space="0" w:color="auto"/>
                <w:right w:val="none" w:sz="0" w:space="0" w:color="auto"/>
              </w:divBdr>
              <w:divsChild>
                <w:div w:id="1620645586">
                  <w:marLeft w:val="0"/>
                  <w:marRight w:val="0"/>
                  <w:marTop w:val="0"/>
                  <w:marBottom w:val="0"/>
                  <w:divBdr>
                    <w:top w:val="none" w:sz="0" w:space="0" w:color="auto"/>
                    <w:left w:val="none" w:sz="0" w:space="0" w:color="auto"/>
                    <w:bottom w:val="none" w:sz="0" w:space="0" w:color="auto"/>
                    <w:right w:val="none" w:sz="0" w:space="0" w:color="auto"/>
                  </w:divBdr>
                  <w:divsChild>
                    <w:div w:id="37778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5649688">
      <w:bodyDiv w:val="1"/>
      <w:marLeft w:val="0"/>
      <w:marRight w:val="0"/>
      <w:marTop w:val="0"/>
      <w:marBottom w:val="0"/>
      <w:divBdr>
        <w:top w:val="none" w:sz="0" w:space="0" w:color="auto"/>
        <w:left w:val="none" w:sz="0" w:space="0" w:color="auto"/>
        <w:bottom w:val="none" w:sz="0" w:space="0" w:color="auto"/>
        <w:right w:val="none" w:sz="0" w:space="0" w:color="auto"/>
      </w:divBdr>
      <w:divsChild>
        <w:div w:id="1397048071">
          <w:marLeft w:val="0"/>
          <w:marRight w:val="0"/>
          <w:marTop w:val="0"/>
          <w:marBottom w:val="0"/>
          <w:divBdr>
            <w:top w:val="none" w:sz="0" w:space="0" w:color="auto"/>
            <w:left w:val="none" w:sz="0" w:space="0" w:color="auto"/>
            <w:bottom w:val="none" w:sz="0" w:space="0" w:color="auto"/>
            <w:right w:val="none" w:sz="0" w:space="0" w:color="auto"/>
          </w:divBdr>
          <w:divsChild>
            <w:div w:id="1469200030">
              <w:marLeft w:val="0"/>
              <w:marRight w:val="0"/>
              <w:marTop w:val="0"/>
              <w:marBottom w:val="0"/>
              <w:divBdr>
                <w:top w:val="none" w:sz="0" w:space="0" w:color="auto"/>
                <w:left w:val="none" w:sz="0" w:space="0" w:color="auto"/>
                <w:bottom w:val="none" w:sz="0" w:space="0" w:color="auto"/>
                <w:right w:val="none" w:sz="0" w:space="0" w:color="auto"/>
              </w:divBdr>
              <w:divsChild>
                <w:div w:id="329985653">
                  <w:marLeft w:val="0"/>
                  <w:marRight w:val="0"/>
                  <w:marTop w:val="0"/>
                  <w:marBottom w:val="0"/>
                  <w:divBdr>
                    <w:top w:val="none" w:sz="0" w:space="0" w:color="auto"/>
                    <w:left w:val="none" w:sz="0" w:space="0" w:color="auto"/>
                    <w:bottom w:val="none" w:sz="0" w:space="0" w:color="auto"/>
                    <w:right w:val="none" w:sz="0" w:space="0" w:color="auto"/>
                  </w:divBdr>
                  <w:divsChild>
                    <w:div w:id="1121454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7524145">
      <w:bodyDiv w:val="1"/>
      <w:marLeft w:val="0"/>
      <w:marRight w:val="0"/>
      <w:marTop w:val="0"/>
      <w:marBottom w:val="0"/>
      <w:divBdr>
        <w:top w:val="none" w:sz="0" w:space="0" w:color="auto"/>
        <w:left w:val="none" w:sz="0" w:space="0" w:color="auto"/>
        <w:bottom w:val="none" w:sz="0" w:space="0" w:color="auto"/>
        <w:right w:val="none" w:sz="0" w:space="0" w:color="auto"/>
      </w:divBdr>
      <w:divsChild>
        <w:div w:id="483938646">
          <w:marLeft w:val="0"/>
          <w:marRight w:val="0"/>
          <w:marTop w:val="0"/>
          <w:marBottom w:val="0"/>
          <w:divBdr>
            <w:top w:val="none" w:sz="0" w:space="0" w:color="auto"/>
            <w:left w:val="none" w:sz="0" w:space="0" w:color="auto"/>
            <w:bottom w:val="none" w:sz="0" w:space="0" w:color="auto"/>
            <w:right w:val="none" w:sz="0" w:space="0" w:color="auto"/>
          </w:divBdr>
          <w:divsChild>
            <w:div w:id="377823875">
              <w:marLeft w:val="0"/>
              <w:marRight w:val="0"/>
              <w:marTop w:val="0"/>
              <w:marBottom w:val="0"/>
              <w:divBdr>
                <w:top w:val="none" w:sz="0" w:space="0" w:color="auto"/>
                <w:left w:val="none" w:sz="0" w:space="0" w:color="auto"/>
                <w:bottom w:val="none" w:sz="0" w:space="0" w:color="auto"/>
                <w:right w:val="none" w:sz="0" w:space="0" w:color="auto"/>
              </w:divBdr>
              <w:divsChild>
                <w:div w:id="1668826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149566">
      <w:bodyDiv w:val="1"/>
      <w:marLeft w:val="0"/>
      <w:marRight w:val="0"/>
      <w:marTop w:val="0"/>
      <w:marBottom w:val="0"/>
      <w:divBdr>
        <w:top w:val="none" w:sz="0" w:space="0" w:color="auto"/>
        <w:left w:val="none" w:sz="0" w:space="0" w:color="auto"/>
        <w:bottom w:val="none" w:sz="0" w:space="0" w:color="auto"/>
        <w:right w:val="none" w:sz="0" w:space="0" w:color="auto"/>
      </w:divBdr>
    </w:div>
    <w:div w:id="1892762908">
      <w:bodyDiv w:val="1"/>
      <w:marLeft w:val="0"/>
      <w:marRight w:val="0"/>
      <w:marTop w:val="0"/>
      <w:marBottom w:val="0"/>
      <w:divBdr>
        <w:top w:val="none" w:sz="0" w:space="0" w:color="auto"/>
        <w:left w:val="none" w:sz="0" w:space="0" w:color="auto"/>
        <w:bottom w:val="none" w:sz="0" w:space="0" w:color="auto"/>
        <w:right w:val="none" w:sz="0" w:space="0" w:color="auto"/>
      </w:divBdr>
      <w:divsChild>
        <w:div w:id="388497741">
          <w:marLeft w:val="0"/>
          <w:marRight w:val="0"/>
          <w:marTop w:val="0"/>
          <w:marBottom w:val="0"/>
          <w:divBdr>
            <w:top w:val="none" w:sz="0" w:space="0" w:color="auto"/>
            <w:left w:val="none" w:sz="0" w:space="0" w:color="auto"/>
            <w:bottom w:val="none" w:sz="0" w:space="0" w:color="auto"/>
            <w:right w:val="none" w:sz="0" w:space="0" w:color="auto"/>
          </w:divBdr>
          <w:divsChild>
            <w:div w:id="18438124">
              <w:marLeft w:val="0"/>
              <w:marRight w:val="0"/>
              <w:marTop w:val="0"/>
              <w:marBottom w:val="0"/>
              <w:divBdr>
                <w:top w:val="none" w:sz="0" w:space="0" w:color="auto"/>
                <w:left w:val="none" w:sz="0" w:space="0" w:color="auto"/>
                <w:bottom w:val="none" w:sz="0" w:space="0" w:color="auto"/>
                <w:right w:val="none" w:sz="0" w:space="0" w:color="auto"/>
              </w:divBdr>
              <w:divsChild>
                <w:div w:id="1133061650">
                  <w:marLeft w:val="0"/>
                  <w:marRight w:val="0"/>
                  <w:marTop w:val="0"/>
                  <w:marBottom w:val="0"/>
                  <w:divBdr>
                    <w:top w:val="none" w:sz="0" w:space="0" w:color="auto"/>
                    <w:left w:val="none" w:sz="0" w:space="0" w:color="auto"/>
                    <w:bottom w:val="none" w:sz="0" w:space="0" w:color="auto"/>
                    <w:right w:val="none" w:sz="0" w:space="0" w:color="auto"/>
                  </w:divBdr>
                  <w:divsChild>
                    <w:div w:id="55334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8932487">
      <w:bodyDiv w:val="1"/>
      <w:marLeft w:val="0"/>
      <w:marRight w:val="0"/>
      <w:marTop w:val="0"/>
      <w:marBottom w:val="0"/>
      <w:divBdr>
        <w:top w:val="none" w:sz="0" w:space="0" w:color="auto"/>
        <w:left w:val="none" w:sz="0" w:space="0" w:color="auto"/>
        <w:bottom w:val="none" w:sz="0" w:space="0" w:color="auto"/>
        <w:right w:val="none" w:sz="0" w:space="0" w:color="auto"/>
      </w:divBdr>
      <w:divsChild>
        <w:div w:id="1055158306">
          <w:marLeft w:val="0"/>
          <w:marRight w:val="0"/>
          <w:marTop w:val="0"/>
          <w:marBottom w:val="0"/>
          <w:divBdr>
            <w:top w:val="none" w:sz="0" w:space="0" w:color="auto"/>
            <w:left w:val="none" w:sz="0" w:space="0" w:color="auto"/>
            <w:bottom w:val="none" w:sz="0" w:space="0" w:color="auto"/>
            <w:right w:val="none" w:sz="0" w:space="0" w:color="auto"/>
          </w:divBdr>
          <w:divsChild>
            <w:div w:id="726689541">
              <w:marLeft w:val="0"/>
              <w:marRight w:val="0"/>
              <w:marTop w:val="0"/>
              <w:marBottom w:val="0"/>
              <w:divBdr>
                <w:top w:val="none" w:sz="0" w:space="0" w:color="auto"/>
                <w:left w:val="none" w:sz="0" w:space="0" w:color="auto"/>
                <w:bottom w:val="none" w:sz="0" w:space="0" w:color="auto"/>
                <w:right w:val="none" w:sz="0" w:space="0" w:color="auto"/>
              </w:divBdr>
              <w:divsChild>
                <w:div w:id="995912015">
                  <w:marLeft w:val="0"/>
                  <w:marRight w:val="0"/>
                  <w:marTop w:val="0"/>
                  <w:marBottom w:val="0"/>
                  <w:divBdr>
                    <w:top w:val="none" w:sz="0" w:space="0" w:color="auto"/>
                    <w:left w:val="none" w:sz="0" w:space="0" w:color="auto"/>
                    <w:bottom w:val="none" w:sz="0" w:space="0" w:color="auto"/>
                    <w:right w:val="none" w:sz="0" w:space="0" w:color="auto"/>
                  </w:divBdr>
                  <w:divsChild>
                    <w:div w:id="172813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0267240">
      <w:bodyDiv w:val="1"/>
      <w:marLeft w:val="0"/>
      <w:marRight w:val="0"/>
      <w:marTop w:val="0"/>
      <w:marBottom w:val="0"/>
      <w:divBdr>
        <w:top w:val="none" w:sz="0" w:space="0" w:color="auto"/>
        <w:left w:val="none" w:sz="0" w:space="0" w:color="auto"/>
        <w:bottom w:val="none" w:sz="0" w:space="0" w:color="auto"/>
        <w:right w:val="none" w:sz="0" w:space="0" w:color="auto"/>
      </w:divBdr>
    </w:div>
    <w:div w:id="1912079810">
      <w:bodyDiv w:val="1"/>
      <w:marLeft w:val="0"/>
      <w:marRight w:val="0"/>
      <w:marTop w:val="0"/>
      <w:marBottom w:val="0"/>
      <w:divBdr>
        <w:top w:val="none" w:sz="0" w:space="0" w:color="auto"/>
        <w:left w:val="none" w:sz="0" w:space="0" w:color="auto"/>
        <w:bottom w:val="none" w:sz="0" w:space="0" w:color="auto"/>
        <w:right w:val="none" w:sz="0" w:space="0" w:color="auto"/>
      </w:divBdr>
    </w:div>
    <w:div w:id="1918054754">
      <w:bodyDiv w:val="1"/>
      <w:marLeft w:val="0"/>
      <w:marRight w:val="0"/>
      <w:marTop w:val="0"/>
      <w:marBottom w:val="0"/>
      <w:divBdr>
        <w:top w:val="none" w:sz="0" w:space="0" w:color="auto"/>
        <w:left w:val="none" w:sz="0" w:space="0" w:color="auto"/>
        <w:bottom w:val="none" w:sz="0" w:space="0" w:color="auto"/>
        <w:right w:val="none" w:sz="0" w:space="0" w:color="auto"/>
      </w:divBdr>
    </w:div>
    <w:div w:id="1946038355">
      <w:bodyDiv w:val="1"/>
      <w:marLeft w:val="0"/>
      <w:marRight w:val="0"/>
      <w:marTop w:val="0"/>
      <w:marBottom w:val="0"/>
      <w:divBdr>
        <w:top w:val="none" w:sz="0" w:space="0" w:color="auto"/>
        <w:left w:val="none" w:sz="0" w:space="0" w:color="auto"/>
        <w:bottom w:val="none" w:sz="0" w:space="0" w:color="auto"/>
        <w:right w:val="none" w:sz="0" w:space="0" w:color="auto"/>
      </w:divBdr>
      <w:divsChild>
        <w:div w:id="622266795">
          <w:marLeft w:val="0"/>
          <w:marRight w:val="0"/>
          <w:marTop w:val="0"/>
          <w:marBottom w:val="0"/>
          <w:divBdr>
            <w:top w:val="none" w:sz="0" w:space="0" w:color="auto"/>
            <w:left w:val="none" w:sz="0" w:space="0" w:color="auto"/>
            <w:bottom w:val="none" w:sz="0" w:space="0" w:color="auto"/>
            <w:right w:val="none" w:sz="0" w:space="0" w:color="auto"/>
          </w:divBdr>
          <w:divsChild>
            <w:div w:id="246231848">
              <w:marLeft w:val="0"/>
              <w:marRight w:val="0"/>
              <w:marTop w:val="0"/>
              <w:marBottom w:val="0"/>
              <w:divBdr>
                <w:top w:val="none" w:sz="0" w:space="0" w:color="auto"/>
                <w:left w:val="none" w:sz="0" w:space="0" w:color="auto"/>
                <w:bottom w:val="none" w:sz="0" w:space="0" w:color="auto"/>
                <w:right w:val="none" w:sz="0" w:space="0" w:color="auto"/>
              </w:divBdr>
              <w:divsChild>
                <w:div w:id="1101800634">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954097177">
      <w:bodyDiv w:val="1"/>
      <w:marLeft w:val="0"/>
      <w:marRight w:val="0"/>
      <w:marTop w:val="0"/>
      <w:marBottom w:val="0"/>
      <w:divBdr>
        <w:top w:val="none" w:sz="0" w:space="0" w:color="auto"/>
        <w:left w:val="none" w:sz="0" w:space="0" w:color="auto"/>
        <w:bottom w:val="none" w:sz="0" w:space="0" w:color="auto"/>
        <w:right w:val="none" w:sz="0" w:space="0" w:color="auto"/>
      </w:divBdr>
      <w:divsChild>
        <w:div w:id="1607080187">
          <w:marLeft w:val="0"/>
          <w:marRight w:val="0"/>
          <w:marTop w:val="0"/>
          <w:marBottom w:val="0"/>
          <w:divBdr>
            <w:top w:val="none" w:sz="0" w:space="0" w:color="auto"/>
            <w:left w:val="none" w:sz="0" w:space="0" w:color="auto"/>
            <w:bottom w:val="none" w:sz="0" w:space="0" w:color="auto"/>
            <w:right w:val="none" w:sz="0" w:space="0" w:color="auto"/>
          </w:divBdr>
          <w:divsChild>
            <w:div w:id="602615173">
              <w:marLeft w:val="0"/>
              <w:marRight w:val="0"/>
              <w:marTop w:val="0"/>
              <w:marBottom w:val="0"/>
              <w:divBdr>
                <w:top w:val="none" w:sz="0" w:space="0" w:color="auto"/>
                <w:left w:val="none" w:sz="0" w:space="0" w:color="auto"/>
                <w:bottom w:val="none" w:sz="0" w:space="0" w:color="auto"/>
                <w:right w:val="none" w:sz="0" w:space="0" w:color="auto"/>
              </w:divBdr>
              <w:divsChild>
                <w:div w:id="931201535">
                  <w:marLeft w:val="0"/>
                  <w:marRight w:val="0"/>
                  <w:marTop w:val="0"/>
                  <w:marBottom w:val="0"/>
                  <w:divBdr>
                    <w:top w:val="none" w:sz="0" w:space="0" w:color="auto"/>
                    <w:left w:val="none" w:sz="0" w:space="0" w:color="auto"/>
                    <w:bottom w:val="none" w:sz="0" w:space="0" w:color="auto"/>
                    <w:right w:val="none" w:sz="0" w:space="0" w:color="auto"/>
                  </w:divBdr>
                  <w:divsChild>
                    <w:div w:id="653223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9406911">
      <w:bodyDiv w:val="1"/>
      <w:marLeft w:val="0"/>
      <w:marRight w:val="0"/>
      <w:marTop w:val="0"/>
      <w:marBottom w:val="0"/>
      <w:divBdr>
        <w:top w:val="none" w:sz="0" w:space="0" w:color="auto"/>
        <w:left w:val="none" w:sz="0" w:space="0" w:color="auto"/>
        <w:bottom w:val="none" w:sz="0" w:space="0" w:color="auto"/>
        <w:right w:val="none" w:sz="0" w:space="0" w:color="auto"/>
      </w:divBdr>
      <w:divsChild>
        <w:div w:id="633143329">
          <w:marLeft w:val="0"/>
          <w:marRight w:val="0"/>
          <w:marTop w:val="0"/>
          <w:marBottom w:val="0"/>
          <w:divBdr>
            <w:top w:val="none" w:sz="0" w:space="0" w:color="auto"/>
            <w:left w:val="none" w:sz="0" w:space="0" w:color="auto"/>
            <w:bottom w:val="none" w:sz="0" w:space="0" w:color="auto"/>
            <w:right w:val="none" w:sz="0" w:space="0" w:color="auto"/>
          </w:divBdr>
          <w:divsChild>
            <w:div w:id="1464809186">
              <w:marLeft w:val="0"/>
              <w:marRight w:val="0"/>
              <w:marTop w:val="0"/>
              <w:marBottom w:val="0"/>
              <w:divBdr>
                <w:top w:val="none" w:sz="0" w:space="0" w:color="auto"/>
                <w:left w:val="none" w:sz="0" w:space="0" w:color="auto"/>
                <w:bottom w:val="none" w:sz="0" w:space="0" w:color="auto"/>
                <w:right w:val="none" w:sz="0" w:space="0" w:color="auto"/>
              </w:divBdr>
              <w:divsChild>
                <w:div w:id="239680942">
                  <w:marLeft w:val="0"/>
                  <w:marRight w:val="0"/>
                  <w:marTop w:val="0"/>
                  <w:marBottom w:val="0"/>
                  <w:divBdr>
                    <w:top w:val="none" w:sz="0" w:space="0" w:color="auto"/>
                    <w:left w:val="none" w:sz="0" w:space="0" w:color="auto"/>
                    <w:bottom w:val="none" w:sz="0" w:space="0" w:color="auto"/>
                    <w:right w:val="none" w:sz="0" w:space="0" w:color="auto"/>
                  </w:divBdr>
                  <w:divsChild>
                    <w:div w:id="12670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2876921">
      <w:bodyDiv w:val="1"/>
      <w:marLeft w:val="0"/>
      <w:marRight w:val="0"/>
      <w:marTop w:val="0"/>
      <w:marBottom w:val="0"/>
      <w:divBdr>
        <w:top w:val="none" w:sz="0" w:space="0" w:color="auto"/>
        <w:left w:val="none" w:sz="0" w:space="0" w:color="auto"/>
        <w:bottom w:val="none" w:sz="0" w:space="0" w:color="auto"/>
        <w:right w:val="none" w:sz="0" w:space="0" w:color="auto"/>
      </w:divBdr>
    </w:div>
    <w:div w:id="1966306437">
      <w:bodyDiv w:val="1"/>
      <w:marLeft w:val="0"/>
      <w:marRight w:val="0"/>
      <w:marTop w:val="0"/>
      <w:marBottom w:val="0"/>
      <w:divBdr>
        <w:top w:val="none" w:sz="0" w:space="0" w:color="auto"/>
        <w:left w:val="none" w:sz="0" w:space="0" w:color="auto"/>
        <w:bottom w:val="none" w:sz="0" w:space="0" w:color="auto"/>
        <w:right w:val="none" w:sz="0" w:space="0" w:color="auto"/>
      </w:divBdr>
      <w:divsChild>
        <w:div w:id="1837568858">
          <w:marLeft w:val="0"/>
          <w:marRight w:val="0"/>
          <w:marTop w:val="0"/>
          <w:marBottom w:val="0"/>
          <w:divBdr>
            <w:top w:val="none" w:sz="0" w:space="0" w:color="auto"/>
            <w:left w:val="none" w:sz="0" w:space="0" w:color="auto"/>
            <w:bottom w:val="none" w:sz="0" w:space="0" w:color="auto"/>
            <w:right w:val="none" w:sz="0" w:space="0" w:color="auto"/>
          </w:divBdr>
          <w:divsChild>
            <w:div w:id="185674851">
              <w:marLeft w:val="0"/>
              <w:marRight w:val="0"/>
              <w:marTop w:val="0"/>
              <w:marBottom w:val="0"/>
              <w:divBdr>
                <w:top w:val="none" w:sz="0" w:space="0" w:color="auto"/>
                <w:left w:val="none" w:sz="0" w:space="0" w:color="auto"/>
                <w:bottom w:val="none" w:sz="0" w:space="0" w:color="auto"/>
                <w:right w:val="none" w:sz="0" w:space="0" w:color="auto"/>
              </w:divBdr>
              <w:divsChild>
                <w:div w:id="1068841565">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2002614897">
      <w:bodyDiv w:val="1"/>
      <w:marLeft w:val="0"/>
      <w:marRight w:val="0"/>
      <w:marTop w:val="0"/>
      <w:marBottom w:val="0"/>
      <w:divBdr>
        <w:top w:val="none" w:sz="0" w:space="0" w:color="auto"/>
        <w:left w:val="none" w:sz="0" w:space="0" w:color="auto"/>
        <w:bottom w:val="none" w:sz="0" w:space="0" w:color="auto"/>
        <w:right w:val="none" w:sz="0" w:space="0" w:color="auto"/>
      </w:divBdr>
      <w:divsChild>
        <w:div w:id="1402295692">
          <w:marLeft w:val="0"/>
          <w:marRight w:val="0"/>
          <w:marTop w:val="0"/>
          <w:marBottom w:val="0"/>
          <w:divBdr>
            <w:top w:val="none" w:sz="0" w:space="0" w:color="auto"/>
            <w:left w:val="none" w:sz="0" w:space="0" w:color="auto"/>
            <w:bottom w:val="none" w:sz="0" w:space="0" w:color="auto"/>
            <w:right w:val="none" w:sz="0" w:space="0" w:color="auto"/>
          </w:divBdr>
          <w:divsChild>
            <w:div w:id="799031136">
              <w:marLeft w:val="0"/>
              <w:marRight w:val="0"/>
              <w:marTop w:val="0"/>
              <w:marBottom w:val="0"/>
              <w:divBdr>
                <w:top w:val="none" w:sz="0" w:space="0" w:color="auto"/>
                <w:left w:val="none" w:sz="0" w:space="0" w:color="auto"/>
                <w:bottom w:val="none" w:sz="0" w:space="0" w:color="auto"/>
                <w:right w:val="none" w:sz="0" w:space="0" w:color="auto"/>
              </w:divBdr>
              <w:divsChild>
                <w:div w:id="1887644393">
                  <w:marLeft w:val="0"/>
                  <w:marRight w:val="0"/>
                  <w:marTop w:val="0"/>
                  <w:marBottom w:val="0"/>
                  <w:divBdr>
                    <w:top w:val="none" w:sz="0" w:space="0" w:color="auto"/>
                    <w:left w:val="none" w:sz="0" w:space="0" w:color="auto"/>
                    <w:bottom w:val="none" w:sz="0" w:space="0" w:color="auto"/>
                    <w:right w:val="none" w:sz="0" w:space="0" w:color="auto"/>
                  </w:divBdr>
                  <w:divsChild>
                    <w:div w:id="92838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8841862">
      <w:bodyDiv w:val="1"/>
      <w:marLeft w:val="0"/>
      <w:marRight w:val="0"/>
      <w:marTop w:val="0"/>
      <w:marBottom w:val="0"/>
      <w:divBdr>
        <w:top w:val="none" w:sz="0" w:space="0" w:color="auto"/>
        <w:left w:val="none" w:sz="0" w:space="0" w:color="auto"/>
        <w:bottom w:val="none" w:sz="0" w:space="0" w:color="auto"/>
        <w:right w:val="none" w:sz="0" w:space="0" w:color="auto"/>
      </w:divBdr>
    </w:div>
    <w:div w:id="2020815002">
      <w:bodyDiv w:val="1"/>
      <w:marLeft w:val="0"/>
      <w:marRight w:val="0"/>
      <w:marTop w:val="0"/>
      <w:marBottom w:val="0"/>
      <w:divBdr>
        <w:top w:val="none" w:sz="0" w:space="0" w:color="auto"/>
        <w:left w:val="none" w:sz="0" w:space="0" w:color="auto"/>
        <w:bottom w:val="none" w:sz="0" w:space="0" w:color="auto"/>
        <w:right w:val="none" w:sz="0" w:space="0" w:color="auto"/>
      </w:divBdr>
      <w:divsChild>
        <w:div w:id="1415122751">
          <w:marLeft w:val="0"/>
          <w:marRight w:val="0"/>
          <w:marTop w:val="0"/>
          <w:marBottom w:val="0"/>
          <w:divBdr>
            <w:top w:val="none" w:sz="0" w:space="0" w:color="auto"/>
            <w:left w:val="none" w:sz="0" w:space="0" w:color="auto"/>
            <w:bottom w:val="none" w:sz="0" w:space="0" w:color="auto"/>
            <w:right w:val="none" w:sz="0" w:space="0" w:color="auto"/>
          </w:divBdr>
          <w:divsChild>
            <w:div w:id="2024891097">
              <w:marLeft w:val="0"/>
              <w:marRight w:val="0"/>
              <w:marTop w:val="0"/>
              <w:marBottom w:val="0"/>
              <w:divBdr>
                <w:top w:val="none" w:sz="0" w:space="0" w:color="auto"/>
                <w:left w:val="none" w:sz="0" w:space="0" w:color="auto"/>
                <w:bottom w:val="none" w:sz="0" w:space="0" w:color="auto"/>
                <w:right w:val="none" w:sz="0" w:space="0" w:color="auto"/>
              </w:divBdr>
              <w:divsChild>
                <w:div w:id="1613394461">
                  <w:marLeft w:val="0"/>
                  <w:marRight w:val="0"/>
                  <w:marTop w:val="0"/>
                  <w:marBottom w:val="0"/>
                  <w:divBdr>
                    <w:top w:val="none" w:sz="0" w:space="0" w:color="auto"/>
                    <w:left w:val="none" w:sz="0" w:space="0" w:color="auto"/>
                    <w:bottom w:val="none" w:sz="0" w:space="0" w:color="auto"/>
                    <w:right w:val="none" w:sz="0" w:space="0" w:color="auto"/>
                  </w:divBdr>
                  <w:divsChild>
                    <w:div w:id="33249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5421927">
      <w:bodyDiv w:val="1"/>
      <w:marLeft w:val="0"/>
      <w:marRight w:val="0"/>
      <w:marTop w:val="0"/>
      <w:marBottom w:val="0"/>
      <w:divBdr>
        <w:top w:val="none" w:sz="0" w:space="0" w:color="auto"/>
        <w:left w:val="none" w:sz="0" w:space="0" w:color="auto"/>
        <w:bottom w:val="none" w:sz="0" w:space="0" w:color="auto"/>
        <w:right w:val="none" w:sz="0" w:space="0" w:color="auto"/>
      </w:divBdr>
      <w:divsChild>
        <w:div w:id="1001857133">
          <w:marLeft w:val="0"/>
          <w:marRight w:val="0"/>
          <w:marTop w:val="0"/>
          <w:marBottom w:val="0"/>
          <w:divBdr>
            <w:top w:val="none" w:sz="0" w:space="0" w:color="auto"/>
            <w:left w:val="none" w:sz="0" w:space="0" w:color="auto"/>
            <w:bottom w:val="none" w:sz="0" w:space="0" w:color="auto"/>
            <w:right w:val="none" w:sz="0" w:space="0" w:color="auto"/>
          </w:divBdr>
          <w:divsChild>
            <w:div w:id="1937902661">
              <w:marLeft w:val="0"/>
              <w:marRight w:val="0"/>
              <w:marTop w:val="0"/>
              <w:marBottom w:val="0"/>
              <w:divBdr>
                <w:top w:val="none" w:sz="0" w:space="0" w:color="auto"/>
                <w:left w:val="none" w:sz="0" w:space="0" w:color="auto"/>
                <w:bottom w:val="none" w:sz="0" w:space="0" w:color="auto"/>
                <w:right w:val="none" w:sz="0" w:space="0" w:color="auto"/>
              </w:divBdr>
              <w:divsChild>
                <w:div w:id="1643265238">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2068455002">
      <w:bodyDiv w:val="1"/>
      <w:marLeft w:val="0"/>
      <w:marRight w:val="0"/>
      <w:marTop w:val="0"/>
      <w:marBottom w:val="0"/>
      <w:divBdr>
        <w:top w:val="none" w:sz="0" w:space="0" w:color="auto"/>
        <w:left w:val="none" w:sz="0" w:space="0" w:color="auto"/>
        <w:bottom w:val="none" w:sz="0" w:space="0" w:color="auto"/>
        <w:right w:val="none" w:sz="0" w:space="0" w:color="auto"/>
      </w:divBdr>
      <w:divsChild>
        <w:div w:id="788888888">
          <w:marLeft w:val="0"/>
          <w:marRight w:val="0"/>
          <w:marTop w:val="0"/>
          <w:marBottom w:val="0"/>
          <w:divBdr>
            <w:top w:val="none" w:sz="0" w:space="0" w:color="auto"/>
            <w:left w:val="none" w:sz="0" w:space="0" w:color="auto"/>
            <w:bottom w:val="none" w:sz="0" w:space="0" w:color="auto"/>
            <w:right w:val="none" w:sz="0" w:space="0" w:color="auto"/>
          </w:divBdr>
          <w:divsChild>
            <w:div w:id="937064397">
              <w:marLeft w:val="0"/>
              <w:marRight w:val="0"/>
              <w:marTop w:val="0"/>
              <w:marBottom w:val="0"/>
              <w:divBdr>
                <w:top w:val="none" w:sz="0" w:space="0" w:color="auto"/>
                <w:left w:val="none" w:sz="0" w:space="0" w:color="auto"/>
                <w:bottom w:val="none" w:sz="0" w:space="0" w:color="auto"/>
                <w:right w:val="none" w:sz="0" w:space="0" w:color="auto"/>
              </w:divBdr>
              <w:divsChild>
                <w:div w:id="1025668956">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2071077599">
      <w:bodyDiv w:val="1"/>
      <w:marLeft w:val="0"/>
      <w:marRight w:val="0"/>
      <w:marTop w:val="0"/>
      <w:marBottom w:val="0"/>
      <w:divBdr>
        <w:top w:val="none" w:sz="0" w:space="0" w:color="auto"/>
        <w:left w:val="none" w:sz="0" w:space="0" w:color="auto"/>
        <w:bottom w:val="none" w:sz="0" w:space="0" w:color="auto"/>
        <w:right w:val="none" w:sz="0" w:space="0" w:color="auto"/>
      </w:divBdr>
      <w:divsChild>
        <w:div w:id="548805564">
          <w:marLeft w:val="0"/>
          <w:marRight w:val="0"/>
          <w:marTop w:val="0"/>
          <w:marBottom w:val="0"/>
          <w:divBdr>
            <w:top w:val="none" w:sz="0" w:space="0" w:color="auto"/>
            <w:left w:val="none" w:sz="0" w:space="0" w:color="auto"/>
            <w:bottom w:val="none" w:sz="0" w:space="0" w:color="auto"/>
            <w:right w:val="none" w:sz="0" w:space="0" w:color="auto"/>
          </w:divBdr>
          <w:divsChild>
            <w:div w:id="263389208">
              <w:marLeft w:val="0"/>
              <w:marRight w:val="0"/>
              <w:marTop w:val="0"/>
              <w:marBottom w:val="0"/>
              <w:divBdr>
                <w:top w:val="none" w:sz="0" w:space="0" w:color="auto"/>
                <w:left w:val="none" w:sz="0" w:space="0" w:color="auto"/>
                <w:bottom w:val="none" w:sz="0" w:space="0" w:color="auto"/>
                <w:right w:val="none" w:sz="0" w:space="0" w:color="auto"/>
              </w:divBdr>
              <w:divsChild>
                <w:div w:id="130683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458291">
      <w:bodyDiv w:val="1"/>
      <w:marLeft w:val="0"/>
      <w:marRight w:val="0"/>
      <w:marTop w:val="0"/>
      <w:marBottom w:val="0"/>
      <w:divBdr>
        <w:top w:val="none" w:sz="0" w:space="0" w:color="auto"/>
        <w:left w:val="none" w:sz="0" w:space="0" w:color="auto"/>
        <w:bottom w:val="none" w:sz="0" w:space="0" w:color="auto"/>
        <w:right w:val="none" w:sz="0" w:space="0" w:color="auto"/>
      </w:divBdr>
      <w:divsChild>
        <w:div w:id="1692875126">
          <w:marLeft w:val="0"/>
          <w:marRight w:val="0"/>
          <w:marTop w:val="0"/>
          <w:marBottom w:val="0"/>
          <w:divBdr>
            <w:top w:val="none" w:sz="0" w:space="0" w:color="auto"/>
            <w:left w:val="none" w:sz="0" w:space="0" w:color="auto"/>
            <w:bottom w:val="none" w:sz="0" w:space="0" w:color="auto"/>
            <w:right w:val="none" w:sz="0" w:space="0" w:color="auto"/>
          </w:divBdr>
          <w:divsChild>
            <w:div w:id="1478912270">
              <w:marLeft w:val="0"/>
              <w:marRight w:val="0"/>
              <w:marTop w:val="0"/>
              <w:marBottom w:val="0"/>
              <w:divBdr>
                <w:top w:val="none" w:sz="0" w:space="0" w:color="auto"/>
                <w:left w:val="none" w:sz="0" w:space="0" w:color="auto"/>
                <w:bottom w:val="none" w:sz="0" w:space="0" w:color="auto"/>
                <w:right w:val="none" w:sz="0" w:space="0" w:color="auto"/>
              </w:divBdr>
              <w:divsChild>
                <w:div w:id="1689988929">
                  <w:marLeft w:val="0"/>
                  <w:marRight w:val="0"/>
                  <w:marTop w:val="0"/>
                  <w:marBottom w:val="0"/>
                  <w:divBdr>
                    <w:top w:val="none" w:sz="0" w:space="0" w:color="auto"/>
                    <w:left w:val="none" w:sz="0" w:space="0" w:color="auto"/>
                    <w:bottom w:val="none" w:sz="0" w:space="0" w:color="auto"/>
                    <w:right w:val="none" w:sz="0" w:space="0" w:color="auto"/>
                  </w:divBdr>
                  <w:divsChild>
                    <w:div w:id="200778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3404372">
      <w:bodyDiv w:val="1"/>
      <w:marLeft w:val="0"/>
      <w:marRight w:val="0"/>
      <w:marTop w:val="0"/>
      <w:marBottom w:val="0"/>
      <w:divBdr>
        <w:top w:val="none" w:sz="0" w:space="0" w:color="auto"/>
        <w:left w:val="none" w:sz="0" w:space="0" w:color="auto"/>
        <w:bottom w:val="none" w:sz="0" w:space="0" w:color="auto"/>
        <w:right w:val="none" w:sz="0" w:space="0" w:color="auto"/>
      </w:divBdr>
      <w:divsChild>
        <w:div w:id="1122768327">
          <w:marLeft w:val="0"/>
          <w:marRight w:val="0"/>
          <w:marTop w:val="0"/>
          <w:marBottom w:val="0"/>
          <w:divBdr>
            <w:top w:val="none" w:sz="0" w:space="0" w:color="auto"/>
            <w:left w:val="none" w:sz="0" w:space="0" w:color="auto"/>
            <w:bottom w:val="none" w:sz="0" w:space="0" w:color="auto"/>
            <w:right w:val="none" w:sz="0" w:space="0" w:color="auto"/>
          </w:divBdr>
          <w:divsChild>
            <w:div w:id="445318179">
              <w:marLeft w:val="0"/>
              <w:marRight w:val="0"/>
              <w:marTop w:val="0"/>
              <w:marBottom w:val="0"/>
              <w:divBdr>
                <w:top w:val="none" w:sz="0" w:space="0" w:color="auto"/>
                <w:left w:val="none" w:sz="0" w:space="0" w:color="auto"/>
                <w:bottom w:val="none" w:sz="0" w:space="0" w:color="auto"/>
                <w:right w:val="none" w:sz="0" w:space="0" w:color="auto"/>
              </w:divBdr>
              <w:divsChild>
                <w:div w:id="15811769">
                  <w:marLeft w:val="0"/>
                  <w:marRight w:val="0"/>
                  <w:marTop w:val="0"/>
                  <w:marBottom w:val="0"/>
                  <w:divBdr>
                    <w:top w:val="none" w:sz="0" w:space="0" w:color="auto"/>
                    <w:left w:val="none" w:sz="0" w:space="0" w:color="auto"/>
                    <w:bottom w:val="none" w:sz="0" w:space="0" w:color="auto"/>
                    <w:right w:val="none" w:sz="0" w:space="0" w:color="auto"/>
                  </w:divBdr>
                  <w:divsChild>
                    <w:div w:id="1895197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0537057">
      <w:bodyDiv w:val="1"/>
      <w:marLeft w:val="0"/>
      <w:marRight w:val="0"/>
      <w:marTop w:val="0"/>
      <w:marBottom w:val="0"/>
      <w:divBdr>
        <w:top w:val="none" w:sz="0" w:space="0" w:color="auto"/>
        <w:left w:val="none" w:sz="0" w:space="0" w:color="auto"/>
        <w:bottom w:val="none" w:sz="0" w:space="0" w:color="auto"/>
        <w:right w:val="none" w:sz="0" w:space="0" w:color="auto"/>
      </w:divBdr>
      <w:divsChild>
        <w:div w:id="566187748">
          <w:marLeft w:val="0"/>
          <w:marRight w:val="0"/>
          <w:marTop w:val="0"/>
          <w:marBottom w:val="0"/>
          <w:divBdr>
            <w:top w:val="none" w:sz="0" w:space="0" w:color="auto"/>
            <w:left w:val="none" w:sz="0" w:space="0" w:color="auto"/>
            <w:bottom w:val="none" w:sz="0" w:space="0" w:color="auto"/>
            <w:right w:val="none" w:sz="0" w:space="0" w:color="auto"/>
          </w:divBdr>
          <w:divsChild>
            <w:div w:id="925727230">
              <w:marLeft w:val="0"/>
              <w:marRight w:val="0"/>
              <w:marTop w:val="0"/>
              <w:marBottom w:val="0"/>
              <w:divBdr>
                <w:top w:val="none" w:sz="0" w:space="0" w:color="auto"/>
                <w:left w:val="none" w:sz="0" w:space="0" w:color="auto"/>
                <w:bottom w:val="none" w:sz="0" w:space="0" w:color="auto"/>
                <w:right w:val="none" w:sz="0" w:space="0" w:color="auto"/>
              </w:divBdr>
              <w:divsChild>
                <w:div w:id="681585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942915">
      <w:bodyDiv w:val="1"/>
      <w:marLeft w:val="0"/>
      <w:marRight w:val="0"/>
      <w:marTop w:val="0"/>
      <w:marBottom w:val="0"/>
      <w:divBdr>
        <w:top w:val="none" w:sz="0" w:space="0" w:color="auto"/>
        <w:left w:val="none" w:sz="0" w:space="0" w:color="auto"/>
        <w:bottom w:val="none" w:sz="0" w:space="0" w:color="auto"/>
        <w:right w:val="none" w:sz="0" w:space="0" w:color="auto"/>
      </w:divBdr>
      <w:divsChild>
        <w:div w:id="1672562846">
          <w:marLeft w:val="0"/>
          <w:marRight w:val="0"/>
          <w:marTop w:val="0"/>
          <w:marBottom w:val="0"/>
          <w:divBdr>
            <w:top w:val="none" w:sz="0" w:space="0" w:color="auto"/>
            <w:left w:val="none" w:sz="0" w:space="0" w:color="auto"/>
            <w:bottom w:val="none" w:sz="0" w:space="0" w:color="auto"/>
            <w:right w:val="none" w:sz="0" w:space="0" w:color="auto"/>
          </w:divBdr>
          <w:divsChild>
            <w:div w:id="1825662642">
              <w:marLeft w:val="0"/>
              <w:marRight w:val="0"/>
              <w:marTop w:val="0"/>
              <w:marBottom w:val="0"/>
              <w:divBdr>
                <w:top w:val="none" w:sz="0" w:space="0" w:color="auto"/>
                <w:left w:val="none" w:sz="0" w:space="0" w:color="auto"/>
                <w:bottom w:val="none" w:sz="0" w:space="0" w:color="auto"/>
                <w:right w:val="none" w:sz="0" w:space="0" w:color="auto"/>
              </w:divBdr>
              <w:divsChild>
                <w:div w:id="597062200">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2130775371">
      <w:bodyDiv w:val="1"/>
      <w:marLeft w:val="0"/>
      <w:marRight w:val="0"/>
      <w:marTop w:val="0"/>
      <w:marBottom w:val="0"/>
      <w:divBdr>
        <w:top w:val="none" w:sz="0" w:space="0" w:color="auto"/>
        <w:left w:val="none" w:sz="0" w:space="0" w:color="auto"/>
        <w:bottom w:val="none" w:sz="0" w:space="0" w:color="auto"/>
        <w:right w:val="none" w:sz="0" w:space="0" w:color="auto"/>
      </w:divBdr>
      <w:divsChild>
        <w:div w:id="1307663910">
          <w:marLeft w:val="0"/>
          <w:marRight w:val="0"/>
          <w:marTop w:val="0"/>
          <w:marBottom w:val="0"/>
          <w:divBdr>
            <w:top w:val="none" w:sz="0" w:space="0" w:color="auto"/>
            <w:left w:val="none" w:sz="0" w:space="0" w:color="auto"/>
            <w:bottom w:val="none" w:sz="0" w:space="0" w:color="auto"/>
            <w:right w:val="none" w:sz="0" w:space="0" w:color="auto"/>
          </w:divBdr>
          <w:divsChild>
            <w:div w:id="1720090068">
              <w:marLeft w:val="0"/>
              <w:marRight w:val="0"/>
              <w:marTop w:val="0"/>
              <w:marBottom w:val="0"/>
              <w:divBdr>
                <w:top w:val="none" w:sz="0" w:space="0" w:color="auto"/>
                <w:left w:val="none" w:sz="0" w:space="0" w:color="auto"/>
                <w:bottom w:val="none" w:sz="0" w:space="0" w:color="auto"/>
                <w:right w:val="none" w:sz="0" w:space="0" w:color="auto"/>
              </w:divBdr>
              <w:divsChild>
                <w:div w:id="2094470368">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2146047069">
      <w:bodyDiv w:val="1"/>
      <w:marLeft w:val="0"/>
      <w:marRight w:val="0"/>
      <w:marTop w:val="0"/>
      <w:marBottom w:val="0"/>
      <w:divBdr>
        <w:top w:val="none" w:sz="0" w:space="0" w:color="auto"/>
        <w:left w:val="none" w:sz="0" w:space="0" w:color="auto"/>
        <w:bottom w:val="none" w:sz="0" w:space="0" w:color="auto"/>
        <w:right w:val="none" w:sz="0" w:space="0" w:color="auto"/>
      </w:divBdr>
      <w:divsChild>
        <w:div w:id="1535116285">
          <w:marLeft w:val="0"/>
          <w:marRight w:val="0"/>
          <w:marTop w:val="0"/>
          <w:marBottom w:val="0"/>
          <w:divBdr>
            <w:top w:val="none" w:sz="0" w:space="0" w:color="auto"/>
            <w:left w:val="none" w:sz="0" w:space="0" w:color="auto"/>
            <w:bottom w:val="none" w:sz="0" w:space="0" w:color="auto"/>
            <w:right w:val="none" w:sz="0" w:space="0" w:color="auto"/>
          </w:divBdr>
          <w:divsChild>
            <w:div w:id="360280558">
              <w:marLeft w:val="0"/>
              <w:marRight w:val="0"/>
              <w:marTop w:val="0"/>
              <w:marBottom w:val="0"/>
              <w:divBdr>
                <w:top w:val="none" w:sz="0" w:space="0" w:color="auto"/>
                <w:left w:val="none" w:sz="0" w:space="0" w:color="auto"/>
                <w:bottom w:val="none" w:sz="0" w:space="0" w:color="auto"/>
                <w:right w:val="none" w:sz="0" w:space="0" w:color="auto"/>
              </w:divBdr>
              <w:divsChild>
                <w:div w:id="1085565833">
                  <w:marLeft w:val="0"/>
                  <w:marRight w:val="0"/>
                  <w:marTop w:val="0"/>
                  <w:marBottom w:val="0"/>
                  <w:divBdr>
                    <w:top w:val="none" w:sz="0" w:space="0" w:color="auto"/>
                    <w:left w:val="none" w:sz="0" w:space="0" w:color="auto"/>
                    <w:bottom w:val="none" w:sz="0" w:space="0" w:color="auto"/>
                    <w:right w:val="none" w:sz="0" w:space="0" w:color="auto"/>
                  </w:divBdr>
                  <w:divsChild>
                    <w:div w:id="2018919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6501569">
      <w:bodyDiv w:val="1"/>
      <w:marLeft w:val="0"/>
      <w:marRight w:val="0"/>
      <w:marTop w:val="0"/>
      <w:marBottom w:val="0"/>
      <w:divBdr>
        <w:top w:val="none" w:sz="0" w:space="0" w:color="auto"/>
        <w:left w:val="none" w:sz="0" w:space="0" w:color="auto"/>
        <w:bottom w:val="none" w:sz="0" w:space="0" w:color="auto"/>
        <w:right w:val="none" w:sz="0" w:space="0" w:color="auto"/>
      </w:divBdr>
      <w:divsChild>
        <w:div w:id="897594695">
          <w:marLeft w:val="0"/>
          <w:marRight w:val="0"/>
          <w:marTop w:val="0"/>
          <w:marBottom w:val="0"/>
          <w:divBdr>
            <w:top w:val="none" w:sz="0" w:space="0" w:color="auto"/>
            <w:left w:val="none" w:sz="0" w:space="0" w:color="auto"/>
            <w:bottom w:val="none" w:sz="0" w:space="0" w:color="auto"/>
            <w:right w:val="none" w:sz="0" w:space="0" w:color="auto"/>
          </w:divBdr>
          <w:divsChild>
            <w:div w:id="55860729">
              <w:marLeft w:val="0"/>
              <w:marRight w:val="0"/>
              <w:marTop w:val="0"/>
              <w:marBottom w:val="0"/>
              <w:divBdr>
                <w:top w:val="none" w:sz="0" w:space="0" w:color="auto"/>
                <w:left w:val="none" w:sz="0" w:space="0" w:color="auto"/>
                <w:bottom w:val="none" w:sz="0" w:space="0" w:color="auto"/>
                <w:right w:val="none" w:sz="0" w:space="0" w:color="auto"/>
              </w:divBdr>
              <w:divsChild>
                <w:div w:id="173161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21" Type="http://schemas.microsoft.com/office/2018/08/relationships/commentsExtensible" Target="commentsExtensible.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D71389-86C1-41B0-B7B7-53A40C58F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4528</Words>
  <Characters>28527</Characters>
  <Application>Microsoft Office Word</Application>
  <DocSecurity>0</DocSecurity>
  <Lines>237</Lines>
  <Paragraphs>65</Paragraphs>
  <ScaleCrop>false</ScaleCrop>
  <HeadingPairs>
    <vt:vector size="2" baseType="variant">
      <vt:variant>
        <vt:lpstr>Titel</vt:lpstr>
      </vt:variant>
      <vt:variant>
        <vt:i4>1</vt:i4>
      </vt:variant>
    </vt:vector>
  </HeadingPairs>
  <TitlesOfParts>
    <vt:vector size="1" baseType="lpstr">
      <vt:lpstr>Titel</vt:lpstr>
    </vt:vector>
  </TitlesOfParts>
  <Company>Universität Regensburg</Company>
  <LinksUpToDate>false</LinksUpToDate>
  <CharactersWithSpaces>32990</CharactersWithSpaces>
  <SharedDoc>false</SharedDoc>
  <HLinks>
    <vt:vector size="42" baseType="variant">
      <vt:variant>
        <vt:i4>6226038</vt:i4>
      </vt:variant>
      <vt:variant>
        <vt:i4>6094</vt:i4>
      </vt:variant>
      <vt:variant>
        <vt:i4>1030</vt:i4>
      </vt:variant>
      <vt:variant>
        <vt:i4>1</vt:i4>
      </vt:variant>
      <vt:variant>
        <vt:lpwstr>Vanilmandelic_acid</vt:lpwstr>
      </vt:variant>
      <vt:variant>
        <vt:lpwstr/>
      </vt:variant>
      <vt:variant>
        <vt:i4>3932178</vt:i4>
      </vt:variant>
      <vt:variant>
        <vt:i4>-1</vt:i4>
      </vt:variant>
      <vt:variant>
        <vt:i4>1050</vt:i4>
      </vt:variant>
      <vt:variant>
        <vt:i4>1</vt:i4>
      </vt:variant>
      <vt:variant>
        <vt:lpwstr>Levo040121L2D02</vt:lpwstr>
      </vt:variant>
      <vt:variant>
        <vt:lpwstr/>
      </vt:variant>
      <vt:variant>
        <vt:i4>3932177</vt:i4>
      </vt:variant>
      <vt:variant>
        <vt:i4>-1</vt:i4>
      </vt:variant>
      <vt:variant>
        <vt:i4>1051</vt:i4>
      </vt:variant>
      <vt:variant>
        <vt:i4>1</vt:i4>
      </vt:variant>
      <vt:variant>
        <vt:lpwstr>Levo040121L2D01</vt:lpwstr>
      </vt:variant>
      <vt:variant>
        <vt:lpwstr/>
      </vt:variant>
      <vt:variant>
        <vt:i4>4063250</vt:i4>
      </vt:variant>
      <vt:variant>
        <vt:i4>-1</vt:i4>
      </vt:variant>
      <vt:variant>
        <vt:i4>1059</vt:i4>
      </vt:variant>
      <vt:variant>
        <vt:i4>1</vt:i4>
      </vt:variant>
      <vt:variant>
        <vt:lpwstr>Levo040120L1D02</vt:lpwstr>
      </vt:variant>
      <vt:variant>
        <vt:lpwstr/>
      </vt:variant>
      <vt:variant>
        <vt:i4>4063252</vt:i4>
      </vt:variant>
      <vt:variant>
        <vt:i4>-1</vt:i4>
      </vt:variant>
      <vt:variant>
        <vt:i4>1060</vt:i4>
      </vt:variant>
      <vt:variant>
        <vt:i4>1</vt:i4>
      </vt:variant>
      <vt:variant>
        <vt:lpwstr>Levo040120L1D04</vt:lpwstr>
      </vt:variant>
      <vt:variant>
        <vt:lpwstr/>
      </vt:variant>
      <vt:variant>
        <vt:i4>4063249</vt:i4>
      </vt:variant>
      <vt:variant>
        <vt:i4>-1</vt:i4>
      </vt:variant>
      <vt:variant>
        <vt:i4>1068</vt:i4>
      </vt:variant>
      <vt:variant>
        <vt:i4>1</vt:i4>
      </vt:variant>
      <vt:variant>
        <vt:lpwstr>Levo040120L1D01</vt:lpwstr>
      </vt:variant>
      <vt:variant>
        <vt:lpwstr/>
      </vt:variant>
      <vt:variant>
        <vt:i4>4128784</vt:i4>
      </vt:variant>
      <vt:variant>
        <vt:i4>-1</vt:i4>
      </vt:variant>
      <vt:variant>
        <vt:i4>1069</vt:i4>
      </vt:variant>
      <vt:variant>
        <vt:i4>1</vt:i4>
      </vt:variant>
      <vt:variant>
        <vt:lpwstr>Levo040120L1D10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Titel</dc:title>
  <dc:subject/>
  <dc:creator>NN</dc:creator>
  <cp:keywords/>
  <dc:description/>
  <cp:lastModifiedBy>Christoph Dorn</cp:lastModifiedBy>
  <cp:revision>2</cp:revision>
  <cp:lastPrinted>2022-07-07T17:04:00Z</cp:lastPrinted>
  <dcterms:created xsi:type="dcterms:W3CDTF">2023-03-24T08:39:00Z</dcterms:created>
  <dcterms:modified xsi:type="dcterms:W3CDTF">2023-03-24T08:39:00Z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zotero-version="6.0.23"&gt;&lt;session id="UTOQA0Ud"/&gt;&lt;style id="http://www.zotero.org/styles/european-journal-of-drug-metabolism-and-pharmacokinetics" hasBibliography="1" bibliographyStyleHasBeenSet="1"/&gt;&lt;prefs&gt;&lt;pref name="fieldType" val</vt:lpwstr>
  </property>
  <property fmtid="{D5CDD505-2E9C-101B-9397-08002B2CF9AE}" pid="3" name="ZOTERO_PREF_2">
    <vt:lpwstr>ue="Field"/&gt;&lt;pref name="storeReferences" value="true"/&gt;&lt;pref name="dontAskDelayCitationUpdates" value="true"/&gt;&lt;/prefs&gt;&lt;/data&gt;</vt:lpwstr>
  </property>
</Properties>
</file>