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1"/>
      </w:pPr>
      <w:r>
        <w:t>EU-Wahl 2019: Wie mächtig ist Europas Volksvertretung?</w:t>
      </w:r>
    </w:p>
    <w:p>
      <w:pPr>
        <w:pStyle w:val="para2"/>
      </w:pPr>
      <w:r>
        <w:t>Den Parlamentariern ist es gelungen, ihre informellen Mitwirkungs- und Kontrollrechte stetig auszubauen.</w:t>
      </w:r>
    </w:p>
    <w:p>
      <w:pPr>
        <w:pStyle w:val="para4"/>
      </w:pPr>
      <w:r>
        <w:t xml:space="preserve">Im Mai des kommenden Jahres wählen EU-Bürgerinnen und -Bürger zum neunten Mal die Abgeordneten des Europäischen Parlaments. Die Europawahlen 2019 finden in Zeiten von Krisenpolitik und Euroskeptizismus statt, in denen viele den Einfluss der Bürgerinnen und Bürger auf EU-Entscheidungen als marginal betrachten. Tatsächlich ist das Europäische Parlament – die europäische Volksvertretung – </w:t>
      </w:r>
      <w:r>
        <w:rPr>
          <w:lang w:val="en-us"/>
        </w:rPr>
        <w:t>so m</w:t>
      </w:r>
      <w:r>
        <w:t>ächtig wie nie zuvor und baut seinen Einfluss kontinuierlich aus. Seitdem das Europäische Parlament im Jahr 1979 zum ersten Mal direkt gewählt worden war, nahm die Wahlbeteiligung über die Legislaturperioden stetig ab. 2014 lag sie bei nur mehr 42,61 Prozent. Dem diametral entgegensteht der ständige Zuwachs an Kompetenzen eben dieses Parlaments im europäischen Entscheidungsfindungsprozess. 91 Prozent aller EU-Entscheidungen fallen unter das ordentliche Gesetzgebungsverfahren, in dem das Parlament gleichberechtigt mitbestimmt. Das Parlament hat aber nicht nur formal an Beteiligungsrechten gewonnen. Informell geht die Rolle des Europäischen Parlaments in vielen Politikbereichen weit über die Vertragsgrundlagen hinaus. Dies liegt nicht zuletzt am Europäischen Parlament selbst, das unter Einsatz vielfältiger Verhandlungsstrategien unermüdlich an seinem institutionellen Machtzuwachs arbeitet. Beispielhaft für einen solchen informellen Machtzuwachs steht die umstrittene europäische Handelspolitik – insbesondere die h</w:t>
      </w:r>
      <w:r>
        <w:rPr>
          <w:lang w:val="sv-se"/>
        </w:rPr>
        <w:t>ö</w:t>
      </w:r>
      <w:r>
        <w:t>chst politisierten Freihandelsabkommen mit Kanada (Ceta) und den Vereinigten Staaten (TTIP). Grund für Kritik aus der Zivilgesellschaft boten unter anderem die mangelnde Transparenz der Verhandlungen sowie die vermeintlich geringfügige Beteiligung von Parlamenten auf europäischer Verhandlungsseite. Tatsächlich jedoch war das Europäische Parlament so umfangreich wie in keinem Abkommen zuvor über die Verhandlungen informiert. Das liegt zum einen an den neuen Rechten, die mit dem Vertrag von Lissabon in Kraft traten. Nach den neuen Vertragsgrundlagen steht dem Parlament sowohl ein Informations- als auch ein Ratifikationsrecht bei internationalen Abkommen zu. Zum anderen interpretierte das Europäische Parlament sein Recht auf Berichterstattung und Information so umfassend, dass ihm im Falle von Ceta und TTIP Zugang zu allen Verhandlungsdokumenten gestattet wurde. Darunter fiel auch das Verhandlungsmandat der Europäischen Kommission, auf das das Parlament bereits seit Jahrzehnten Zugriff gefordert hatte. Neben dem Zugang zu sämtlichen Verhandlungsdokumenten wurden die Parlamentarier auf Wunsch sowohl vor als auch nach jeder Verhandlungsrunde der Europäischen Kommission mit Kanada und den Vereinigten Staaten über den Stand der Verhandlungen unterrichtet. Darüber hinaus initiierte das Europäische Parlament eigene Gespräche mit den Verhandlungspartnern, zum Beispiel den Vereinigten Staaten, und sicherte sich so informelle Mitwirkung an den Verhandlungen. Diese informellen Rechte hat sich das Europäische Parlament zum größten Teil selbst erkämpft. So schreckten die Parlamentarier in früheren Abkommen wie Acta etwa nicht davor zurück, von ihrem vertraglich zugesicherten Vetorecht Gebrauch zu machen. Auf diese Art ließ das Europäische Parlament früh seine Muskeln spielen und strafte so die Kommission für die mangelnde Einbindung in internationale Verhandlungen ab. Derartige Warnschüsse trugen freilich zu einer Stärkung des Europäischen Parlaments in den späteren Ceta- und TTIP-Verhandlungen bei.</w:t>
      </w:r>
    </w:p>
    <w:sectPr>
      <w:footnotePr>
        <w:pos w:val="pageBottom"/>
        <w:numFmt w:val="decimal"/>
        <w:numStart w:val="1"/>
        <w:numRestart w:val="continuous"/>
      </w:footnotePr>
      <w:endnotePr>
        <w:pos w:val="docEnd"/>
        <w:numFmt w:val="lowerRoman"/>
        <w:numStart w:val="1"/>
        <w:numRestart w:val="continuous"/>
      </w:endnotePr>
      <w:headerReference w:type="default" r:id="rId8"/>
      <w:footerReference w:type="default" r:id="rId9"/>
      <w:type w:val="continuous"/>
      <w:pgSz w:h="16838" w:w="11906"/>
      <w:pgMar w:left="1134" w:top="1134" w:right="1134" w:bottom="1134"/>
      <w:paperSrc w:first="0" w:other="0" a="0" b="0"/>
      <w:lnNumType w:countBy="1" w:distance="170" w:restart="continuous" w:start="0"/>
      <w:pgNumType w:fmt="decimal"/>
      <w:tmGutter w:val="3"/>
      <w:mirrorMargins w:val="0"/>
      <w:tmSection w:h="-2">
        <w:tmHeader w:id="0" w:h="0" edge="720" text="0">
          <w:shd w:val="none"/>
        </w:tmHeader>
        <w:tmFooter w:id="0" w:h="0" edge="720"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Basic Roman">
    <w:panose1 w:val="02020603050405020304"/>
    <w:charset w:val="00"/>
    <w:family w:val="roman"/>
    <w:pitch w:val="default"/>
  </w:font>
  <w:font w:name="Basic Sans">
    <w:panose1 w:val="02020603050405020304"/>
    <w:charset w:val="00"/>
    <w:family w:val="roman"/>
    <w:pitch w:val="default"/>
  </w:font>
  <w:font w:name="Arial Unicode MS">
    <w:panose1 w:val="020B0604020202020204"/>
    <w:charset w:val="00"/>
    <w:family w:val="swiss"/>
    <w:pitch w:val="default"/>
  </w:font>
  <w:font w:name="Helvetica Neue">
    <w:panose1 w:val="020B0604020202020204"/>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3"/>
      <w:tabs defTabSz="720">
        <w:tab w:val="center" w:pos="4819" w:leader="none"/>
        <w:tab w:val="clear" w:pos="9020" w:leader="none"/>
        <w:tab w:val="right" w:pos="9638" w:leader="none"/>
      </w:tabs>
    </w:pPr>
    <w:r>
      <w:rPr>
        <w:sz w:val="20"/>
        <w:szCs w:val="20"/>
      </w:rPr>
      <w:tab/>
      <w:t xml:space="preserve">Seite </w:t>
    </w:r>
    <w:r>
      <w:rPr>
        <w:sz w:val="20"/>
        <w:szCs w:val="20"/>
      </w:rPr>
      <w:fldChar w:fldCharType="begin"/>
      <w:instrText xml:space="preserve"> PAGE </w:instrText>
      <w:fldChar w:fldCharType="separate"/>
      <w:t>1</w:t>
      <w:fldChar w:fldCharType="end"/>
    </w:r>
    <w:r>
      <w:rPr>
        <w:sz w:val="20"/>
        <w:szCs w:val="20"/>
      </w:rPr>
      <w:t xml:space="preserve"> von </w:t>
    </w:r>
    <w:r>
      <w:rPr>
        <w:sz w:val="20"/>
        <w:szCs w:val="20"/>
      </w:rPr>
      <w:fldChar w:fldCharType="begin"/>
      <w:instrText xml:space="preserve"> NUMPAGES </w:instrText>
      <w:fldChar w:fldCharType="separate"/>
      <w:t>1</w:t>
      <w:fldChar w:fldCharType="end"/>
    </w:r>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hybridMultilevel"/>
    <w:name w:val="Nummerierungsliste 1"/>
    <w:lvl w:ilvl="0">
      <w:start w:val="0"/>
      <w:numFmt w:val="none"/>
      <w:suff w:val="tab"/>
      <w:lvlText w:val=""/>
      <w:lvlJc w:val="left"/>
      <w:pPr>
        <w:ind w:left="0" w:hanging="0"/>
      </w:pPr>
    </w:lvl>
    <w:lvl w:ilvl="1">
      <w:start w:val="0"/>
      <w:numFmt w:val="none"/>
      <w:suff w:val="tab"/>
      <w:lvlText w:val=""/>
      <w:lvlJc w:val="left"/>
      <w:pPr>
        <w:ind w:left="0" w:hanging="0"/>
      </w:pPr>
    </w:lvl>
    <w:lvl w:ilvl="2">
      <w:start w:val="0"/>
      <w:numFmt w:val="none"/>
      <w:suff w:val="tab"/>
      <w:lvlText w:val=""/>
      <w:lvlJc w:val="left"/>
      <w:pPr>
        <w:ind w:left="0" w:hanging="0"/>
      </w:pPr>
    </w:lvl>
    <w:lvl w:ilvl="3">
      <w:start w:val="0"/>
      <w:numFmt w:val="none"/>
      <w:suff w:val="tab"/>
      <w:lvlText w:val=""/>
      <w:lvlJc w:val="left"/>
      <w:pPr>
        <w:ind w:left="0" w:hanging="0"/>
      </w:pPr>
    </w:lvl>
    <w:lvl w:ilvl="4">
      <w:start w:val="0"/>
      <w:numFmt w:val="none"/>
      <w:suff w:val="tab"/>
      <w:lvlText w:val=""/>
      <w:lvlJc w:val="left"/>
      <w:pPr>
        <w:ind w:left="0" w:hanging="0"/>
      </w:pPr>
    </w:lvl>
    <w:lvl w:ilvl="5">
      <w:start w:val="0"/>
      <w:numFmt w:val="none"/>
      <w:suff w:val="tab"/>
      <w:lvlText w:val=""/>
      <w:lvlJc w:val="left"/>
      <w:pPr>
        <w:ind w:left="0" w:hanging="0"/>
      </w:pPr>
    </w:lvl>
    <w:lvl w:ilvl="6">
      <w:start w:val="0"/>
      <w:numFmt w:val="none"/>
      <w:suff w:val="tab"/>
      <w:lvlText w:val=""/>
      <w:lvlJc w:val="left"/>
      <w:pPr>
        <w:ind w:left="0" w:hanging="0"/>
      </w:pPr>
    </w:lvl>
    <w:lvl w:ilvl="7">
      <w:start w:val="0"/>
      <w:numFmt w:val="none"/>
      <w:suff w:val="tab"/>
      <w:lvlText w:val=""/>
      <w:lvlJc w:val="left"/>
      <w:pPr>
        <w:ind w:left="0" w:hanging="0"/>
      </w:pPr>
    </w:lvl>
    <w:lvl w:ilvl="8">
      <w:start w:val="0"/>
      <w:numFmt w:val="none"/>
      <w:suff w:val="tab"/>
      <w:lvlText w:val=""/>
      <w:lvlJc w:val="left"/>
      <w:pPr>
        <w:ind w:left="0" w:hanging="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9"/>
  <w:view w:val="print"/>
  <w:defaultTabStop w:val="720"/>
  <w:autoHyphenation w:val="1"/>
  <w:doNotShadeFormData w:val="0"/>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compatSetting w:name="compatibilityMode" w:uri="http://schemas.microsoft.com/office/word" w:val="15"/>
  </w:compat>
  <w:shapeDefaults>
    <o:shapedefaults v:ext="edit" spidmax="3073"/>
    <o:shapelayout v:ext="edit">
      <o:rules v:ext="edit"/>
    </o:shapelayout>
  </w:shapeDefaults>
  <w:tmPrefOne w:val="17"/>
  <w:tmPrefTwo w:val="1"/>
  <w:tmFmtPref w:val="55057515"/>
  <w:tmCommentsPr>
    <w:tmCommentsPlace w:val="0"/>
    <w:tmCommentsWidth w:val="3119"/>
    <w:tmCommentsColor w:val="-1"/>
  </w:tmCommentsPr>
  <w:tmReviewPr>
    <w:tmReviewEnabled w:val="0"/>
    <w:tmReviewShow w:val="1"/>
    <w:tmReviewPrint w:val="0"/>
    <w:tmRevisionNum w:val="10"/>
    <w:tmReviewMarkIns w:val="4"/>
    <w:tmReviewColorIns w:val="-1"/>
    <w:tmReviewMarkDel w:val="6"/>
    <w:tmReviewColorDel w:val="-1"/>
    <w:tmReviewMarkFmt w:val="1"/>
    <w:tmReviewColorFmt w:val="-1"/>
    <w:tmReviewMarkLn w:val="1"/>
    <w:tmReviewColorLn w:val="0"/>
    <w:tmReviewToolTip w:val="0"/>
  </w:tmReviewPr>
  <w:tmLastPos>
    <w:tmLastPosPage w:val="0"/>
    <w:tmLastPosSelect w:val="0"/>
    <w:tmLastPosFrameIdx w:val="0"/>
    <w:tmLastPosCaret>
      <w:tmLastPosPgfIdx w:val="2"/>
      <w:tmLastPosIdx w:val="119"/>
    </w:tmLastPosCaret>
    <w:tmLastPosAnchor>
      <w:tmLastPosPgfIdx w:val="0"/>
      <w:tmLastPosIdx w:val="0"/>
    </w:tmLastPosAnchor>
    <w:tmLastPosTblRect w:left="0" w:top="0" w:right="0" w:bottom="0"/>
  </w:tmLastPos>
  <w:tmAppRevision w:date="1660745995" w:val="1050" w:fileVer="342" w:fileVer64="64" w:fileVerOS="4"/>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Arial Unicode MS" w:cs="Times New Roman"/>
        <w:kern w:val="1"/>
        <w:sz w:val="20"/>
        <w:szCs w:val="20"/>
        <w:lang w:val="de-de" w:eastAsia="zh-cn" w:bidi="ar-sa"/>
      </w:rPr>
    </w:rPrDefault>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sz w:val="24"/>
      <w:szCs w:val="24"/>
      <w:lang w:val="en-us" w:eastAsia="en-us"/>
    </w:rPr>
  </w:style>
  <w:style w:type="paragraph" w:styleId="para1">
    <w:name w:val="heading 2"/>
    <w:qFormat/>
    <w:next w:val="para4"/>
    <w:pPr>
      <w:suppressLineNumbers/>
      <w:keepNext/>
      <w:outlineLvl w:val="1"/>
    </w:pPr>
    <w:rPr>
      <w:rFonts w:ascii="Helvetica Neue" w:hAnsi="Helvetica Neue" w:eastAsia="Arial Unicode MS" w:cs="Arial Unicode MS"/>
      <w:b/>
      <w:bCs/>
      <w:color w:val="000000"/>
      <w:kern w:val="1"/>
      <w:sz w:val="32"/>
      <w:szCs w:val="32"/>
      <w:lang w:val="de-de" w:eastAsia="zh-cn" w:bidi="ar-sa"/>
    </w:rPr>
  </w:style>
  <w:style w:type="paragraph" w:styleId="para2">
    <w:name w:val="heading 3"/>
    <w:qFormat/>
    <w:next w:val="para4"/>
    <w:pPr>
      <w:spacing w:before="360" w:after="40" w:line="288" w:lineRule="auto"/>
      <w:suppressLineNumbers/>
      <w:keepNext/>
      <w:outlineLvl w:val="2"/>
      <w:pBdr>
        <w:top w:val="single" w:sz="4" w:space="0" w:color="515151" tmln="10, 20, 20, 0, 0"/>
        <w:left w:val="nil" w:sz="0" w:space="3" w:color="000000" tmln="20, 20, 20, 0, 60"/>
        <w:bottom w:val="nil" w:sz="0" w:space="3" w:color="000000" tmln="20, 20, 20, 0, 60"/>
        <w:right w:val="nil" w:sz="0" w:space="3" w:color="000000" tmln="20, 20, 20, 0, 60"/>
        <w:between w:val="nil" w:sz="0" w:space="0" w:color="000000" tmln="20, 20, 20, 0, 0"/>
      </w:pBdr>
      <w:shd w:val="none"/>
    </w:pPr>
    <w:rPr>
      <w:rFonts w:ascii="Helvetica Neue" w:hAnsi="Helvetica Neue" w:eastAsia="Arial Unicode MS" w:cs="Arial Unicode MS"/>
      <w:color w:val="000000"/>
      <w:spacing w:val="56" w:percent="153"/>
      <w:kern w:val="1"/>
      <w:sz w:val="24"/>
      <w:szCs w:val="24"/>
      <w:lang w:val="de-de" w:eastAsia="zh-cn" w:bidi="ar-sa"/>
    </w:rPr>
  </w:style>
  <w:style w:type="paragraph" w:styleId="para3" w:customStyle="1">
    <w:name w:val="Kopf- und Fußzeilen"/>
    <w:qFormat/>
    <w:pPr>
      <w:suppressLineNumbers/>
      <w:tabs defTabSz="720">
        <w:tab w:val="right" w:pos="9020" w:leader="none"/>
      </w:tabs>
    </w:pPr>
    <w:rPr>
      <w:rFonts w:ascii="Helvetica Neue" w:hAnsi="Helvetica Neue" w:eastAsia="Arial Unicode MS" w:cs="Arial Unicode MS"/>
      <w:color w:val="000000"/>
      <w:kern w:val="1"/>
      <w:sz w:val="24"/>
      <w:szCs w:val="24"/>
      <w:lang w:val="de-de" w:eastAsia="zh-cn" w:bidi="ar-sa"/>
    </w:rPr>
  </w:style>
  <w:style w:type="paragraph" w:styleId="para4" w:customStyle="1">
    <w:name w:val="Text"/>
    <w:qFormat/>
    <w:pPr>
      <w:spacing w:after="200" w:line="312" w:lineRule="auto"/>
      <w:jc w:val="both"/>
    </w:pPr>
    <w:rPr>
      <w:rFonts w:ascii="Helvetica Neue" w:hAnsi="Helvetica Neue" w:eastAsia="Arial Unicode MS" w:cs="Arial Unicode MS"/>
      <w:color w:val="000000"/>
      <w:kern w:val="1"/>
      <w:sz w:val="22"/>
      <w:szCs w:val="22"/>
      <w:lang w:val="de-de" w:eastAsia="zh-cn" w:bidi="ar-sa"/>
    </w:rPr>
  </w:style>
  <w:style w:type="character" w:styleId="char0" w:default="1">
    <w:name w:val="Default Paragraph Font"/>
  </w:style>
  <w:style w:type="character" w:styleId="char1">
    <w:name w:val="Hyperlink"/>
    <w:rPr>
      <w:u w:color="auto" w:val="single"/>
    </w:rPr>
  </w:style>
  <w:style w:type="character" w:styleId="char2">
    <w:name w:val="Line Number"/>
    <w:basedOn w:val="char0"/>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Arial Unicode MS" w:cs="Times New Roman"/>
        <w:kern w:val="1"/>
        <w:sz w:val="20"/>
        <w:szCs w:val="20"/>
        <w:lang w:val="de-de" w:eastAsia="zh-cn" w:bidi="ar-sa"/>
      </w:rPr>
    </w:rPrDefault>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sz w:val="24"/>
      <w:szCs w:val="24"/>
      <w:lang w:val="en-us" w:eastAsia="en-us"/>
    </w:rPr>
  </w:style>
  <w:style w:type="paragraph" w:styleId="para1">
    <w:name w:val="heading 2"/>
    <w:qFormat/>
    <w:next w:val="para4"/>
    <w:pPr>
      <w:suppressLineNumbers/>
      <w:keepNext/>
      <w:outlineLvl w:val="1"/>
    </w:pPr>
    <w:rPr>
      <w:rFonts w:ascii="Helvetica Neue" w:hAnsi="Helvetica Neue" w:eastAsia="Arial Unicode MS" w:cs="Arial Unicode MS"/>
      <w:b/>
      <w:bCs/>
      <w:color w:val="000000"/>
      <w:kern w:val="1"/>
      <w:sz w:val="32"/>
      <w:szCs w:val="32"/>
      <w:lang w:val="de-de" w:eastAsia="zh-cn" w:bidi="ar-sa"/>
    </w:rPr>
  </w:style>
  <w:style w:type="paragraph" w:styleId="para2">
    <w:name w:val="heading 3"/>
    <w:qFormat/>
    <w:next w:val="para4"/>
    <w:pPr>
      <w:spacing w:before="360" w:after="40" w:line="288" w:lineRule="auto"/>
      <w:suppressLineNumbers/>
      <w:keepNext/>
      <w:outlineLvl w:val="2"/>
      <w:pBdr>
        <w:top w:val="single" w:sz="4" w:space="0" w:color="515151" tmln="10, 20, 20, 0, 0"/>
        <w:left w:val="nil" w:sz="0" w:space="3" w:color="000000" tmln="20, 20, 20, 0, 60"/>
        <w:bottom w:val="nil" w:sz="0" w:space="3" w:color="000000" tmln="20, 20, 20, 0, 60"/>
        <w:right w:val="nil" w:sz="0" w:space="3" w:color="000000" tmln="20, 20, 20, 0, 60"/>
        <w:between w:val="nil" w:sz="0" w:space="0" w:color="000000" tmln="20, 20, 20, 0, 0"/>
      </w:pBdr>
      <w:shd w:val="none"/>
    </w:pPr>
    <w:rPr>
      <w:rFonts w:ascii="Helvetica Neue" w:hAnsi="Helvetica Neue" w:eastAsia="Arial Unicode MS" w:cs="Arial Unicode MS"/>
      <w:color w:val="000000"/>
      <w:spacing w:val="56" w:percent="153"/>
      <w:kern w:val="1"/>
      <w:sz w:val="24"/>
      <w:szCs w:val="24"/>
      <w:lang w:val="de-de" w:eastAsia="zh-cn" w:bidi="ar-sa"/>
    </w:rPr>
  </w:style>
  <w:style w:type="paragraph" w:styleId="para3" w:customStyle="1">
    <w:name w:val="Kopf- und Fußzeilen"/>
    <w:qFormat/>
    <w:pPr>
      <w:suppressLineNumbers/>
      <w:tabs defTabSz="720">
        <w:tab w:val="right" w:pos="9020" w:leader="none"/>
      </w:tabs>
    </w:pPr>
    <w:rPr>
      <w:rFonts w:ascii="Helvetica Neue" w:hAnsi="Helvetica Neue" w:eastAsia="Arial Unicode MS" w:cs="Arial Unicode MS"/>
      <w:color w:val="000000"/>
      <w:kern w:val="1"/>
      <w:sz w:val="24"/>
      <w:szCs w:val="24"/>
      <w:lang w:val="de-de" w:eastAsia="zh-cn" w:bidi="ar-sa"/>
    </w:rPr>
  </w:style>
  <w:style w:type="paragraph" w:styleId="para4" w:customStyle="1">
    <w:name w:val="Text"/>
    <w:qFormat/>
    <w:pPr>
      <w:spacing w:after="200" w:line="312" w:lineRule="auto"/>
      <w:jc w:val="both"/>
    </w:pPr>
    <w:rPr>
      <w:rFonts w:ascii="Helvetica Neue" w:hAnsi="Helvetica Neue" w:eastAsia="Arial Unicode MS" w:cs="Arial Unicode MS"/>
      <w:color w:val="000000"/>
      <w:kern w:val="1"/>
      <w:sz w:val="22"/>
      <w:szCs w:val="22"/>
      <w:lang w:val="de-de" w:eastAsia="zh-cn" w:bidi="ar-sa"/>
    </w:rPr>
  </w:style>
  <w:style w:type="character" w:styleId="char0" w:default="1">
    <w:name w:val="Default Paragraph Font"/>
  </w:style>
  <w:style w:type="character" w:styleId="char1">
    <w:name w:val="Hyperlink"/>
    <w:rPr>
      <w:u w:color="auto" w:val="single"/>
    </w:rPr>
  </w:style>
  <w:style w:type="character" w:styleId="char2">
    <w:name w:val="Line Number"/>
    <w:basedOn w:val="char0"/>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Helvetica Neue"/>
        <a:ea typeface="Arial Unicode MS"/>
        <a:cs typeface="Arial Unicode MS"/>
      </a:majorFont>
      <a:minorFont>
        <a:latin typeface="Times New Roman"/>
        <a:ea typeface="Arial Unicode MS"/>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a:noFill/>
        </a:ln>
        <a:sp3d/>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rev.1050</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10</cp:revision>
  <dcterms:created xsi:type="dcterms:W3CDTF">2022-08-16T15:19:00Z</dcterms:created>
  <dcterms:modified xsi:type="dcterms:W3CDTF">2022-08-17T14:19:55Z</dcterms:modified>
</cp:coreProperties>
</file>