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240" w:lineRule="exact"/>
        <w:jc w:val="both"/>
      </w:pPr>
      <w:r>
        <w:t>Das ist eine Überschrift</w:t>
      </w:r>
    </w:p>
    <w:p>
      <w:pPr>
        <w:spacing w:line="240" w:lineRule="exact"/>
        <w:jc w:val="both"/>
      </w:pPr>
      <w:r/>
    </w:p>
    <w:p>
      <w:pPr>
        <w:sectPr>
          <w:footnotePr>
            <w:pos w:val="pageBottom"/>
            <w:numFmt w:val="decimal"/>
            <w:numStart w:val="1"/>
            <w:numRestart w:val="continuous"/>
            <w:tmFnProps w:left="0" w:right="0" w:top="72" w:bottom="72">
              <w:tmFnLine w:val="single" w:sz="8" w:space="0" w:color="000000" tmln="20, 40, 6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40" w:w="11906"/>
          <w:pgMar w:left="1134" w:top="1134" w:right="1134" w:bottom="1134" w:header="0" w:footer="0"/>
          <w:paperSrc w:first="0" w:other="0" a="0" b="0"/>
          <w:pgNumType w:fmt="decimal"/>
          <w15:footnoteColumns w:val="1"/>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line="240" w:lineRule="exact"/>
        <w:jc w:val="both"/>
      </w:pPr>
      <w:r>
        <w:t>Jetzt beginnt der zweispaltige Text.</w:t>
      </w:r>
      <w:r>
        <w:rPr>
          <w:kern w:val="1" kern="1"/>
          <w:lang w:val="de-de" w:eastAsia="de-de" w:bidi="de-de"/>
        </w:rPr>
        <w:t xml:space="preserve"> </w:t>
      </w:r>
      <w:r/>
    </w:p>
    <w:p>
      <w:pPr>
        <w:spacing w:line="240" w:lineRule="exact"/>
        <w:jc w:val="both"/>
        <w:rPr>
          <w:kern w:val="1" kern="1"/>
          <w:lang w:val="de-de" w:eastAsia="de-de" w:bidi="de-de"/>
        </w:rPr>
      </w:pPr>
      <w:r>
        <w:rPr>
          <w:kern w:val="1" kern="1"/>
          <w:lang w:val="de-de" w:eastAsia="de-de" w:bidi="de-de"/>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spacing w:line="240" w:lineRule="exact"/>
        <w:jc w:val="both"/>
        <w:rPr>
          <w:kern w:val="1" kern="1"/>
          <w:lang w:val="de-de" w:eastAsia="de-de" w:bidi="de-de"/>
        </w:rPr>
      </w:pPr>
      <w:r>
        <w:rPr>
          <w:kern w:val="1" kern="1"/>
          <w:lang w:val="de-de" w:eastAsia="de-de" w:bidi="de-de"/>
        </w:rPr>
        <w:t>Eines Tages aber beschloss eine kleine Zeile Blindtext, ihr Name war Lorem Ipsum, hinauszugehen in die weite Grammatik. Der große Oxmox</w:t>
      </w:r>
      <w:r>
        <w:rPr>
          <w:rStyle w:val="char1"/>
        </w:rPr>
      </w:r>
      <w:r>
        <w:rPr>
          <w:rStyle w:val="char1"/>
        </w:rPr>
        <w:footnoteReference w:id="1"/>
      </w:r>
      <w:r>
        <w:rPr>
          <w:kern w:val="1" kern="1"/>
          <w:lang w:val="de-de" w:eastAsia="de-de" w:bidi="de-de"/>
        </w:rPr>
        <w:t xml:space="preserve">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r>
        <w:rPr>
          <w:kern w:val="1" kern="1"/>
          <w:lang w:val="de-de" w:eastAsia="de-de" w:bidi="de-de"/>
        </w:rPr>
      </w:r>
    </w:p>
    <w:p>
      <w:pPr>
        <w:spacing w:line="240" w:lineRule="exact"/>
        <w:jc w:val="both"/>
        <w:rPr>
          <w:kern w:val="1" kern="1"/>
          <w:lang w:val="de-de" w:eastAsia="de-de" w:bidi="de-de"/>
        </w:rPr>
      </w:pPr>
      <w:r>
        <w:rPr>
          <w:kern w:val="1" kern="1"/>
          <w:lang w:val="de-de" w:eastAsia="de-de" w:bidi="de-de"/>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spacing w:line="240" w:lineRule="exact"/>
        <w:jc w:val="both"/>
        <w:rPr>
          <w:kern w:val="1" kern="1"/>
          <w:lang w:val="de-de" w:eastAsia="de-de" w:bidi="de-de"/>
        </w:rPr>
      </w:pPr>
      <w:r>
        <w:rPr>
          <w:kern w:val="1" kern="1"/>
          <w:lang w:val="de-de" w:eastAsia="de-de" w:bidi="de-de"/>
        </w:rP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spacing w:line="240" w:lineRule="exact"/>
        <w:jc w:val="both"/>
        <w:rPr>
          <w:kern w:val="1" kern="1"/>
          <w:lang w:val="de-de" w:eastAsia="de-de" w:bidi="de-de"/>
        </w:rPr>
      </w:pPr>
      <w:r>
        <w:rPr>
          <w:kern w:val="1" kern="1"/>
          <w:lang w:val="de-de" w:eastAsia="de-de" w:bidi="de-de"/>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spacing w:line="240" w:lineRule="exact"/>
        <w:jc w:val="both"/>
        <w:rPr>
          <w:kern w:val="1" kern="1"/>
          <w:lang w:val="de-de" w:eastAsia="de-de" w:bidi="de-de"/>
        </w:rPr>
      </w:pPr>
      <w:r>
        <w:rPr>
          <w:kern w:val="1" kern="1"/>
          <w:lang w:val="de-de" w:eastAsia="de-de" w:bidi="de-de"/>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spacing w:line="240" w:lineRule="exact"/>
        <w:jc w:val="both"/>
        <w:rPr>
          <w:kern w:val="1" kern="1"/>
          <w:lang w:val="de-de" w:eastAsia="de-de" w:bidi="de-de"/>
        </w:rPr>
      </w:pPr>
      <w:r>
        <w:rPr>
          <w:kern w:val="1" kern="1"/>
          <w:lang w:val="de-de" w:eastAsia="de-de" w:bidi="de-de"/>
        </w:rP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spacing w:line="240" w:lineRule="exact"/>
        <w:jc w:val="both"/>
        <w:rPr>
          <w:kern w:val="1" kern="1"/>
          <w:lang w:val="de-de" w:eastAsia="de-de" w:bidi="de-de"/>
        </w:rPr>
      </w:pPr>
      <w:r>
        <w:rPr>
          <w:kern w:val="1" kern="1"/>
          <w:lang w:val="de-de" w:eastAsia="de-de" w:bidi="de-de"/>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r>
        <w:rPr>
          <w:rStyle w:val="char1"/>
        </w:rPr>
      </w:r>
      <w:r>
        <w:rPr>
          <w:rStyle w:val="char1"/>
        </w:rPr>
        <w:footnoteReference w:id="2"/>
      </w:r>
      <w:r>
        <w:rPr>
          <w:kern w:val="1" kern="1"/>
          <w:lang w:val="de-de" w:eastAsia="de-de" w:bidi="de-de"/>
        </w:rPr>
      </w:r>
    </w:p>
    <w:p>
      <w:pPr>
        <w:spacing w:line="240" w:lineRule="exact"/>
        <w:jc w:val="both"/>
        <w:rPr>
          <w:kern w:val="1" kern="1"/>
          <w:lang w:val="de-de" w:eastAsia="de-de" w:bidi="de-de"/>
        </w:rPr>
      </w:pPr>
      <w:r>
        <w:rPr>
          <w:kern w:val="1" kern="1"/>
          <w:lang w:val="de-de" w:eastAsia="de-de" w:bidi="de-de"/>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spacing w:line="240" w:lineRule="exact"/>
        <w:jc w:val="both"/>
        <w:rPr>
          <w:kern w:val="1" kern="1"/>
          <w:lang w:val="de-de" w:eastAsia="de-de" w:bidi="de-de"/>
        </w:rPr>
      </w:pPr>
      <w:r>
        <w:rPr>
          <w:kern w:val="1" kern="1"/>
          <w:lang w:val="de-de" w:eastAsia="de-de" w:bidi="de-de"/>
        </w:rP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r>
        <w:rPr>
          <w:rStyle w:val="char1"/>
        </w:rPr>
      </w:r>
      <w:r>
        <w:rPr>
          <w:rStyle w:val="char1"/>
        </w:rPr>
        <w:footnoteReference w:id="3"/>
      </w:r>
      <w:r>
        <w:rPr>
          <w:kern w:val="1" kern="1"/>
          <w:lang w:val="de-de" w:eastAsia="de-de" w:bidi="de-de"/>
        </w:rPr>
      </w:r>
    </w:p>
    <w:p>
      <w:pPr>
        <w:spacing w:line="240" w:lineRule="exact"/>
        <w:jc w:val="both"/>
        <w:rPr>
          <w:kern w:val="1" kern="1"/>
          <w:lang w:val="de-de" w:eastAsia="de-de" w:bidi="de-de"/>
        </w:rPr>
      </w:pPr>
      <w:r>
        <w:rPr>
          <w:kern w:val="1" kern="1"/>
          <w:lang w:val="de-de" w:eastAsia="de-de" w:bidi="de-de"/>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spacing w:line="240" w:lineRule="exact"/>
        <w:jc w:val="both"/>
        <w:rPr>
          <w:kern w:val="1" kern="1"/>
          <w:lang w:val="de-de" w:eastAsia="de-de" w:bidi="de-de"/>
        </w:rPr>
      </w:pPr>
      <w:r>
        <w:rPr>
          <w:kern w:val="1" kern="1"/>
          <w:lang w:val="de-de" w:eastAsia="de-de" w:bidi="de-de"/>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spacing w:line="240" w:lineRule="exact"/>
        <w:jc w:val="both"/>
        <w:rPr>
          <w:kern w:val="1" kern="1"/>
          <w:lang w:val="de-de" w:eastAsia="de-de" w:bidi="de-de"/>
        </w:rPr>
      </w:pPr>
      <w:r>
        <w:rPr>
          <w:kern w:val="1" kern="1"/>
          <w:lang w:val="de-de" w:eastAsia="de-de" w:bidi="de-de"/>
        </w:rPr>
      </w:r>
    </w:p>
    <w:sectPr>
      <w:footnotePr>
        <w:pos w:val="pageBottom"/>
        <w:numFmt w:val="decimal"/>
        <w:numStart w:val="1"/>
        <w:numRestart w:val="continuous"/>
        <w:tmFnProps w:left="0" w:right="0" w:top="72" w:bottom="72">
          <w:tmFnLine w:val="single" w:sz="8" w:space="0" w:color="000000" tmln="20, 40, 6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40" w:w="11906"/>
      <w:pgMar w:left="1134" w:top="1134" w:right="1134" w:bottom="1134"/>
      <w:paperSrc w:first="0" w:other="0" a="0" b="0"/>
      <w:pgNumType w:fmt="decimal"/>
      <w:cols w:num="2" w:equalWidth="1" w:space="340"/>
      <w15:footnoteColumns w:val="1"/>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Adobe Garamond Pro">
    <w:panose1 w:val="0202050206050602040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tmFrameSectPr/>
      <w:pPr>
        <w:pStyle w:val="para4"/>
        <w:ind w:left="113" w:hanging="113"/>
      </w:pPr>
      <w:r>
        <w:rPr>
          <w:rStyle w:val="char1"/>
        </w:rPr>
      </w:r>
      <w:r>
        <w:rPr>
          <w:rStyle w:val="char1"/>
        </w:rPr>
        <w:footnoteRef/>
      </w:r>
      <w:r>
        <w:t xml:space="preserve"> Zur Erklärung bedarf es einer einspaltigen Fußnote. Zur Erklärung bedarf es einer einspaltigen Fußnote. Zur Erklärung bedarf es einer einspaltigen Fußnote. Zur Erklärung bedarf es einer einspaltigen Fußnote.</w:t>
      </w:r>
    </w:p>
  </w:footnote>
  <w:footnote w:id="2">
    <w:p>
      <w:pPr>
        <w:pStyle w:val="para4"/>
      </w:pPr>
      <w:r>
        <w:rPr>
          <w:rStyle w:val="char1"/>
        </w:rPr>
      </w:r>
      <w:r>
        <w:rPr>
          <w:rStyle w:val="char1"/>
        </w:rPr>
        <w:footnoteRef/>
      </w:r>
      <w:r>
        <w:t xml:space="preserve"> Auch die Fußnote aus der zweiten Spalte ist einspaltig. Auch die Fußnote aus der zweiten Spalte ist einspaltig.</w:t>
      </w:r>
    </w:p>
  </w:footnote>
  <w:footnote w:id="3">
    <w:p>
      <w:tmFrameSectPr>
        <w:cols w:num="2" w:equalWidth="1" w:space="340"/>
      </w:tmFrameSectPr>
      <w:pPr>
        <w:pStyle w:val="para4"/>
        <w:ind w:left="113" w:hanging="113"/>
        <w:spacing w:line="240" w:lineRule="exact"/>
      </w:pPr>
      <w:r>
        <w:rPr>
          <w:rStyle w:val="char1"/>
        </w:rPr>
      </w:r>
      <w:r>
        <w:rPr>
          <w:rStyle w:val="char1"/>
        </w:rPr>
        <w:footnoteRef/>
      </w:r>
      <w:r>
        <w:t xml:space="preserve"> Um dies zu erklären, bedarf es einer zweispaltigen Fußnote. Um dies zu erklären, bedarf es einer zweispaltigen Fußnote. Um dies zu erklären, bedarf es einer zweispaltigen Fußnote.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55816812" w:val="1046" w:fileVer="342" w:fileVerOS="4"/>
  <w:zoom w:percent="125"/>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360"/>
  <w:drawingGridVerticalSpacing w:val="360"/>
  <w:revisionView w:comments="1" w:markup="1" w:insDel="1" w:formatting="1"/>
  <w:footnotePr>
    <w:pos w:val="pageBottom"/>
    <w:numFmt w:val="decimal"/>
    <w:numStart w:val="1"/>
    <w:numRestart w:val="continuous"/>
    <w:tmFnProps w:left="0" w:right="0" w:top="72" w:bottom="72">
      <w:tmFnLine w:val="single" w:sz="8" w:space="0" w:color="000000" tmln="20, 40, 60, 0, 0"/>
    </w:tmFnProps>
  </w:footnotePr>
  <w:endnotePr>
    <w:pos w:val="docEnd"/>
    <w:numFmt w:val="lowerRoman"/>
    <w:numStart w:val="1"/>
    <w:numRestart w:val="continuous"/>
    <w:tmFnProps w:left="0" w:right="0" w:top="72" w:bottom="72">
      <w:tmFnLine w:val="single" w:sz="5" w:space="0" w:color="000000" tmln="12, 20, 20, 0, 0"/>
    </w:tmFnProps>
  </w:endnotePr>
  <w:compat>
    <w:usePrinterMetrics w:val="1"/>
    <w:doNotUseHTMLParagraphAutoSpacing w:val="1"/>
    <w:compatSetting w:name="compatibilityMode" w:uri="http://schemas.microsoft.com/office/word" w:val="15"/>
  </w:compat>
  <w:shapeDefaults>
    <o:shapedefaults v:ext="edit" spidmax="1026"/>
    <o:shapelayout v:ext="edit">
      <o:rules v:ext="edit"/>
    </o:shapelayout>
  </w:shapeDefaults>
  <w:tmPrefOne w:val="0"/>
  <w:tmPrefTwo w:val="1"/>
  <w:tmFmtPref w:val="256"/>
  <w:tmCommentsPr>
    <w:tmCommentsPlace w:val="0"/>
    <w:tmCommentsWidth w:val="3119"/>
    <w:tmCommentsColor w:val="-1"/>
  </w:tmCommentsPr>
  <w:tmReviewPr>
    <w:tmReviewEnabled w:val="0"/>
    <w:tmReviewShow w:val="1"/>
    <w:tmReviewPrint w:val="0"/>
    <w:tmRevisionNum w:val="7"/>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2"/>
    <w:tmLastPosCaret>
      <w:tmLastPosPgfIdx w:val="0"/>
      <w:tmLastPosIdx w:val="113"/>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360" gridDistanceVertical="360"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color w:val="000000"/>
        <w:sz w:val="14"/>
        <w:szCs w:val="1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0"/>
      <w:szCs w:val="20"/>
    </w:rPr>
  </w:style>
  <w:style w:type="paragraph" w:styleId="para1">
    <w:name w:val="heading 1"/>
    <w:qFormat/>
    <w:basedOn w:val="para0"/>
    <w:next w:val="para0"/>
    <w:pPr>
      <w:spacing w:after="120"/>
      <w:outlineLvl w:val="0"/>
      <w:keepLines/>
    </w:pPr>
    <w:rPr>
      <w:b/>
      <w:sz w:val="40"/>
    </w:rPr>
    <w:key w:val="1073"/>
  </w:style>
  <w:style w:type="paragraph" w:styleId="para2">
    <w:name w:val="heading 2"/>
    <w:qFormat/>
    <w:basedOn w:val="para1"/>
    <w:next w:val="para0"/>
    <w:pPr>
      <w:outlineLvl w:val="1"/>
    </w:pPr>
    <w:rPr>
      <w:sz w:val="32"/>
    </w:rPr>
    <w:key w:val="1074"/>
  </w:style>
  <w:style w:type="paragraph" w:styleId="para3">
    <w:name w:val="heading 3"/>
    <w:qFormat/>
    <w:basedOn w:val="para2"/>
    <w:next w:val="para0"/>
    <w:pPr>
      <w:outlineLvl w:val="2"/>
    </w:pPr>
    <w:rPr>
      <w:sz w:val="28"/>
    </w:rPr>
    <w:key w:val="1075"/>
  </w:style>
  <w:style w:type="paragraph" w:styleId="para4">
    <w:name w:val="Footnote Text"/>
    <w:qFormat/>
    <w:basedOn w:val="para0"/>
    <w:next w:val="para0"/>
  </w:style>
  <w:style w:type="character" w:styleId="char0" w:default="1">
    <w:name w:val="Default Paragraph Font"/>
  </w:style>
  <w:style w:type="character" w:styleId="char1">
    <w:name w:val="Footnote Reference"/>
    <w:basedOnNormal/>
    <w:rPr>
      <w:rFonts w:ascii="Adobe Garamond Pro" w:hAnsi="Adobe Garamond Pro" w:eastAsia="Adobe Garamond Pro" w:cs="Adobe Garamond Pro"/>
      <w:sz w:val="22"/>
      <w:szCs w:val="22"/>
      <w:vertAlign w:val="superscript" ssSize="80" ssDist="20"/>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color w:val="000000"/>
        <w:sz w:val="14"/>
        <w:szCs w:val="1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0"/>
      <w:szCs w:val="20"/>
    </w:rPr>
  </w:style>
  <w:style w:type="paragraph" w:styleId="para1">
    <w:name w:val="heading 1"/>
    <w:qFormat/>
    <w:basedOn w:val="para0"/>
    <w:next w:val="para0"/>
    <w:pPr>
      <w:spacing w:after="120"/>
      <w:outlineLvl w:val="0"/>
      <w:keepLines/>
    </w:pPr>
    <w:rPr>
      <w:b/>
      <w:sz w:val="40"/>
    </w:rPr>
    <w:key w:val="1073"/>
  </w:style>
  <w:style w:type="paragraph" w:styleId="para2">
    <w:name w:val="heading 2"/>
    <w:qFormat/>
    <w:basedOn w:val="para1"/>
    <w:next w:val="para0"/>
    <w:pPr>
      <w:outlineLvl w:val="1"/>
    </w:pPr>
    <w:rPr>
      <w:sz w:val="32"/>
    </w:rPr>
    <w:key w:val="1074"/>
  </w:style>
  <w:style w:type="paragraph" w:styleId="para3">
    <w:name w:val="heading 3"/>
    <w:qFormat/>
    <w:basedOn w:val="para2"/>
    <w:next w:val="para0"/>
    <w:pPr>
      <w:outlineLvl w:val="2"/>
    </w:pPr>
    <w:rPr>
      <w:sz w:val="28"/>
    </w:rPr>
    <w:key w:val="1075"/>
  </w:style>
  <w:style w:type="paragraph" w:styleId="para4">
    <w:name w:val="Footnote Text"/>
    <w:qFormat/>
    <w:basedOn w:val="para0"/>
    <w:next w:val="para0"/>
  </w:style>
  <w:style w:type="character" w:styleId="char0" w:default="1">
    <w:name w:val="Default Paragraph Font"/>
  </w:style>
  <w:style w:type="character" w:styleId="char1">
    <w:name w:val="Footnote Reference"/>
    <w:basedOnNormal/>
    <w:rPr>
      <w:rFonts w:ascii="Adobe Garamond Pro" w:hAnsi="Adobe Garamond Pro" w:eastAsia="Adobe Garamond Pro" w:cs="Adobe Garamond Pro"/>
      <w:sz w:val="22"/>
      <w:szCs w:val="22"/>
      <w:vertAlign w:val="superscript" ssSize="80" ssDist="20"/>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Klaus Bailly</cp:lastModifiedBy>
  <cp:revision>7</cp:revision>
  <dcterms:created xsi:type="dcterms:W3CDTF">2022-06-19T09:49:57Z</dcterms:created>
  <dcterms:modified xsi:type="dcterms:W3CDTF">2022-06-21T13:06:52Z</dcterms:modified>
</cp:coreProperties>
</file>