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p>
    <w:p>
      <w:pPr>
        <w:ind w:left="10" w:right="184" w:hanging="10"/>
        <w:spacing w:after="240" w:line="264" w:lineRule="auto"/>
        <w:jc w:val="right"/>
        <w:rPr>
          <w:rFonts w:ascii="Arial" w:hAnsi="Arial" w:eastAsia="Arial" w:cs="Arial"/>
          <w:color w:val="000000"/>
          <w:sz w:val="20"/>
        </w:rPr>
      </w:pPr>
      <w:r>
        <w:rPr>
          <w:rFonts w:ascii="Arial" w:hAnsi="Arial" w:eastAsia="Arial" w:cs="Arial"/>
          <w:b/>
          <w:color w:val="000000"/>
          <w:sz w:val="36"/>
        </w:rPr>
        <w:t>Klimakammer</w:t>
      </w:r>
      <w:r>
        <w:rPr>
          <w:rFonts w:ascii="Arial" w:hAnsi="Arial" w:eastAsia="Arial" w:cs="Arial"/>
          <w:color w:val="000000"/>
          <w:sz w:val="20"/>
        </w:rPr>
      </w:r>
    </w:p>
    <w:p>
      <w:pPr>
        <w:ind w:left="10" w:right="184" w:hanging="10"/>
        <w:spacing w:after="2266" w:line="264" w:lineRule="auto"/>
        <w:jc w:val="right"/>
        <w:rPr>
          <w:rFonts w:ascii="Arial" w:hAnsi="Arial" w:eastAsia="Arial" w:cs="Arial"/>
          <w:color w:val="000000"/>
          <w:sz w:val="20"/>
        </w:rPr>
      </w:pPr>
      <w:r>
        <w:rPr>
          <w:rFonts w:ascii="Arial" w:hAnsi="Arial" w:eastAsia="Arial" w:cs="Arial"/>
          <w:b/>
          <w:color w:val="000000"/>
          <w:sz w:val="36"/>
        </w:rPr>
        <w:t xml:space="preserve">NCZ 002x </w:t>
      </w:r>
      <w:r>
        <w:rPr>
          <w:rFonts w:ascii="Arial" w:hAnsi="Arial" w:eastAsia="Arial" w:cs="Arial"/>
          <w:color w:val="000000"/>
          <w:sz w:val="20"/>
        </w:rPr>
      </w:r>
    </w:p>
    <w:p>
      <w:pPr>
        <w:ind w:left="58"/>
        <w:spacing w:after="5178"/>
        <w:pBdr>
          <w:top w:val="single" w:sz="16" w:space="31" w:color="000001" tmln="40, 20, 20, 0, 620"/>
          <w:left w:val="single" w:sz="16" w:space="0" w:color="000001" tmln="40, 20, 20, 0, 0"/>
          <w:bottom w:val="single" w:sz="16" w:space="20" w:color="000001" tmln="40, 20, 20, 0, 400"/>
          <w:right w:val="single" w:sz="16" w:space="0" w:color="000001" tmln="40, 20, 20, 0, 0"/>
          <w:between w:val="nil" w:sz="0" w:space="0" w:color="000000" tmln="20, 20, 20, 0, 0"/>
        </w:pBdr>
        <w:shd w:val="none"/>
        <w:rPr>
          <w:rFonts w:ascii="Arial" w:hAnsi="Arial" w:eastAsia="Arial" w:cs="Arial"/>
          <w:color w:val="000000"/>
        </w:rPr>
      </w:pPr>
      <w:r>
        <w:rPr>
          <w:b/>
          <w:sz w:val="120"/>
        </w:rPr>
        <w:tab/>
      </w:r>
      <w:r>
        <w:rPr>
          <w:sz w:val="120"/>
        </w:rPr>
        <w:t>Betriebs-</w:t>
      </w:r>
      <w:r>
        <w:rPr>
          <w:b/>
          <w:sz w:val="120"/>
        </w:rPr>
        <w:t>A</w:t>
      </w:r>
      <w:r>
        <w:rPr>
          <w:sz w:val="120"/>
        </w:rPr>
        <w:t>nleitung</w:t>
      </w:r>
      <w:r>
        <w:rPr>
          <w:rFonts w:ascii="Arial" w:hAnsi="Arial" w:eastAsia="Arial" w:cs="Arial"/>
          <w:color w:val="000000"/>
        </w:rPr>
      </w:r>
    </w:p>
    <w:p>
      <w:pPr>
        <w:pStyle w:val="para15"/>
        <w:rPr>
          <w:rFonts w:ascii="Arial" w:hAnsi="Arial" w:cs="Arial"/>
          <w:sz w:val="28"/>
          <w:szCs w:val="28"/>
        </w:rPr>
      </w:pPr>
      <w:r>
        <w:rPr>
          <w:rFonts w:ascii="Arial" w:hAnsi="Arial" w:cs="Arial"/>
          <w:sz w:val="28"/>
          <w:szCs w:val="28"/>
        </w:rPr>
      </w:r>
    </w:p>
    <w:p>
      <w:pPr>
        <w:pStyle w:val="para15"/>
        <w:rPr>
          <w:rFonts w:ascii="Arial" w:hAnsi="Arial" w:cs="Arial"/>
          <w:sz w:val="28"/>
          <w:szCs w:val="28"/>
        </w:rPr>
      </w:pPr>
      <w:r>
        <w:rPr>
          <w:rFonts w:ascii="Arial" w:hAnsi="Arial" w:cs="Arial"/>
          <w:sz w:val="28"/>
          <w:szCs w:val="28"/>
        </w:rPr>
      </w:r>
    </w:p>
    <w:p>
      <w:pPr>
        <w:pStyle w:val="para15"/>
        <w:rPr>
          <w:rFonts w:ascii="Arial" w:hAnsi="Arial" w:cs="Arial"/>
          <w:sz w:val="28"/>
          <w:szCs w:val="28"/>
        </w:rPr>
      </w:pPr>
      <w:r>
        <w:rPr>
          <w:rFonts w:ascii="Arial" w:hAnsi="Arial" w:cs="Arial"/>
          <w:sz w:val="28"/>
          <w:szCs w:val="28"/>
        </w:rPr>
      </w:r>
    </w:p>
    <w:p>
      <w:r/>
    </w:p>
    <w:p>
      <w:pPr>
        <w:pStyle w:val="para30"/>
      </w:pPr>
      <w:r>
        <w:br w:type="page"/>
      </w:r>
      <w:r>
        <w:t>Inhalt</w:t>
      </w:r>
    </w:p>
    <w:p>
      <w:pPr>
        <w:pStyle w:val="para31"/>
        <w:tabs defTabSz="708">
          <w:tab w:val="left" w:pos="567" w:leader="none"/>
          <w:tab w:val="right" w:pos="9922" w:leader="dot"/>
        </w:tabs>
      </w:pPr>
      <w:r>
        <w:fldChar w:fldCharType="begin"/>
      </w:r>
      <w:r>
        <w:instrText xml:space="preserve"> TOC \o "1 - 9" \h </w:instrText>
      </w:r>
      <w:r>
        <w:fldChar w:fldCharType="separate"/>
      </w:r>
      <w:hyperlink w:anchor="_Ref488491063" w:history="1">
        <w:r>
          <w:t>4</w:t>
          <w:tab/>
          <w:t xml:space="preserve"> Bedienung der Anlage</w:t>
          <w:tab/>
          <w:t>5</w:t>
        </w:r>
      </w:hyperlink>
    </w:p>
    <w:p>
      <w:pPr>
        <w:pStyle w:val="para32"/>
        <w:tabs defTabSz="708">
          <w:tab w:val="left" w:pos="850" w:leader="none"/>
          <w:tab w:val="right" w:pos="9922" w:leader="dot"/>
        </w:tabs>
      </w:pPr>
      <w:hyperlink w:anchor="_Toc495563831" w:history="1">
        <w:r>
          <w:t>4.1</w:t>
          <w:tab/>
          <w:t xml:space="preserve"> Allgemeine Angaben</w:t>
          <w:tab/>
          <w:t>6</w:t>
        </w:r>
      </w:hyperlink>
    </w:p>
    <w:p>
      <w:pPr>
        <w:pStyle w:val="para32"/>
        <w:tabs defTabSz="708">
          <w:tab w:val="left" w:pos="850" w:leader="none"/>
          <w:tab w:val="right" w:pos="9922" w:leader="dot"/>
        </w:tabs>
      </w:pPr>
      <w:hyperlink w:anchor="_Toc495563832" w:history="1">
        <w:r>
          <w:t>4.2</w:t>
          <w:tab/>
          <w:t xml:space="preserve"> Anzeige- und Bedienelemente</w:t>
          <w:tab/>
          <w:t>8</w:t>
        </w:r>
      </w:hyperlink>
    </w:p>
    <w:p>
      <w:pPr>
        <w:pStyle w:val="para34"/>
        <w:tabs defTabSz="708">
          <w:tab w:val="left" w:pos="1134" w:leader="none"/>
          <w:tab w:val="right" w:pos="9922" w:leader="dot"/>
        </w:tabs>
      </w:pPr>
      <w:hyperlink w:anchor="_TOC000033" w:history="1">
        <w:r>
          <w:t>4.2.1</w:t>
          <w:tab/>
          <w:t xml:space="preserve"> Schaltschrank</w:t>
          <w:tab/>
          <w:t>8</w:t>
        </w:r>
      </w:hyperlink>
    </w:p>
    <w:p>
      <w:pPr>
        <w:pStyle w:val="para34"/>
        <w:tabs defTabSz="708">
          <w:tab w:val="left" w:pos="1134" w:leader="none"/>
          <w:tab w:val="right" w:pos="9922" w:leader="dot"/>
        </w:tabs>
      </w:pPr>
      <w:hyperlink w:anchor="_TOC000034" w:history="1">
        <w:r>
          <w:t>4.2.2</w:t>
          <w:tab/>
          <w:t xml:space="preserve"> Flur</w:t>
          <w:tab/>
          <w:t>9</w:t>
        </w:r>
      </w:hyperlink>
    </w:p>
    <w:p>
      <w:pPr>
        <w:pStyle w:val="para32"/>
        <w:tabs defTabSz="708">
          <w:tab w:val="left" w:pos="850" w:leader="none"/>
          <w:tab w:val="right" w:pos="9922" w:leader="dot"/>
        </w:tabs>
      </w:pPr>
      <w:hyperlink w:anchor="_TOC000035" w:history="1">
        <w:r>
          <w:t>4.3</w:t>
          <w:tab/>
          <w:t xml:space="preserve"> Inbetriebnahme</w:t>
          <w:tab/>
          <w:t>10</w:t>
        </w:r>
      </w:hyperlink>
    </w:p>
    <w:p>
      <w:pPr>
        <w:pStyle w:val="para32"/>
        <w:tabs defTabSz="708">
          <w:tab w:val="left" w:pos="850" w:leader="none"/>
          <w:tab w:val="right" w:pos="9922" w:leader="dot"/>
        </w:tabs>
      </w:pPr>
      <w:hyperlink w:anchor="_Toc495563833" w:history="1">
        <w:r>
          <w:t>4.4</w:t>
          <w:tab/>
          <w:t xml:space="preserve"> Bedienung Grundsätzliche Informationen</w:t>
          <w:tab/>
          <w:t>12</w:t>
        </w:r>
      </w:hyperlink>
    </w:p>
    <w:p>
      <w:pPr>
        <w:pStyle w:val="para32"/>
        <w:tabs defTabSz="708">
          <w:tab w:val="left" w:pos="850" w:leader="none"/>
          <w:tab w:val="right" w:pos="9922" w:leader="dot"/>
        </w:tabs>
      </w:pPr>
      <w:hyperlink w:anchor="_TOC000002" w:history="1">
        <w:r>
          <w:t>4.5</w:t>
          <w:tab/>
          <w:t xml:space="preserve"> Detaillierte Beschreibung der Bilder und der Bedienung des Touch-Displays</w:t>
          <w:tab/>
          <w:t>13</w:t>
        </w:r>
      </w:hyperlink>
    </w:p>
    <w:p>
      <w:pPr>
        <w:pStyle w:val="para34"/>
        <w:tabs defTabSz="708">
          <w:tab w:val="left" w:pos="1134" w:leader="none"/>
          <w:tab w:val="right" w:pos="9922" w:leader="dot"/>
        </w:tabs>
      </w:pPr>
      <w:hyperlink w:anchor="_Toc495563834" w:history="1">
        <w:r>
          <w:t>4.5.1</w:t>
          <w:tab/>
          <w:t xml:space="preserve"> Programm</w:t>
          <w:tab/>
          <w:t>13</w:t>
        </w:r>
      </w:hyperlink>
    </w:p>
    <w:p>
      <w:pPr>
        <w:pStyle w:val="para34"/>
        <w:tabs defTabSz="708">
          <w:tab w:val="left" w:pos="1134" w:leader="none"/>
          <w:tab w:val="right" w:pos="9922" w:leader="dot"/>
        </w:tabs>
      </w:pPr>
      <w:hyperlink w:anchor="_Toc495563835" w:history="1">
        <w:r>
          <w:t>4.5.2</w:t>
          <w:tab/>
          <w:t xml:space="preserve"> Betrieb</w:t>
          <w:tab/>
          <w:t>14</w:t>
        </w:r>
      </w:hyperlink>
    </w:p>
    <w:p>
      <w:pPr>
        <w:pStyle w:val="para37"/>
        <w:tabs defTabSz="708">
          <w:tab w:val="left" w:pos="1417" w:leader="none"/>
          <w:tab w:val="right" w:pos="9922" w:leader="dot"/>
        </w:tabs>
      </w:pPr>
      <w:hyperlink w:anchor="_TOC000003" w:history="1">
        <w:r>
          <w:t>4.5.2.1</w:t>
          <w:tab/>
          <w:t xml:space="preserve"> Programmgeber</w:t>
          <w:tab/>
          <w:t>15</w:t>
        </w:r>
      </w:hyperlink>
    </w:p>
    <w:p>
      <w:pPr>
        <w:pStyle w:val="para38"/>
        <w:tabs defTabSz="708">
          <w:tab w:val="left" w:pos="1701" w:leader="none"/>
          <w:tab w:val="right" w:pos="9922" w:leader="dot"/>
        </w:tabs>
      </w:pPr>
      <w:hyperlink w:anchor="_TOC000004" w:history="1">
        <w:r>
          <w:t>4.5.2.1.1</w:t>
          <w:tab/>
          <w:t xml:space="preserve"> Spuren</w:t>
          <w:tab/>
          <w:t>15</w:t>
        </w:r>
      </w:hyperlink>
    </w:p>
    <w:p>
      <w:pPr>
        <w:pStyle w:val="para38"/>
        <w:tabs defTabSz="708">
          <w:tab w:val="left" w:pos="1701" w:leader="none"/>
          <w:tab w:val="right" w:pos="9922" w:leader="dot"/>
        </w:tabs>
      </w:pPr>
      <w:hyperlink w:anchor="_TOC000005" w:history="1">
        <w:r>
          <w:t>4.5.2.1.2</w:t>
          <w:tab/>
          <w:t xml:space="preserve"> Programm Starten</w:t>
          <w:tab/>
          <w:t>16</w:t>
        </w:r>
      </w:hyperlink>
    </w:p>
    <w:p>
      <w:pPr>
        <w:pStyle w:val="para38"/>
        <w:tabs defTabSz="708">
          <w:tab w:val="left" w:pos="1701" w:leader="none"/>
          <w:tab w:val="right" w:pos="9922" w:leader="dot"/>
        </w:tabs>
      </w:pPr>
      <w:hyperlink w:anchor="_TOC000006" w:history="1">
        <w:r>
          <w:t>4.5.2.1.3</w:t>
          <w:tab/>
          <w:t xml:space="preserve"> Handbetrieb</w:t>
          <w:tab/>
          <w:t>17</w:t>
        </w:r>
      </w:hyperlink>
    </w:p>
    <w:p>
      <w:pPr>
        <w:pStyle w:val="para37"/>
        <w:tabs defTabSz="708">
          <w:tab w:val="left" w:pos="1417" w:leader="none"/>
          <w:tab w:val="right" w:pos="9922" w:leader="dot"/>
        </w:tabs>
      </w:pPr>
      <w:hyperlink w:anchor="_TOC000007" w:history="1">
        <w:r>
          <w:t>4.5.2.2</w:t>
          <w:tab/>
          <w:t xml:space="preserve"> Regler</w:t>
          <w:tab/>
          <w:t>18</w:t>
        </w:r>
      </w:hyperlink>
    </w:p>
    <w:p>
      <w:pPr>
        <w:pStyle w:val="para37"/>
        <w:tabs defTabSz="708">
          <w:tab w:val="left" w:pos="1417" w:leader="none"/>
          <w:tab w:val="right" w:pos="9922" w:leader="dot"/>
        </w:tabs>
      </w:pPr>
      <w:hyperlink w:anchor="_TOC000008" w:history="1">
        <w:r>
          <w:t>4.5.2.3</w:t>
          <w:tab/>
          <w:t xml:space="preserve"> Visu</w:t>
          <w:tab/>
          <w:t>19</w:t>
        </w:r>
      </w:hyperlink>
    </w:p>
    <w:p>
      <w:pPr>
        <w:pStyle w:val="para38"/>
        <w:tabs defTabSz="708">
          <w:tab w:val="left" w:pos="1701" w:leader="none"/>
          <w:tab w:val="right" w:pos="9922" w:leader="dot"/>
        </w:tabs>
      </w:pPr>
      <w:hyperlink w:anchor="_Ref488487095" w:history="1">
        <w:r>
          <w:t>4.5.2.3.1</w:t>
          <w:tab/>
          <w:t xml:space="preserve"> Übersicht</w:t>
          <w:tab/>
          <w:t>19</w:t>
        </w:r>
      </w:hyperlink>
    </w:p>
    <w:p>
      <w:pPr>
        <w:pStyle w:val="para38"/>
        <w:tabs defTabSz="708">
          <w:tab w:val="left" w:pos="1701" w:leader="none"/>
          <w:tab w:val="right" w:pos="9922" w:leader="dot"/>
        </w:tabs>
      </w:pPr>
      <w:hyperlink w:anchor="_TOC000009" w:history="1">
        <w:r>
          <w:t>4.5.2.3.2</w:t>
          <w:tab/>
          <w:t xml:space="preserve"> System</w:t>
          <w:tab/>
          <w:t>21</w:t>
        </w:r>
      </w:hyperlink>
    </w:p>
    <w:p>
      <w:pPr>
        <w:pStyle w:val="para38"/>
        <w:tabs defTabSz="708">
          <w:tab w:val="left" w:pos="1701" w:leader="none"/>
          <w:tab w:val="right" w:pos="9922" w:leader="dot"/>
        </w:tabs>
      </w:pPr>
      <w:hyperlink w:anchor="_TOC000010" w:history="1">
        <w:r>
          <w:t>4.5.2.3.3</w:t>
          <w:tab/>
          <w:t xml:space="preserve"> Informationen</w:t>
          <w:tab/>
          <w:t>22</w:t>
        </w:r>
      </w:hyperlink>
    </w:p>
    <w:p>
      <w:pPr>
        <w:pStyle w:val="para38"/>
        <w:tabs defTabSz="708">
          <w:tab w:val="left" w:pos="1701" w:leader="none"/>
          <w:tab w:val="right" w:pos="9922" w:leader="dot"/>
        </w:tabs>
      </w:pPr>
      <w:hyperlink w:anchor="_TOC000011" w:history="1">
        <w:r>
          <w:t>4.5.2.3.4</w:t>
          <w:tab/>
          <w:t xml:space="preserve"> Parameter</w:t>
          <w:tab/>
          <w:t>23</w:t>
        </w:r>
      </w:hyperlink>
    </w:p>
    <w:p>
      <w:pPr>
        <w:pStyle w:val="para38"/>
        <w:tabs defTabSz="708">
          <w:tab w:val="left" w:pos="1701" w:leader="none"/>
          <w:tab w:val="right" w:pos="9922" w:leader="dot"/>
        </w:tabs>
      </w:pPr>
      <w:hyperlink w:anchor="_TOC000012" w:history="1">
        <w:r>
          <w:t>4.5.2.3.5</w:t>
          <w:tab/>
          <w:t xml:space="preserve"> Service</w:t>
          <w:br w:type="textWrapping"/>
          <w:tab/>
          <w:t>24</w:t>
        </w:r>
      </w:hyperlink>
    </w:p>
    <w:p>
      <w:pPr>
        <w:pStyle w:val="para38"/>
        <w:tabs defTabSz="708">
          <w:tab w:val="left" w:pos="1701" w:leader="none"/>
          <w:tab w:val="right" w:pos="9922" w:leader="dot"/>
        </w:tabs>
      </w:pPr>
      <w:hyperlink w:anchor="_REF000001" w:history="1">
        <w:r>
          <w:t>4.5.2.3.6</w:t>
          <w:tab/>
          <w:t xml:space="preserve"> Hand</w:t>
          <w:tab/>
          <w:t>25</w:t>
        </w:r>
      </w:hyperlink>
    </w:p>
    <w:p>
      <w:pPr>
        <w:pStyle w:val="para37"/>
        <w:tabs defTabSz="708">
          <w:tab w:val="left" w:pos="1417" w:leader="none"/>
          <w:tab w:val="right" w:pos="9922" w:leader="dot"/>
        </w:tabs>
      </w:pPr>
      <w:hyperlink w:anchor="_TOC000013" w:history="1">
        <w:r>
          <w:t>4.5.2.4</w:t>
          <w:tab/>
          <w:t xml:space="preserve"> Alarme</w:t>
          <w:tab/>
          <w:t>26</w:t>
        </w:r>
      </w:hyperlink>
    </w:p>
    <w:p>
      <w:pPr>
        <w:pStyle w:val="para37"/>
        <w:tabs defTabSz="708">
          <w:tab w:val="left" w:pos="1417" w:leader="none"/>
          <w:tab w:val="right" w:pos="9922" w:leader="dot"/>
        </w:tabs>
      </w:pPr>
      <w:hyperlink w:anchor="_TOC000014" w:history="1">
        <w:r>
          <w:t>4.5.2.5</w:t>
          <w:tab/>
          <w:t xml:space="preserve"> Prozessdaten</w:t>
          <w:tab/>
          <w:t>27</w:t>
        </w:r>
      </w:hyperlink>
    </w:p>
    <w:p>
      <w:pPr>
        <w:pStyle w:val="para37"/>
        <w:tabs defTabSz="708">
          <w:tab w:val="left" w:pos="1417" w:leader="none"/>
          <w:tab w:val="right" w:pos="9922" w:leader="dot"/>
        </w:tabs>
      </w:pPr>
      <w:hyperlink w:anchor="_TOC000015" w:history="1">
        <w:r>
          <w:t>4.5.2.6</w:t>
          <w:tab/>
          <w:t xml:space="preserve"> Datenlogger</w:t>
          <w:tab/>
          <w:t>28</w:t>
        </w:r>
      </w:hyperlink>
    </w:p>
    <w:p>
      <w:pPr>
        <w:pStyle w:val="para37"/>
        <w:tabs defTabSz="708">
          <w:tab w:val="left" w:pos="1417" w:leader="none"/>
          <w:tab w:val="right" w:pos="9922" w:leader="dot"/>
        </w:tabs>
      </w:pPr>
      <w:hyperlink w:anchor="_TOC000016" w:history="1">
        <w:r>
          <w:t>4.5.2.7</w:t>
          <w:tab/>
          <w:t xml:space="preserve"> Konfiguration</w:t>
          <w:tab/>
          <w:t>28</w:t>
        </w:r>
      </w:hyperlink>
    </w:p>
    <w:p>
      <w:pPr>
        <w:pStyle w:val="para38"/>
        <w:tabs defTabSz="708">
          <w:tab w:val="left" w:pos="1701" w:leader="none"/>
          <w:tab w:val="right" w:pos="9922" w:leader="dot"/>
        </w:tabs>
      </w:pPr>
      <w:hyperlink w:anchor="_TOC000036" w:history="1">
        <w:r>
          <w:t>4.5.2.7.1</w:t>
          <w:tab/>
          <w:t xml:space="preserve"> Istwertkorrektur</w:t>
          <w:tab/>
          <w:t>28</w:t>
        </w:r>
      </w:hyperlink>
    </w:p>
    <w:p>
      <w:pPr>
        <w:pStyle w:val="para37"/>
        <w:tabs defTabSz="708">
          <w:tab w:val="left" w:pos="1417" w:leader="none"/>
          <w:tab w:val="right" w:pos="9922" w:leader="dot"/>
        </w:tabs>
      </w:pPr>
      <w:hyperlink w:anchor="_TOC000017" w:history="1">
        <w:r>
          <w:t>4.5.2.8</w:t>
          <w:tab/>
          <w:t xml:space="preserve"> Login</w:t>
          <w:tab/>
          <w:t>29</w:t>
        </w:r>
      </w:hyperlink>
    </w:p>
    <w:p>
      <w:pPr>
        <w:pStyle w:val="para38"/>
        <w:tabs defTabSz="708">
          <w:tab w:val="left" w:pos="1701" w:leader="none"/>
          <w:tab w:val="right" w:pos="9922" w:leader="dot"/>
        </w:tabs>
      </w:pPr>
      <w:hyperlink w:anchor="_TOC000018" w:history="1">
        <w:r>
          <w:t>4.5.2.8.1</w:t>
          <w:tab/>
          <w:t xml:space="preserve"> Passworte</w:t>
          <w:tab/>
          <w:t>29</w:t>
        </w:r>
      </w:hyperlink>
    </w:p>
    <w:p>
      <w:pPr>
        <w:pStyle w:val="para32"/>
        <w:tabs defTabSz="708">
          <w:tab w:val="left" w:pos="850" w:leader="none"/>
          <w:tab w:val="right" w:pos="9922" w:leader="dot"/>
        </w:tabs>
      </w:pPr>
      <w:hyperlink w:anchor="_TOC000037" w:history="1">
        <w:r>
          <w:t>4.6</w:t>
          <w:tab/>
          <w:t xml:space="preserve"> Kurzanleitung Regler Prüfgutschutz</w:t>
          <w:tab/>
          <w:t>30</w:t>
        </w:r>
      </w:hyperlink>
    </w:p>
    <w:p>
      <w:pPr>
        <w:pStyle w:val="para34"/>
        <w:tabs defTabSz="708">
          <w:tab w:val="left" w:pos="1134" w:leader="none"/>
          <w:tab w:val="right" w:pos="9922" w:leader="dot"/>
        </w:tabs>
      </w:pPr>
      <w:hyperlink w:anchor="_TOC000020" w:history="1">
        <w:r>
          <w:t>4.6.1</w:t>
          <w:tab/>
          <w:t xml:space="preserve"> Heizen</w:t>
          <w:tab/>
          <w:t>30</w:t>
        </w:r>
      </w:hyperlink>
    </w:p>
    <w:p>
      <w:pPr>
        <w:pStyle w:val="para34"/>
        <w:tabs defTabSz="708">
          <w:tab w:val="left" w:pos="1134" w:leader="none"/>
          <w:tab w:val="right" w:pos="9922" w:leader="dot"/>
        </w:tabs>
      </w:pPr>
      <w:hyperlink w:anchor="_TOC000021" w:history="1">
        <w:r>
          <w:t>4.6.2</w:t>
          <w:tab/>
          <w:t xml:space="preserve"> Kühlen</w:t>
          <w:tab/>
          <w:t>30</w:t>
        </w:r>
      </w:hyperlink>
    </w:p>
    <w:p>
      <w:pPr>
        <w:pStyle w:val="para32"/>
        <w:tabs defTabSz="708">
          <w:tab w:val="left" w:pos="850" w:leader="none"/>
          <w:tab w:val="right" w:pos="9922" w:leader="dot"/>
        </w:tabs>
      </w:pPr>
      <w:hyperlink w:anchor="_REF000002" w:history="1">
        <w:r>
          <w:t>4.7</w:t>
          <w:tab/>
          <w:t xml:space="preserve"> Alarme</w:t>
          <w:tab/>
          <w:t>31</w:t>
        </w:r>
      </w:hyperlink>
    </w:p>
    <w:p>
      <w:pPr>
        <w:pStyle w:val="para34"/>
        <w:tabs defTabSz="708">
          <w:tab w:val="left" w:pos="1134" w:leader="none"/>
          <w:tab w:val="right" w:pos="9922" w:leader="dot"/>
        </w:tabs>
      </w:pPr>
      <w:hyperlink w:anchor="_TOC000038" w:history="1">
        <w:r>
          <w:t>4.7.1</w:t>
          <w:tab/>
          <w:t xml:space="preserve"> Die Alarme im Einzelnen:</w:t>
          <w:tab/>
          <w:t>31</w:t>
        </w:r>
      </w:hyperlink>
    </w:p>
    <w:p>
      <w:pPr>
        <w:pStyle w:val="para34"/>
        <w:tabs defTabSz="708">
          <w:tab w:val="left" w:pos="1134" w:leader="none"/>
          <w:tab w:val="right" w:pos="9922" w:leader="dot"/>
        </w:tabs>
      </w:pPr>
      <w:hyperlink w:anchor="_TOC000039" w:history="1">
        <w:r>
          <w:t>4.7.2</w:t>
          <w:tab/>
          <w:t xml:space="preserve"> Anlage</w:t>
          <w:tab/>
          <w:t>32</w:t>
        </w:r>
      </w:hyperlink>
    </w:p>
    <w:p>
      <w:pPr>
        <w:pStyle w:val="para34"/>
        <w:tabs defTabSz="708">
          <w:tab w:val="left" w:pos="1134" w:leader="none"/>
          <w:tab w:val="right" w:pos="9922" w:leader="dot"/>
        </w:tabs>
      </w:pPr>
      <w:hyperlink w:anchor="_TOC000040" w:history="1">
        <w:r>
          <w:t>4.7.3</w:t>
          <w:tab/>
          <w:t xml:space="preserve"> Lüftung</w:t>
          <w:tab/>
          <w:t>32</w:t>
        </w:r>
      </w:hyperlink>
    </w:p>
    <w:p>
      <w:pPr>
        <w:pStyle w:val="para34"/>
        <w:tabs defTabSz="708">
          <w:tab w:val="left" w:pos="1134" w:leader="none"/>
          <w:tab w:val="right" w:pos="9922" w:leader="dot"/>
        </w:tabs>
      </w:pPr>
      <w:hyperlink w:anchor="_TOC000041" w:history="1">
        <w:r>
          <w:t>4.7.4</w:t>
          <w:tab/>
          <w:t xml:space="preserve"> Heizung</w:t>
          <w:tab/>
          <w:t>32</w:t>
        </w:r>
      </w:hyperlink>
    </w:p>
    <w:p>
      <w:pPr>
        <w:pStyle w:val="para34"/>
        <w:tabs defTabSz="708">
          <w:tab w:val="left" w:pos="1134" w:leader="none"/>
          <w:tab w:val="right" w:pos="9922" w:leader="dot"/>
        </w:tabs>
      </w:pPr>
      <w:hyperlink w:anchor="_TOC000042" w:history="1">
        <w:r>
          <w:t>4.7.5</w:t>
          <w:tab/>
          <w:t xml:space="preserve"> Kühlung</w:t>
          <w:tab/>
          <w:t>33</w:t>
        </w:r>
      </w:hyperlink>
    </w:p>
    <w:p>
      <w:pPr>
        <w:pStyle w:val="para34"/>
        <w:tabs defTabSz="708">
          <w:tab w:val="left" w:pos="1134" w:leader="none"/>
          <w:tab w:val="right" w:pos="9922" w:leader="dot"/>
        </w:tabs>
      </w:pPr>
      <w:hyperlink w:anchor="_TOC000027" w:history="1">
        <w:r>
          <w:t>4.7.6</w:t>
          <w:tab/>
          <w:t xml:space="preserve"> analoge Messungen</w:t>
          <w:tab/>
          <w:t>33</w:t>
        </w:r>
      </w:hyperlink>
    </w:p>
    <w:p>
      <w:pPr>
        <w:pStyle w:val="para34"/>
        <w:tabs defTabSz="708">
          <w:tab w:val="left" w:pos="1134" w:leader="none"/>
          <w:tab w:val="right" w:pos="9922" w:leader="dot"/>
        </w:tabs>
      </w:pPr>
      <w:hyperlink w:anchor="_TOC000028" w:history="1">
        <w:r>
          <w:t>4.7.7</w:t>
          <w:tab/>
          <w:t xml:space="preserve"> Be-/Entfeuchtung</w:t>
          <w:tab/>
          <w:t>34</w:t>
        </w:r>
      </w:hyperlink>
    </w:p>
    <w:p>
      <w:pPr>
        <w:pStyle w:val="para34"/>
        <w:tabs defTabSz="708">
          <w:tab w:val="left" w:pos="1134" w:leader="none"/>
          <w:tab w:val="right" w:pos="9922" w:leader="dot"/>
        </w:tabs>
      </w:pPr>
      <w:hyperlink w:anchor="_TOC000043" w:history="1">
        <w:r>
          <w:t>4.7.8</w:t>
          <w:tab/>
          <w:t xml:space="preserve"> Beleuchtung</w:t>
          <w:tab/>
          <w:t>34</w:t>
        </w:r>
      </w:hyperlink>
    </w:p>
    <w:p>
      <w:pPr>
        <w:pStyle w:val="para34"/>
        <w:tabs defTabSz="708">
          <w:tab w:val="left" w:pos="1134" w:leader="none"/>
          <w:tab w:val="right" w:pos="9922" w:leader="dot"/>
        </w:tabs>
      </w:pPr>
      <w:hyperlink w:anchor="_TOC000044" w:history="1">
        <w:r>
          <w:t>4.7.9</w:t>
          <w:tab/>
          <w:t xml:space="preserve"> Belüftung (Option)</w:t>
          <w:tab/>
          <w:t>34</w:t>
        </w:r>
      </w:hyperlink>
    </w:p>
    <w:p>
      <w:pPr>
        <w:pStyle w:val="para32"/>
        <w:tabs defTabSz="708">
          <w:tab w:val="left" w:pos="850" w:leader="none"/>
          <w:tab w:val="right" w:pos="9922" w:leader="dot"/>
        </w:tabs>
      </w:pPr>
      <w:hyperlink w:anchor="_TOC000031" w:history="1">
        <w:r>
          <w:t>4.8</w:t>
          <w:tab/>
          <w:t xml:space="preserve"> Außerbetriebnahme</w:t>
          <w:tab/>
          <w:t>35</w:t>
        </w:r>
      </w:hyperlink>
    </w:p>
    <w:p>
      <w:r>
        <w:fldChar w:fldCharType="end"/>
      </w:r>
      <w:r/>
    </w:p>
    <w:p>
      <w:r>
        <w:br w:type="page"/>
      </w:r>
      <w:r/>
    </w:p>
    <w:p>
      <w:r>
        <w:br w:type="page"/>
      </w:r>
    </w:p>
    <w:tbl>
      <w:tblPr>
        <w:tblStyle w:val="NormalTable"/>
        <w:name w:val="Tabelle4"/>
        <w:tabOrder w:val="0"/>
        <w:jc w:val="center"/>
        <w:tblInd w:w="0" w:type="dxa"/>
        <w:tblW w:w="9922" w:type="dxa"/>
        <w:tblLook w:val="0600" w:firstRow="0" w:lastRow="0" w:firstColumn="0" w:lastColumn="0" w:noHBand="1" w:noVBand="1"/>
      </w:tblPr>
      <w:tblGrid>
        <w:gridCol w:w="9922"/>
      </w:tblGrid>
      <w:tr>
        <w:trPr>
          <w:tblHeader w:val="0"/>
          <w:cantSplit w:val="0"/>
          <w:trHeight w:val="0" w:hRule="auto"/>
        </w:trPr>
        <w:tc>
          <w:tcPr>
            <w:tcW w:w="9922" w:type="dxa"/>
            <w:shd w:val="solid" w:color="0000FF" tmshd="6553856, 16711680, 16777215"/>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34634931" protected="0"/>
          </w:tcPr>
          <w:p>
            <w:pPr>
              <w:pStyle w:val="para15"/>
              <w:spacing/>
              <w:jc w:val="center"/>
              <w:rPr>
                <w:sz w:val="28"/>
                <w:szCs w:val="28"/>
              </w:rPr>
            </w:pPr>
            <w:r>
              <w:rPr>
                <w:sz w:val="28"/>
                <w:szCs w:val="28"/>
              </w:rPr>
              <w:t>BERTHEL AB HIER 2020</w:t>
            </w:r>
          </w:p>
        </w:tc>
      </w:tr>
    </w:tbl>
    <w:p>
      <w:pPr>
        <w:pStyle w:val="para1"/>
        <w:numPr>
          <w:ilvl w:val="0"/>
          <w:numId w:val="9"/>
        </w:numPr>
        <w:ind w:left="432" w:hanging="432"/>
      </w:pPr>
      <w:bookmarkStart w:id="0" w:name="_Ref488491063"/>
      <w:r/>
      <w:bookmarkEnd w:id="0"/>
      <w:r/>
      <w:bookmarkStart w:id="1" w:name="_Ref488491067"/>
      <w:r/>
      <w:bookmarkEnd w:id="1"/>
      <w:r/>
      <w:bookmarkStart w:id="2" w:name="_Toc495563830"/>
      <w:r/>
      <w:bookmarkEnd w:id="2"/>
      <w:r/>
      <w:bookmarkStart w:id="3" w:name="_Hlk488476226"/>
      <w:r/>
      <w:bookmarkEnd w:id="3"/>
      <w:r>
        <w:t>Bedienung der Anlage</w:t>
      </w:r>
    </w:p>
    <w:p>
      <w:pPr>
        <w:ind w:left="284"/>
      </w:pPr>
      <w:r>
        <w:t xml:space="preserve">Die Bedienelemente für die Anlage befinden sich in der Schaltschranktür.  </w:t>
      </w:r>
    </w:p>
    <w:p>
      <w:pPr>
        <w:ind w:right="-284"/>
      </w:pPr>
      <w:r>
        <w:t xml:space="preserve">   </w:t>
      </w:r>
      <w:r>
        <w:rPr>
          <w:noProof/>
        </w:rPr>
        <w:drawing>
          <wp:inline distT="0" distB="0" distL="0" distR="0">
            <wp:extent cx="2517775" cy="1888490"/>
            <wp:effectExtent l="0" t="0" r="0" b="0"/>
            <wp:docPr id="1" name="Grafik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264"/>
                    <pic:cNvPicPr>
                      <a:picLocks noChangeAspect="1"/>
                      <a:extLst>
                        <a:ext uri="smNativeData">
                          <sm:smNativeData xmlns:sm="smNativeData" val="SMDATA_17_s4xuYRMAAAAlAAAAEQAAAG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H0PAAA8HwAAfQ8AADwf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2AAAAByAAAAAAAAAAAAAAAQAAAAAAAAAAAAAAAQAAAAAAAAAAAAAAngsAAH0PAAAAAAAAAAAAAAAAAAAoAAAACAAAAAEAAAABAAAAMAAAABQAAAAAAAAAAAD//wAAAQAAAP//AAABAA=="/>
                        </a:ext>
                      </a:extLst>
                    </pic:cNvPicPr>
                  </pic:nvPicPr>
                  <pic:blipFill>
                    <a:blip r:embed="rId8"/>
                    <a:stretch>
                      <a:fillRect/>
                    </a:stretch>
                  </pic:blipFill>
                  <pic:spPr>
                    <a:xfrm rot="5400000">
                      <a:off x="0" y="0"/>
                      <a:ext cx="2517775" cy="1888490"/>
                    </a:xfrm>
                    <a:prstGeom prst="rect">
                      <a:avLst/>
                    </a:prstGeom>
                    <a:noFill/>
                    <a:ln w="12700">
                      <a:noFill/>
                    </a:ln>
                  </pic:spPr>
                </pic:pic>
              </a:graphicData>
            </a:graphic>
          </wp:inline>
        </w:drawing>
      </w:r>
      <w:r/>
    </w:p>
    <w:p>
      <w:pPr>
        <w:pStyle w:val="para13"/>
      </w:pPr>
      <w:r>
        <w:t xml:space="preserve">Abbildung </w:t>
      </w:r>
      <w:r>
        <w:fldChar w:fldCharType="begin"/>
        <w:instrText xml:space="preserve"> SEQ "Abbildung" \* Arabic </w:instrText>
        <w:fldChar w:fldCharType="separate"/>
        <w:t>1</w:t>
        <w:fldChar w:fldCharType="end"/>
      </w:r>
    </w:p>
    <w:p>
      <w:pPr>
        <w:ind w:right="-284"/>
      </w:pPr>
      <w:r>
        <w:t xml:space="preserve">  Abbildung </w:t>
      </w:r>
      <w:r>
        <w:fldChar w:fldCharType="begin"/>
        <w:instrText xml:space="preserve"> SEQ "Abbildung" \* Arabic </w:instrText>
        <w:fldChar w:fldCharType="separate"/>
        <w:t>2</w:t>
        <w:fldChar w:fldCharType="end"/>
      </w:r>
      <w:r>
        <w:t xml:space="preserve"> Schaltschrank Bedienelemente</w:t>
      </w:r>
    </w:p>
    <w:p>
      <w:pPr>
        <w:pStyle w:val="para2"/>
        <w:numPr>
          <w:ilvl w:val="1"/>
          <w:numId w:val="9"/>
        </w:numPr>
        <w:ind w:left="576" w:hanging="576"/>
      </w:pPr>
      <w:r>
        <w:br w:type="page"/>
      </w:r>
      <w:bookmarkStart w:id="4" w:name="_Toc495563831"/>
      <w:r/>
      <w:bookmarkEnd w:id="4"/>
      <w:r>
        <w:t>Allgemeine Angaben</w:t>
      </w:r>
    </w:p>
    <w:tbl>
      <w:tblPr>
        <w:tblStyle w:val="TableGrid"/>
        <w:name w:val="Tabelle5"/>
        <w:tabOrder w:val="0"/>
        <w:jc w:val="left"/>
        <w:tblInd w:w="0" w:type="dxa"/>
        <w:tblW w:w="9912" w:type="dxa"/>
        <w:tblLook w:val="04A0" w:firstRow="1" w:lastRow="0" w:firstColumn="1" w:lastColumn="0" w:noHBand="0" w:noVBand="1"/>
      </w:tblPr>
      <w:tblGrid>
        <w:gridCol w:w="2835"/>
        <w:gridCol w:w="7077"/>
      </w:tblGrid>
      <w:tr>
        <w:trPr>
          <w:tblHeader w:val="0"/>
          <w:cantSplit w:val="0"/>
          <w:trHeight w:val="0" w:hRule="auto"/>
        </w:trPr>
        <w:tc>
          <w:tcPr>
            <w:tcW w:w="2835" w:type="dxa"/>
            <w:tcBorders>
              <w:bottom w:val="single" w:sz="6" w:space="0" w:color="000000" tmln="15, 20, 20, 0, 0"/>
              <w:right w:val="single" w:sz="6" w:space="0" w:color="000000" tmln="15, 20, 20, 0, 0"/>
            </w:tcBorders>
            <w:tmTcPr id="1634634931" protected="0"/>
          </w:tcPr>
          <w:p>
            <w:pPr/>
            <w:r/>
          </w:p>
        </w:tc>
        <w:tc>
          <w:tcPr>
            <w:tcW w:w="7077" w:type="dxa"/>
            <w:tcBorders>
              <w:left w:val="single" w:sz="6" w:space="0" w:color="000000" tmln="15, 20, 20, 0, 0"/>
              <w:bottom w:val="single" w:sz="6" w:space="0" w:color="000000" tmln="15, 20, 20, 0, 0"/>
            </w:tcBorders>
            <w:tmTcPr id="1634634931" protected="0"/>
          </w:tcPr>
          <w:p>
            <w:pPr/>
            <w:r>
              <w:t xml:space="preserve">Die Bedienung der Anlage erfolgt über den Programmregler SE-702. Dieser bietet eine Touch-Oberfläche. Das Gerät hat folgende Funktionen: </w:t>
            </w:r>
          </w:p>
          <w:p>
            <w:pPr>
              <w:pStyle w:val="para27"/>
              <w:numPr>
                <w:ilvl w:val="0"/>
                <w:numId w:val="6"/>
              </w:numPr>
              <w:ind w:left="604" w:hanging="567"/>
            </w:pPr>
            <w:r>
              <w:t>Anzeige von Istwerten</w:t>
            </w:r>
          </w:p>
          <w:p>
            <w:pPr>
              <w:pStyle w:val="para27"/>
              <w:numPr>
                <w:ilvl w:val="0"/>
                <w:numId w:val="6"/>
              </w:numPr>
              <w:ind w:left="604" w:hanging="567"/>
            </w:pPr>
            <w:r>
              <w:t>Eingabe von Sollwerten und Programmen</w:t>
            </w:r>
          </w:p>
          <w:p>
            <w:pPr>
              <w:pStyle w:val="para27"/>
              <w:numPr>
                <w:ilvl w:val="0"/>
                <w:numId w:val="6"/>
              </w:numPr>
              <w:ind w:left="604" w:hanging="567"/>
            </w:pPr>
            <w:r>
              <w:t>Anzeige von Störmeldungen</w:t>
            </w:r>
          </w:p>
          <w:p>
            <w:pPr>
              <w:pStyle w:val="para27"/>
              <w:numPr>
                <w:ilvl w:val="0"/>
                <w:numId w:val="6"/>
              </w:numPr>
              <w:ind w:left="604" w:hanging="567"/>
            </w:pPr>
            <w:r>
              <w:t>Bedienung (Start/Stopp, Programmwahl)</w:t>
            </w:r>
          </w:p>
          <w:p>
            <w:pPr>
              <w:pStyle w:val="para27"/>
              <w:numPr>
                <w:ilvl w:val="0"/>
                <w:numId w:val="6"/>
              </w:numPr>
              <w:ind w:left="604" w:hanging="567"/>
            </w:pPr>
            <w:r>
              <w:t>Datenlogger</w:t>
            </w:r>
          </w:p>
          <w:p>
            <w:pPr/>
            <w:r>
              <w:t>Bitte unbedingt  Bedienanleitung von Stange-Elektronik beachten.</w:t>
              <w:br w:type="textWrapping"/>
              <w:t>Die Anlage kann in den Betriebsarten „Hand“ und „Programm“ betrieben werden.</w:t>
              <w:br w:type="textWrapping"/>
              <w:t xml:space="preserve"> </w:t>
            </w:r>
          </w:p>
          <w:p>
            <w:pPr/>
            <w:r>
              <w:t xml:space="preserve">Abbildung </w:t>
            </w:r>
            <w:r>
              <w:fldChar w:fldCharType="begin"/>
              <w:instrText xml:space="preserve"> SEQ "Abbildung" \* Arabic </w:instrText>
              <w:fldChar w:fldCharType="separate"/>
              <w:t>3</w:t>
              <w:fldChar w:fldCharType="end"/>
            </w:r>
            <w:r>
              <w:t xml:space="preserve"> Bedienfeld </w:t>
            </w:r>
          </w:p>
          <w:p>
            <w:pPr/>
            <w:r>
              <w:t>Der Hauptschalter an der Schaltschrankseite dient zum regulären Ein- und Ausschalten der Anlage, aber auch als Not-Aus-Schalter im Gefahrenfall. Der Hauptschalter trennt alle elektrischen Komponenten vom Stromnetz.</w:t>
            </w:r>
          </w:p>
          <w:p>
            <w:pPr/>
            <w:r>
              <w:t>Der EMERGENCY STOP -Taster in der Klimakammer schaltet in der Anlage alle Antriebe/ Heizungen komplett außer Betrieb. Einige elektrische Komponenten, vor allem im Schaltschrank, bleiben dabei unter Spannung. Bei EMERGENCY STOP  werden die Leuchten im Zellen-Inneren automatisch dauerhaft eingeschaltet.</w:t>
            </w:r>
          </w:p>
          <w:p>
            <w:pPr>
              <w:rPr>
                <w:rFonts w:eastAsia="Calibri"/>
              </w:rPr>
            </w:pPr>
            <w:r>
              <w:rPr>
                <w:rFonts w:eastAsia="Calibri"/>
              </w:rPr>
              <w:t>Über das Touch-Display wird die Anlage bedient. Gleichzeitig werden darüber Informationen über den Betriebszustand der Anlage sowie über Störungen ausgegeben. Außerdem werden die Messwerte in der Zelle aufgezeichnet.</w:t>
            </w:r>
            <w:r>
              <w:t xml:space="preserve"> </w:t>
            </w:r>
            <w:r>
              <w:rPr>
                <w:rFonts w:eastAsia="Calibri"/>
              </w:rPr>
            </w:r>
          </w:p>
          <w:p>
            <w:pPr>
              <w:rPr>
                <w:rFonts w:eastAsia="Calibri"/>
              </w:rPr>
            </w:pPr>
            <w:r>
              <w:t>Die unterschiedlichen Bedienmöglichkeiten sind über Passworte abgesichert.</w:t>
            </w:r>
            <w:r>
              <w:rPr>
                <w:rFonts w:eastAsia="Calibri"/>
              </w:rPr>
            </w:r>
          </w:p>
          <w:p>
            <w:pPr>
              <w:rPr>
                <w:rFonts w:eastAsia="Calibri"/>
              </w:rPr>
            </w:pPr>
            <w:r>
              <w:rPr>
                <w:rFonts w:eastAsia="Calibri"/>
              </w:rPr>
              <w:t xml:space="preserve">Die Hupe signalisiert Störungen akustisch. </w:t>
            </w:r>
          </w:p>
          <w:p>
            <w:pPr/>
            <w:r>
              <w:t xml:space="preserve">Der externe Prüfgutschutz sichert das Prüfgut vor unzulässigen Temperaturen. </w:t>
            </w:r>
          </w:p>
          <w:p>
            <w:pPr/>
            <w:r>
              <w:t>Der Bediener kann zu den Temperaturgrenzen in der Steuerung zusätzliche Grenzen einstellen. Der Prüfgutschutz dient damit als Sicherheit im Falle einer Fehlfunktion der Heizung und Kühlung.</w:t>
            </w:r>
          </w:p>
          <w:p>
            <w:pPr/>
            <w:r>
              <w:t>Die zulässigen Grenzwerte für Temperatur und die mechanische Belastung des Prüfraumes sind zu beachten, siehe Kapitel 3.2 Technische Daten.</w:t>
            </w:r>
          </w:p>
          <w:p>
            <w:pPr/>
            <w:r>
              <w:t>Es stehen zwei potentialfreie Kontakte zur Störmeldung an die hausinterne Alarmanlage bzw. zum Abschalten von Wärme abgebendem Prüfgut zur Verfügung.</w:t>
            </w:r>
          </w:p>
          <w:p>
            <w:pPr/>
            <w:r/>
          </w:p>
        </w:tc>
      </w:tr>
      <w:tr>
        <w:trPr>
          <w:tblHeader w:val="0"/>
          <w:cantSplit w:val="0"/>
          <w:trHeight w:val="0" w:hRule="auto"/>
        </w:trPr>
        <w:tc>
          <w:tcPr>
            <w:tcW w:w="2835" w:type="dxa"/>
            <w:tcBorders>
              <w:top w:val="single" w:sz="6" w:space="0" w:color="000000" tmln="15, 20, 20, 0, 0"/>
              <w:bottom w:val="single" w:sz="6" w:space="0" w:color="000000" tmln="15, 20, 20, 0, 0"/>
              <w:right w:val="single" w:sz="6" w:space="0" w:color="000000" tmln="15, 20, 20, 0, 0"/>
            </w:tcBorders>
            <w:tmTcPr id="1634634931" protected="0"/>
          </w:tcPr>
          <w:p>
            <w:pPr/>
            <w:r/>
          </w:p>
        </w:tc>
        <w:tc>
          <w:tcPr>
            <w:tcW w:w="7077" w:type="dxa"/>
            <w:tcBorders>
              <w:top w:val="single" w:sz="6" w:space="0" w:color="000000" tmln="15, 20, 20, 0, 0"/>
              <w:left w:val="single" w:sz="6" w:space="0" w:color="000000" tmln="15, 20, 20, 0, 0"/>
              <w:bottom w:val="single" w:sz="6" w:space="0" w:color="000000" tmln="15, 20, 20, 0, 0"/>
            </w:tcBorders>
            <w:tmTcPr id="1634634931" protected="0"/>
          </w:tcPr>
          <w:p>
            <w:pPr>
              <w:spacing/>
              <w:jc w:val="center"/>
            </w:pPr>
            <w:r>
              <w:rPr>
                <w:noProof/>
              </w:rPr>
              <w:drawing>
                <wp:inline distT="0" distB="0" distL="0" distR="0">
                  <wp:extent cx="1085850" cy="352425"/>
                  <wp:effectExtent l="0" t="0" r="0" b="0"/>
                  <wp:docPr id="2" name="Grafik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66"/>
                          <pic:cNvPicPr>
                            <a:picLocks noChangeAspect="1"/>
                            <a:extLst>
                              <a:ext uri="smNativeData">
                                <sm:smNativeData xmlns:sm="smNativeData" val="SMDATA_17_s4xuYR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6AAAAB6AAAAAAAAACAAAAAAAAAAAAAAAAAAAAAAAAAAAAAAAAAAAArgYAACsCAAAAAAAAAAAAAAAAAAAoAAAACAAAAAEAAAABAAAAMAAAABQAAAAAAAAAAAD//wAAAQAAAP//AAABAA=="/>
                              </a:ext>
                            </a:extLst>
                          </pic:cNvPicPr>
                        </pic:nvPicPr>
                        <pic:blipFill>
                          <a:blip r:embed="rId9"/>
                          <a:stretch>
                            <a:fillRect/>
                          </a:stretch>
                        </pic:blipFill>
                        <pic:spPr>
                          <a:xfrm>
                            <a:off x="0" y="0"/>
                            <a:ext cx="1085850" cy="352425"/>
                          </a:xfrm>
                          <a:prstGeom prst="rect">
                            <a:avLst/>
                          </a:prstGeom>
                          <a:noFill/>
                          <a:ln w="12700">
                            <a:noFill/>
                          </a:ln>
                        </pic:spPr>
                      </pic:pic>
                    </a:graphicData>
                  </a:graphic>
                </wp:inline>
              </w:drawing>
            </w:r>
            <w:r/>
          </w:p>
        </w:tc>
      </w:tr>
      <w:tr>
        <w:trPr>
          <w:tblHeader w:val="0"/>
          <w:cantSplit w:val="0"/>
          <w:trHeight w:val="0" w:hRule="auto"/>
        </w:trPr>
        <w:tc>
          <w:tcPr>
            <w:tcW w:w="2835" w:type="dxa"/>
            <w:tcBorders>
              <w:top w:val="single" w:sz="6" w:space="0" w:color="000000" tmln="15, 20, 20, 0, 0"/>
              <w:bottom w:val="single" w:sz="6" w:space="0" w:color="000000" tmln="15, 20, 20, 0, 0"/>
              <w:right w:val="single" w:sz="6" w:space="0" w:color="000000" tmln="15, 20, 20, 0, 0"/>
            </w:tcBorders>
            <w:tmTcPr id="1634634931" protected="0"/>
          </w:tcPr>
          <w:p>
            <w:pPr/>
            <w:r/>
          </w:p>
          <w:p>
            <w:pPr/>
            <w:r>
              <w:rPr>
                <w:noProof/>
              </w:rPr>
              <w:drawing>
                <wp:anchor distT="0" distB="0" distL="114300" distR="114935" simplePos="0" relativeHeight="251658264" behindDoc="0" locked="0" layoutInCell="1" hidden="0" allowOverlap="1">
                  <wp:simplePos x="0" y="0"/>
                  <wp:positionH relativeFrom="column">
                    <wp:posOffset>536575</wp:posOffset>
                  </wp:positionH>
                  <wp:positionV relativeFrom="paragraph">
                    <wp:posOffset>8255</wp:posOffset>
                  </wp:positionV>
                  <wp:extent cx="570865" cy="485140"/>
                  <wp:effectExtent l="0" t="0" r="0" b="0"/>
                  <wp:wrapNone/>
                  <wp:docPr id="24" name="Grafik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fik 96"/>
                          <pic:cNvPicPr>
                            <a:picLocks noChangeAspect="1"/>
                            <a:extLst>
                              <a:ext uri="smNativeData">
                                <sm:smNativeData xmlns:sm="smNativeData" val="SMDATA_17_s4xu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9AAEAAKAAAAAAAAADAAAAAAAAAAIAAABNAwAAAAAAAAIAAAANAAAAgwMAAPwCAAAFAAAAmgcAABA4AAAoAAAACAAAAAEAAAABAAAAMAAAABQAAAAAAAAAAAD//wAAAQAAAP//AAABAA=="/>
                              </a:ext>
                            </a:extLst>
                          </pic:cNvPicPr>
                        </pic:nvPicPr>
                        <pic:blipFill>
                          <a:blip r:embed="rId10"/>
                          <a:stretch>
                            <a:fillRect/>
                          </a:stretch>
                        </pic:blipFill>
                        <pic:spPr>
                          <a:xfrm>
                            <a:off x="0" y="0"/>
                            <a:ext cx="570865" cy="485140"/>
                          </a:xfrm>
                          <a:prstGeom prst="rect">
                            <a:avLst/>
                          </a:prstGeom>
                          <a:noFill/>
                          <a:ln w="12700">
                            <a:noFill/>
                          </a:ln>
                        </pic:spPr>
                      </pic:pic>
                    </a:graphicData>
                  </a:graphic>
                </wp:anchor>
              </w:drawing>
            </w:r>
            <w:r/>
          </w:p>
          <w:p>
            <w:pPr/>
            <w:r/>
          </w:p>
        </w:tc>
        <w:tc>
          <w:tcPr>
            <w:tcW w:w="7077" w:type="dxa"/>
            <w:tcBorders>
              <w:top w:val="single" w:sz="6" w:space="0" w:color="000000" tmln="15, 20, 20, 0, 0"/>
              <w:left w:val="single" w:sz="6" w:space="0" w:color="000000" tmln="15, 20, 20, 0, 0"/>
              <w:bottom w:val="single" w:sz="6" w:space="0" w:color="000000" tmln="15, 20, 20, 0, 0"/>
            </w:tcBorders>
            <w:tmTcPr id="1634634931" protected="0"/>
          </w:tcPr>
          <w:p>
            <w:pPr/>
            <w:r>
              <w:t>Bei einem eventuellen Störfall schaltet die Anlage automatisch ab und es steht keine Kühlung mehr zur Verfügung. Wärmeabgebendes Prüfgut würde den Prüfraum unzulässig hoch erhitzen.</w:t>
            </w:r>
          </w:p>
          <w:p>
            <w:pPr/>
            <w:r>
              <w:t>Deshalb muss sichergestellt werden, dass beim Abschalten der Anlage auch die Wärmeabgabe des Prüfgutes unterbrochen wird. Dies kann nach entsprechender Umformung mit dem Störkontakt ausgelöst werden!</w:t>
            </w:r>
          </w:p>
          <w:p>
            <w:pPr/>
            <w:r/>
          </w:p>
        </w:tc>
      </w:tr>
      <w:tr>
        <w:trPr>
          <w:tblHeader w:val="0"/>
          <w:cantSplit w:val="0"/>
          <w:trHeight w:val="0" w:hRule="auto"/>
        </w:trPr>
        <w:tc>
          <w:tcPr>
            <w:tcW w:w="2835" w:type="dxa"/>
            <w:tcBorders>
              <w:top w:val="single" w:sz="6" w:space="0" w:color="000000" tmln="15, 20, 20, 0, 0"/>
              <w:bottom w:val="single" w:sz="6" w:space="0" w:color="000000" tmln="15, 20, 20, 0, 0"/>
              <w:right w:val="single" w:sz="6" w:space="0" w:color="000000" tmln="15, 20, 20, 0, 0"/>
            </w:tcBorders>
            <w:tmTcPr id="1634634931" protected="0"/>
          </w:tcPr>
          <w:p>
            <w:pPr>
              <w:spacing/>
              <w:jc w:val="center"/>
            </w:pPr>
            <w:r/>
          </w:p>
        </w:tc>
        <w:tc>
          <w:tcPr>
            <w:tcW w:w="7077" w:type="dxa"/>
            <w:tcBorders>
              <w:top w:val="single" w:sz="6" w:space="0" w:color="000000" tmln="15, 20, 20, 0, 0"/>
              <w:left w:val="single" w:sz="6" w:space="0" w:color="000000" tmln="15, 20, 20, 0, 0"/>
              <w:bottom w:val="single" w:sz="6" w:space="0" w:color="000000" tmln="15, 20, 20, 0, 0"/>
            </w:tcBorders>
            <w:tmTcPr id="1634634931" protected="0"/>
          </w:tcPr>
          <w:p>
            <w:pPr>
              <w:pStyle w:val="para15"/>
              <w:spacing/>
              <w:jc w:val="center"/>
            </w:pPr>
            <w:r>
              <w:rPr>
                <w:noProof/>
              </w:rPr>
              <w:drawing>
                <wp:inline distT="0" distB="0" distL="0" distR="0">
                  <wp:extent cx="2097405" cy="353695"/>
                  <wp:effectExtent l="0" t="0" r="0" b="0"/>
                  <wp:docPr id="3" name="Grafik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267"/>
                          <pic:cNvPicPr>
                            <a:picLocks noChangeAspect="1"/>
                            <a:extLst>
                              <a:ext uri="smNativeData">
                                <sm:smNativeData xmlns:sm="smNativeData" val="SMDATA_17_s4xu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6AAAAB6AAAAAAAAAEAAAAAAAAAAAAAAAAAAAAAAAAAAAAAAAAAAAA5wwAAC0CAAAAAAAAAAAAAAAAAAAoAAAACAAAAAEAAAABAAAAMAAAABQAAAAAAAAAAAD//wAAAQAAAP//AAABAA=="/>
                              </a:ext>
                            </a:extLst>
                          </pic:cNvPicPr>
                        </pic:nvPicPr>
                        <pic:blipFill>
                          <a:blip r:embed="rId11"/>
                          <a:stretch>
                            <a:fillRect/>
                          </a:stretch>
                        </pic:blipFill>
                        <pic:spPr>
                          <a:xfrm>
                            <a:off x="0" y="0"/>
                            <a:ext cx="2097405" cy="353695"/>
                          </a:xfrm>
                          <a:prstGeom prst="rect">
                            <a:avLst/>
                          </a:prstGeom>
                          <a:noFill/>
                          <a:ln w="12700">
                            <a:noFill/>
                          </a:ln>
                        </pic:spPr>
                      </pic:pic>
                    </a:graphicData>
                  </a:graphic>
                </wp:inline>
              </w:drawing>
            </w:r>
            <w:r/>
          </w:p>
        </w:tc>
      </w:tr>
      <w:tr>
        <w:trPr>
          <w:tblHeader w:val="0"/>
          <w:cantSplit w:val="0"/>
          <w:trHeight w:val="0" w:hRule="auto"/>
        </w:trPr>
        <w:tc>
          <w:tcPr>
            <w:tcW w:w="2835" w:type="dxa"/>
            <w:tcBorders>
              <w:top w:val="single" w:sz="6" w:space="0" w:color="000000" tmln="15, 20, 20, 0, 0"/>
              <w:bottom w:val="single" w:sz="6" w:space="0" w:color="000000" tmln="15, 20, 20, 0, 0"/>
              <w:right w:val="single" w:sz="6" w:space="0" w:color="000000" tmln="15, 20, 20, 0, 0"/>
            </w:tcBorders>
            <w:tmTcPr id="1634634931" protected="0"/>
          </w:tcPr>
          <w:p>
            <w:pPr>
              <w:spacing/>
              <w:jc w:val="center"/>
            </w:pPr>
            <w:r>
              <w:rPr>
                <w:noProof/>
              </w:rPr>
              <w:drawing>
                <wp:inline distT="0" distB="0" distL="0" distR="0">
                  <wp:extent cx="1146175" cy="494030"/>
                  <wp:effectExtent l="0" t="0" r="0" b="0"/>
                  <wp:docPr id="4" name="Grafik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268"/>
                          <pic:cNvPicPr>
                            <a:picLocks noChangeAspect="1"/>
                            <a:extLst>
                              <a:ext uri="smNativeData">
                                <sm:smNativeData xmlns:sm="smNativeData" val="SMDATA_17_s4xu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6AAAAB6AAAAAAAAAFAAAAAAAAAAAAAAAAAAAAAAAAAAAAAAAAAAAADQcAAAoDAAAAAAAAAAAAAAAAAAAoAAAACAAAAAEAAAABAAAAMAAAABQAAAAAAAAAAAD//wAAAQAAAP//AAABAA=="/>
                              </a:ext>
                            </a:extLst>
                          </pic:cNvPicPr>
                        </pic:nvPicPr>
                        <pic:blipFill>
                          <a:blip r:embed="rId12"/>
                          <a:stretch>
                            <a:fillRect/>
                          </a:stretch>
                        </pic:blipFill>
                        <pic:spPr>
                          <a:xfrm>
                            <a:off x="0" y="0"/>
                            <a:ext cx="1146175" cy="494030"/>
                          </a:xfrm>
                          <a:prstGeom prst="rect">
                            <a:avLst/>
                          </a:prstGeom>
                          <a:noFill/>
                          <a:ln w="12700">
                            <a:noFill/>
                          </a:ln>
                        </pic:spPr>
                      </pic:pic>
                    </a:graphicData>
                  </a:graphic>
                </wp:inline>
              </w:drawing>
            </w:r>
            <w:r/>
          </w:p>
        </w:tc>
        <w:tc>
          <w:tcPr>
            <w:tcW w:w="7077" w:type="dxa"/>
            <w:tcBorders>
              <w:top w:val="single" w:sz="6" w:space="0" w:color="000000" tmln="15, 20, 20, 0, 0"/>
              <w:left w:val="single" w:sz="6" w:space="0" w:color="000000" tmln="15, 20, 20, 0, 0"/>
              <w:bottom w:val="single" w:sz="6" w:space="0" w:color="000000" tmln="15, 20, 20, 0, 0"/>
            </w:tcBorders>
            <w:tmTcPr id="1634634931" protected="0"/>
          </w:tcPr>
          <w:p>
            <w:pPr/>
            <w:r>
              <w:t>Es dürfen keine brennbaren und explosiven Gase oder Flüssigkeiten, Stäube oder sonstiges Prüfgut, welches sich gefährdend im Temperaturbereich der Anlage verhält, in den Prüfraum oder in die Nähe der Anlage gebracht werden!</w:t>
            </w:r>
          </w:p>
          <w:p>
            <w:pPr>
              <w:pStyle w:val="para15"/>
            </w:pPr>
            <w:r/>
          </w:p>
        </w:tc>
      </w:tr>
      <w:tr>
        <w:trPr>
          <w:tblHeader w:val="0"/>
          <w:cantSplit w:val="0"/>
          <w:trHeight w:val="0" w:hRule="auto"/>
        </w:trPr>
        <w:tc>
          <w:tcPr>
            <w:tcW w:w="2835" w:type="dxa"/>
            <w:tcBorders>
              <w:top w:val="single" w:sz="6" w:space="0" w:color="000000" tmln="15, 20, 20, 0, 0"/>
              <w:right w:val="single" w:sz="6" w:space="0" w:color="000000" tmln="15, 20, 20, 0, 0"/>
            </w:tcBorders>
            <w:tmTcPr id="1634634931" protected="0"/>
          </w:tcPr>
          <w:p>
            <w:pPr>
              <w:spacing/>
              <w:jc w:val="center"/>
            </w:pPr>
            <w:r/>
          </w:p>
        </w:tc>
        <w:tc>
          <w:tcPr>
            <w:tcW w:w="7077" w:type="dxa"/>
            <w:tcBorders>
              <w:top w:val="single" w:sz="6" w:space="0" w:color="000000" tmln="15, 20, 20, 0, 0"/>
              <w:left w:val="single" w:sz="6" w:space="0" w:color="000000" tmln="15, 20, 20, 0, 0"/>
            </w:tcBorders>
            <w:tmTcPr id="1634634931" protected="0"/>
          </w:tcPr>
          <w:p>
            <w:pPr/>
            <w:r>
              <w:t xml:space="preserve">Bei Störungen im Betrieb siehe </w:t>
            </w:r>
            <w:r>
              <w:rPr>
                <w:color w:val="000000"/>
              </w:rPr>
              <w:t xml:space="preserve">Kapitel 4.4 </w:t>
            </w:r>
            <w:r>
              <w:t>Verhalten im Störfall.</w:t>
            </w:r>
          </w:p>
        </w:tc>
      </w:tr>
    </w:tbl>
    <w:p>
      <w:pPr>
        <w:pStyle w:val="para2"/>
        <w:numPr>
          <w:ilvl w:val="1"/>
          <w:numId w:val="9"/>
        </w:numPr>
        <w:ind w:left="576" w:right="-284" w:hanging="576"/>
      </w:pPr>
      <w:r>
        <w:br w:type="page"/>
      </w:r>
      <w:bookmarkStart w:id="5" w:name="_Toc495563832"/>
      <w:r/>
      <w:bookmarkEnd w:id="5"/>
      <w:r>
        <w:t>Anzeige- und Bedienelemente</w:t>
      </w:r>
    </w:p>
    <w:p>
      <w:pPr>
        <w:pStyle w:val="para3"/>
        <w:numPr>
          <w:ilvl w:val="2"/>
          <w:numId w:val="9"/>
        </w:numPr>
        <w:ind w:left="720" w:hanging="720"/>
      </w:pPr>
      <w:bookmarkStart w:id="6" w:name="_TOC000033"/>
      <w:r>
        <w:t>Schaltschrank</w:t>
      </w:r>
      <w:bookmarkEnd w:id="6"/>
      <w:r/>
    </w:p>
    <w:tbl>
      <w:tblPr>
        <w:tblStyle w:val="ListTable3"/>
        <w:name w:val="Tabelle26"/>
        <w:tabOrder w:val="0"/>
        <w:jc w:val="left"/>
        <w:tblInd w:w="0" w:type="dxa"/>
        <w:tblW w:w="9911" w:type="dxa"/>
        <w:tblLook w:val="04A0" w:firstRow="1" w:lastRow="0" w:firstColumn="1" w:lastColumn="0" w:noHBand="0" w:noVBand="1"/>
      </w:tblPr>
      <w:tblGrid>
        <w:gridCol w:w="2233"/>
        <w:gridCol w:w="4792"/>
        <w:gridCol w:w="2886"/>
      </w:tblGrid>
      <w:tr>
        <w:trPr>
          <w:tblHeader w:val="0"/>
          <w:cantSplit w:val="0"/>
          <w:trHeight w:val="0" w:hRule="auto"/>
        </w:trPr>
        <w:tc>
          <w:tcPr>
            <w:tcW w:w="2233" w:type="dxa"/>
            <w:tmTcPr id="1634634931" protected="0"/>
          </w:tcPr>
          <w:p>
            <w:pPr>
              <w:rPr>
                <w:sz w:val="22"/>
                <w:szCs w:val="22"/>
              </w:rPr>
            </w:pPr>
            <w:r>
              <w:rPr>
                <w:sz w:val="22"/>
                <w:szCs w:val="22"/>
              </w:rPr>
              <w:t>Bedienelemente</w:t>
            </w:r>
          </w:p>
        </w:tc>
        <w:tc>
          <w:tcPr>
            <w:tcW w:w="4792" w:type="dxa"/>
            <w:tmTcPr id="1634634931" protected="0"/>
          </w:tcPr>
          <w:p>
            <w:pPr>
              <w:rPr>
                <w:sz w:val="22"/>
                <w:szCs w:val="22"/>
              </w:rPr>
            </w:pPr>
            <w:r>
              <w:rPr>
                <w:sz w:val="22"/>
                <w:szCs w:val="22"/>
              </w:rPr>
              <w:t xml:space="preserve">Funktion </w:t>
            </w:r>
          </w:p>
        </w:tc>
        <w:tc>
          <w:tcPr>
            <w:tcW w:w="2886" w:type="dxa"/>
            <w:tmTcPr id="1634634931" protected="0"/>
          </w:tcPr>
          <w:p>
            <w:pPr>
              <w:rPr>
                <w:sz w:val="22"/>
                <w:szCs w:val="22"/>
              </w:rPr>
            </w:pPr>
            <w:r>
              <w:rPr>
                <w:sz w:val="22"/>
                <w:szCs w:val="22"/>
              </w:rPr>
              <w:t>Bemerkung</w:t>
            </w:r>
          </w:p>
        </w:tc>
      </w:tr>
      <w:tr>
        <w:trPr>
          <w:tblHeader w:val="0"/>
          <w:cantSplit w:val="0"/>
          <w:trHeight w:val="0" w:hRule="auto"/>
        </w:trPr>
        <w:tc>
          <w:tcPr>
            <w:tcW w:w="2233" w:type="dxa"/>
            <w:tmTcPr id="1634634931" protected="0"/>
          </w:tcPr>
          <w:p>
            <w:pPr>
              <w:rPr>
                <w:sz w:val="22"/>
                <w:szCs w:val="22"/>
              </w:rPr>
            </w:pPr>
            <w:r>
              <w:rPr>
                <w:sz w:val="22"/>
                <w:szCs w:val="22"/>
              </w:rPr>
              <w:t>Anlage EIN - Knebel</w:t>
            </w:r>
          </w:p>
        </w:tc>
        <w:tc>
          <w:tcPr>
            <w:tcW w:w="4792" w:type="dxa"/>
            <w:tmTcPr id="1634634931" protected="0"/>
          </w:tcPr>
          <w:p>
            <w:pPr>
              <w:rPr>
                <w:sz w:val="22"/>
                <w:szCs w:val="22"/>
              </w:rPr>
            </w:pPr>
            <w:r>
              <w:rPr>
                <w:sz w:val="22"/>
                <w:szCs w:val="22"/>
              </w:rPr>
              <w:t xml:space="preserve">gibt den Betrieb Heizen, Kühlen, Befeuchten, Entfeuchten frei </w:t>
            </w:r>
          </w:p>
        </w:tc>
        <w:tc>
          <w:tcPr>
            <w:tcW w:w="2886" w:type="dxa"/>
            <w:tmTcPr id="1634634931" protected="0"/>
          </w:tcPr>
          <w:p>
            <w:pPr>
              <w:rPr>
                <w:sz w:val="22"/>
                <w:szCs w:val="22"/>
              </w:rPr>
            </w:pPr>
            <w:r>
              <w:rPr>
                <w:sz w:val="22"/>
                <w:szCs w:val="22"/>
              </w:rPr>
            </w:r>
          </w:p>
        </w:tc>
      </w:tr>
      <w:tr>
        <w:trPr>
          <w:tblHeader w:val="0"/>
          <w:cantSplit w:val="0"/>
          <w:trHeight w:val="0" w:hRule="auto"/>
        </w:trPr>
        <w:tc>
          <w:tcPr>
            <w:tcW w:w="2233" w:type="dxa"/>
            <w:tmTcPr id="1634634931" protected="0"/>
          </w:tcPr>
          <w:p>
            <w:pPr>
              <w:rPr>
                <w:sz w:val="22"/>
                <w:szCs w:val="22"/>
              </w:rPr>
            </w:pPr>
            <w:r>
              <w:rPr>
                <w:sz w:val="22"/>
                <w:szCs w:val="22"/>
              </w:rPr>
              <w:t>Anlage EIN - Lechtmelder</w:t>
            </w:r>
          </w:p>
        </w:tc>
        <w:tc>
          <w:tcPr>
            <w:tcW w:w="4792" w:type="dxa"/>
            <w:tmTcPr id="1634634931" protected="0"/>
          </w:tcPr>
          <w:p>
            <w:pPr>
              <w:rPr>
                <w:sz w:val="22"/>
                <w:szCs w:val="22"/>
              </w:rPr>
            </w:pPr>
            <w:r>
              <w:rPr>
                <w:sz w:val="22"/>
                <w:szCs w:val="22"/>
              </w:rPr>
              <w:t>Anzeige „Anlage EIN“</w:t>
            </w:r>
          </w:p>
        </w:tc>
        <w:tc>
          <w:tcPr>
            <w:tcW w:w="2886" w:type="dxa"/>
            <w:tmTcPr id="1634634931" protected="0"/>
          </w:tcPr>
          <w:p>
            <w:pPr>
              <w:rPr>
                <w:sz w:val="22"/>
                <w:szCs w:val="22"/>
              </w:rPr>
            </w:pPr>
            <w:r>
              <w:rPr>
                <w:sz w:val="22"/>
                <w:szCs w:val="22"/>
              </w:rPr>
              <w:t>leuchtet wenn der Ventilator läuft</w:t>
            </w:r>
          </w:p>
        </w:tc>
      </w:tr>
      <w:tr>
        <w:trPr>
          <w:tblHeader w:val="0"/>
          <w:cantSplit w:val="0"/>
          <w:trHeight w:val="0" w:hRule="auto"/>
        </w:trPr>
        <w:tc>
          <w:tcPr>
            <w:tcW w:w="2233" w:type="dxa"/>
            <w:tmTcPr id="1634634931" protected="0"/>
          </w:tcPr>
          <w:p>
            <w:pPr>
              <w:rPr>
                <w:sz w:val="22"/>
                <w:szCs w:val="22"/>
              </w:rPr>
            </w:pPr>
            <w:r>
              <w:rPr>
                <w:sz w:val="22"/>
                <w:szCs w:val="22"/>
              </w:rPr>
              <w:t>NOT-Halt</w:t>
            </w:r>
          </w:p>
        </w:tc>
        <w:tc>
          <w:tcPr>
            <w:tcW w:w="4792" w:type="dxa"/>
            <w:tmTcPr id="1634634931" protected="0"/>
          </w:tcPr>
          <w:p>
            <w:pPr>
              <w:rPr>
                <w:sz w:val="22"/>
                <w:szCs w:val="22"/>
              </w:rPr>
            </w:pPr>
            <w:r>
              <w:rPr>
                <w:sz w:val="22"/>
                <w:szCs w:val="22"/>
              </w:rPr>
              <w:t xml:space="preserve">Abschalten aller Antriebe </w:t>
            </w:r>
          </w:p>
        </w:tc>
        <w:tc>
          <w:tcPr>
            <w:tcW w:w="2886" w:type="dxa"/>
            <w:tmTcPr id="1634634931" protected="0"/>
          </w:tcPr>
          <w:p>
            <w:pPr>
              <w:rPr>
                <w:sz w:val="22"/>
                <w:szCs w:val="22"/>
              </w:rPr>
            </w:pPr>
            <w:r>
              <w:rPr>
                <w:sz w:val="22"/>
                <w:szCs w:val="22"/>
              </w:rPr>
              <w:t>nach Auslösung, Taster Entriegeln und Quittieren</w:t>
            </w:r>
          </w:p>
        </w:tc>
      </w:tr>
      <w:tr>
        <w:trPr>
          <w:tblHeader w:val="0"/>
          <w:cantSplit w:val="0"/>
          <w:trHeight w:val="0" w:hRule="auto"/>
        </w:trPr>
        <w:tc>
          <w:tcPr>
            <w:tcW w:w="2233" w:type="dxa"/>
            <w:tmTcPr id="1634634931" protected="0"/>
          </w:tcPr>
          <w:p>
            <w:pPr>
              <w:rPr>
                <w:sz w:val="22"/>
                <w:szCs w:val="22"/>
              </w:rPr>
            </w:pPr>
            <w:r>
              <w:rPr>
                <w:sz w:val="22"/>
                <w:szCs w:val="22"/>
              </w:rPr>
              <w:t>Störung quittieren - Leuchtdrucktaster</w:t>
            </w:r>
          </w:p>
        </w:tc>
        <w:tc>
          <w:tcPr>
            <w:tcW w:w="4792" w:type="dxa"/>
            <w:tmTcPr id="1634634931" protected="0"/>
          </w:tcPr>
          <w:p>
            <w:pPr>
              <w:rPr>
                <w:sz w:val="22"/>
                <w:szCs w:val="22"/>
              </w:rPr>
            </w:pPr>
            <w:r>
              <w:rPr>
                <w:sz w:val="22"/>
                <w:szCs w:val="22"/>
              </w:rPr>
              <w:t xml:space="preserve">Blinken „Anforderung“ Quittieren </w:t>
              <w:br w:type="textWrapping"/>
              <w:t xml:space="preserve">- NOT-Halt Ausgelöst  </w:t>
              <w:br w:type="textWrapping"/>
              <w:t>- neue Alarmmeldung</w:t>
            </w:r>
          </w:p>
        </w:tc>
        <w:tc>
          <w:tcPr>
            <w:tcW w:w="2886" w:type="dxa"/>
            <w:tmTcPr id="1634634931" protected="0"/>
          </w:tcPr>
          <w:p>
            <w:pPr>
              <w:rPr>
                <w:sz w:val="22"/>
                <w:szCs w:val="22"/>
              </w:rPr>
            </w:pPr>
            <w:r>
              <w:rPr>
                <w:sz w:val="22"/>
                <w:szCs w:val="22"/>
              </w:rPr>
              <w:t>nach Entriegeln des Nothalt- Taster diesen Quittieren</w:t>
              <w:br w:type="textWrapping"/>
              <w:t xml:space="preserve">andere “neue“ Alarmmeldung  </w:t>
            </w:r>
          </w:p>
        </w:tc>
      </w:tr>
      <w:tr>
        <w:trPr>
          <w:tblHeader w:val="0"/>
          <w:cantSplit w:val="0"/>
          <w:trHeight w:val="0" w:hRule="auto"/>
        </w:trPr>
        <w:tc>
          <w:tcPr>
            <w:tcW w:w="2233" w:type="dxa"/>
            <w:tmTcPr id="1634634931" protected="0"/>
          </w:tcPr>
          <w:p>
            <w:pPr>
              <w:rPr>
                <w:sz w:val="22"/>
                <w:szCs w:val="22"/>
              </w:rPr>
            </w:pPr>
            <w:r>
              <w:rPr>
                <w:sz w:val="22"/>
                <w:szCs w:val="22"/>
              </w:rPr>
              <w:t>Störung quittieren - Leuchtdrucktaster</w:t>
            </w:r>
          </w:p>
        </w:tc>
        <w:tc>
          <w:tcPr>
            <w:tcW w:w="4792" w:type="dxa"/>
            <w:tmTcPr id="1634634931" protected="0"/>
          </w:tcPr>
          <w:p>
            <w:pPr/>
            <w:r>
              <w:rPr>
                <w:sz w:val="22"/>
                <w:szCs w:val="22"/>
              </w:rPr>
              <w:t>Dauerleuchten - am Bediengerät steht ein Alarm an</w:t>
              <w:br w:type="textWrapping"/>
            </w:r>
            <w:r>
              <w:t>Quittieren von Fehlern</w:t>
            </w:r>
          </w:p>
        </w:tc>
        <w:tc>
          <w:tcPr>
            <w:tcW w:w="2886" w:type="dxa"/>
            <w:tmTcPr id="1634634931" protected="0"/>
          </w:tcPr>
          <w:p>
            <w:pPr/>
            <w:r>
              <w:t>ist auch am Bediengerät im Bild „Alarme“ möglich</w:t>
            </w:r>
          </w:p>
        </w:tc>
      </w:tr>
      <w:tr>
        <w:trPr>
          <w:tblHeader w:val="0"/>
          <w:cantSplit w:val="0"/>
          <w:trHeight w:val="0" w:hRule="auto"/>
        </w:trPr>
        <w:tc>
          <w:tcPr>
            <w:tcW w:w="2233" w:type="dxa"/>
            <w:tmTcPr id="1634634931" protected="0"/>
          </w:tcPr>
          <w:p>
            <w:pPr/>
            <w:r>
              <w:t>Licht Ein</w:t>
            </w:r>
          </w:p>
        </w:tc>
        <w:tc>
          <w:tcPr>
            <w:tcW w:w="4792" w:type="dxa"/>
            <w:tmTcPr id="1634634931" protected="0"/>
          </w:tcPr>
          <w:p>
            <w:pPr/>
            <w:r>
              <w:t>Einschalten der Prüfraumbeleuchtung</w:t>
            </w:r>
          </w:p>
        </w:tc>
        <w:tc>
          <w:tcPr>
            <w:tcW w:w="2886" w:type="dxa"/>
            <w:tmTcPr id="1634634931" protected="0"/>
          </w:tcPr>
          <w:p>
            <w:pPr/>
            <w:r>
              <w:t>Taster Ein/Aus</w:t>
            </w:r>
          </w:p>
        </w:tc>
      </w:tr>
      <w:tr>
        <w:trPr>
          <w:tblHeader w:val="0"/>
          <w:cantSplit w:val="0"/>
          <w:trHeight w:val="0" w:hRule="auto"/>
        </w:trPr>
        <w:tc>
          <w:tcPr>
            <w:tcW w:w="2233" w:type="dxa"/>
            <w:tmTcPr id="1634634931" protected="0"/>
          </w:tcPr>
          <w:p>
            <w:pPr/>
            <w:r/>
          </w:p>
        </w:tc>
        <w:tc>
          <w:tcPr>
            <w:tcW w:w="4792" w:type="dxa"/>
            <w:tmTcPr id="1634634931" protected="0"/>
          </w:tcPr>
          <w:p>
            <w:pPr/>
            <w:r/>
          </w:p>
        </w:tc>
        <w:tc>
          <w:tcPr>
            <w:tcW w:w="2886" w:type="dxa"/>
            <w:tmTcPr id="1634634931" protected="0"/>
          </w:tcPr>
          <w:p>
            <w:pPr/>
            <w:r/>
          </w:p>
        </w:tc>
      </w:tr>
      <w:tr>
        <w:trPr>
          <w:tblHeader w:val="0"/>
          <w:cantSplit w:val="0"/>
          <w:trHeight w:val="0" w:hRule="auto"/>
        </w:trPr>
        <w:tc>
          <w:tcPr>
            <w:tcW w:w="2233" w:type="dxa"/>
            <w:tmTcPr id="1634634931" protected="0"/>
          </w:tcPr>
          <w:p>
            <w:pPr/>
            <w:r/>
          </w:p>
        </w:tc>
        <w:tc>
          <w:tcPr>
            <w:tcW w:w="4792" w:type="dxa"/>
            <w:tmTcPr id="1634634931" protected="0"/>
          </w:tcPr>
          <w:p>
            <w:pPr/>
            <w:r/>
          </w:p>
        </w:tc>
        <w:tc>
          <w:tcPr>
            <w:tcW w:w="2886" w:type="dxa"/>
            <w:tmTcPr id="1634634931" protected="0"/>
          </w:tcPr>
          <w:p>
            <w:pPr/>
            <w:r/>
          </w:p>
        </w:tc>
      </w:tr>
      <w:tr>
        <w:trPr>
          <w:tblHeader w:val="0"/>
          <w:cantSplit w:val="0"/>
          <w:trHeight w:val="0" w:hRule="auto"/>
        </w:trPr>
        <w:tc>
          <w:tcPr>
            <w:tcW w:w="2233" w:type="dxa"/>
            <w:tmTcPr id="1634634931" protected="0"/>
          </w:tcPr>
          <w:p>
            <w:pPr/>
            <w:r/>
          </w:p>
        </w:tc>
        <w:tc>
          <w:tcPr>
            <w:tcW w:w="4792" w:type="dxa"/>
            <w:tmTcPr id="1634634931" protected="0"/>
          </w:tcPr>
          <w:p>
            <w:pPr/>
            <w:r/>
          </w:p>
        </w:tc>
        <w:tc>
          <w:tcPr>
            <w:tcW w:w="2886" w:type="dxa"/>
            <w:tmTcPr id="1634634931" protected="0"/>
          </w:tcPr>
          <w:p>
            <w:pPr/>
            <w:r/>
          </w:p>
        </w:tc>
      </w:tr>
      <w:tr>
        <w:trPr>
          <w:tblHeader w:val="0"/>
          <w:cantSplit w:val="0"/>
          <w:trHeight w:val="0" w:hRule="auto"/>
        </w:trPr>
        <w:tc>
          <w:tcPr>
            <w:tcW w:w="2233" w:type="dxa"/>
            <w:tmTcPr id="1634634931" protected="0"/>
          </w:tcPr>
          <w:p>
            <w:pPr/>
            <w:r/>
          </w:p>
        </w:tc>
        <w:tc>
          <w:tcPr>
            <w:tcW w:w="4792" w:type="dxa"/>
            <w:tmTcPr id="1634634931" protected="0"/>
          </w:tcPr>
          <w:p>
            <w:pPr/>
            <w:r/>
          </w:p>
        </w:tc>
        <w:tc>
          <w:tcPr>
            <w:tcW w:w="2886" w:type="dxa"/>
            <w:tmTcPr id="1634634931" protected="0"/>
          </w:tcPr>
          <w:p>
            <w:pPr/>
            <w:r/>
          </w:p>
        </w:tc>
      </w:tr>
      <w:tr>
        <w:trPr>
          <w:tblHeader w:val="0"/>
          <w:cantSplit w:val="0"/>
          <w:trHeight w:val="0" w:hRule="auto"/>
        </w:trPr>
        <w:tc>
          <w:tcPr>
            <w:tcW w:w="2233" w:type="dxa"/>
            <w:tmTcPr id="1634634931" protected="0"/>
          </w:tcPr>
          <w:p>
            <w:pPr/>
            <w:r/>
          </w:p>
        </w:tc>
        <w:tc>
          <w:tcPr>
            <w:tcW w:w="4792" w:type="dxa"/>
            <w:tmTcPr id="1634634931" protected="0"/>
          </w:tcPr>
          <w:p>
            <w:pPr/>
            <w:r/>
          </w:p>
        </w:tc>
        <w:tc>
          <w:tcPr>
            <w:tcW w:w="2886" w:type="dxa"/>
            <w:tmTcPr id="1634634931" protected="0"/>
          </w:tcPr>
          <w:p>
            <w:pPr/>
            <w:r/>
          </w:p>
        </w:tc>
      </w:tr>
      <w:tr>
        <w:trPr>
          <w:tblHeader w:val="0"/>
          <w:cantSplit w:val="0"/>
          <w:trHeight w:val="0" w:hRule="auto"/>
        </w:trPr>
        <w:tc>
          <w:tcPr>
            <w:tcW w:w="2233" w:type="dxa"/>
            <w:tmTcPr id="1634634931" protected="0"/>
          </w:tcPr>
          <w:p>
            <w:pPr/>
            <w:r/>
          </w:p>
        </w:tc>
        <w:tc>
          <w:tcPr>
            <w:tcW w:w="4792" w:type="dxa"/>
            <w:tmTcPr id="1634634931" protected="0"/>
          </w:tcPr>
          <w:p>
            <w:pPr/>
            <w:r/>
          </w:p>
        </w:tc>
        <w:tc>
          <w:tcPr>
            <w:tcW w:w="2886" w:type="dxa"/>
            <w:tmTcPr id="1634634931" protected="0"/>
          </w:tcPr>
          <w:p>
            <w:pPr/>
            <w:r/>
          </w:p>
        </w:tc>
      </w:tr>
      <w:tr>
        <w:trPr>
          <w:tblHeader w:val="0"/>
          <w:cantSplit w:val="0"/>
          <w:trHeight w:val="0" w:hRule="auto"/>
        </w:trPr>
        <w:tc>
          <w:tcPr>
            <w:tcW w:w="2233" w:type="dxa"/>
            <w:tmTcPr id="1634634931" protected="0"/>
          </w:tcPr>
          <w:p>
            <w:pPr/>
            <w:r/>
          </w:p>
        </w:tc>
        <w:tc>
          <w:tcPr>
            <w:tcW w:w="4792" w:type="dxa"/>
            <w:tmTcPr id="1634634931" protected="0"/>
          </w:tcPr>
          <w:p>
            <w:pPr/>
            <w:r/>
          </w:p>
        </w:tc>
        <w:tc>
          <w:tcPr>
            <w:tcW w:w="2886" w:type="dxa"/>
            <w:tmTcPr id="1634634931" protected="0"/>
          </w:tcPr>
          <w:p>
            <w:pPr/>
            <w:r/>
          </w:p>
        </w:tc>
      </w:tr>
      <w:tr>
        <w:trPr>
          <w:tblHeader w:val="0"/>
          <w:cantSplit w:val="0"/>
          <w:trHeight w:val="0" w:hRule="auto"/>
        </w:trPr>
        <w:tc>
          <w:tcPr>
            <w:tcW w:w="2233" w:type="dxa"/>
            <w:tmTcPr id="1634634931" protected="0"/>
          </w:tcPr>
          <w:p>
            <w:pPr/>
            <w:r/>
          </w:p>
        </w:tc>
        <w:tc>
          <w:tcPr>
            <w:tcW w:w="4792" w:type="dxa"/>
            <w:tmTcPr id="1634634931" protected="0"/>
          </w:tcPr>
          <w:p>
            <w:pPr/>
            <w:r/>
          </w:p>
        </w:tc>
        <w:tc>
          <w:tcPr>
            <w:tcW w:w="2886" w:type="dxa"/>
            <w:tmTcPr id="1634634931" protected="0"/>
          </w:tcPr>
          <w:p>
            <w:pPr/>
            <w:r/>
          </w:p>
        </w:tc>
      </w:tr>
    </w:tbl>
    <w:p>
      <w:r/>
    </w:p>
    <w:p>
      <w:r/>
    </w:p>
    <w:p>
      <w:pPr>
        <w:pStyle w:val="para3"/>
        <w:numPr>
          <w:ilvl w:val="2"/>
          <w:numId w:val="9"/>
        </w:numPr>
        <w:ind w:left="720" w:hanging="720"/>
      </w:pPr>
      <w:r>
        <w:br w:type="page"/>
      </w:r>
      <w:bookmarkStart w:id="7" w:name="_TOC000034"/>
      <w:r>
        <w:t>Flur</w:t>
      </w:r>
      <w:bookmarkEnd w:id="7"/>
      <w:r/>
    </w:p>
    <w:p>
      <w:r/>
    </w:p>
    <w:p>
      <w:r/>
    </w:p>
    <w:tbl>
      <w:tblPr>
        <w:tblStyle w:val="ListTable3"/>
        <w:name w:val="Tabelle6"/>
        <w:tabOrder w:val="0"/>
        <w:jc w:val="left"/>
        <w:tblInd w:w="0" w:type="dxa"/>
        <w:tblW w:w="9911" w:type="dxa"/>
        <w:tblLook w:val="04A0" w:firstRow="1" w:lastRow="0" w:firstColumn="1" w:lastColumn="0" w:noHBand="0" w:noVBand="1"/>
      </w:tblPr>
      <w:tblGrid>
        <w:gridCol w:w="3112"/>
        <w:gridCol w:w="3913"/>
        <w:gridCol w:w="2886"/>
      </w:tblGrid>
      <w:tr>
        <w:trPr>
          <w:tblHeader w:val="0"/>
          <w:cantSplit w:val="0"/>
          <w:trHeight w:val="294" w:hRule="atLeast"/>
        </w:trPr>
        <w:tc>
          <w:tcPr>
            <w:tcW w:w="3112" w:type="dxa"/>
            <w:tmTcPr id="1634634931" protected="0"/>
          </w:tcPr>
          <w:p>
            <w:pPr>
              <w:rPr>
                <w:sz w:val="22"/>
                <w:szCs w:val="22"/>
              </w:rPr>
            </w:pPr>
            <w:r>
              <w:rPr>
                <w:sz w:val="22"/>
                <w:szCs w:val="22"/>
              </w:rPr>
              <w:t>Bedien-/Anzeigeelement</w:t>
            </w:r>
          </w:p>
        </w:tc>
        <w:tc>
          <w:tcPr>
            <w:tcW w:w="3913" w:type="dxa"/>
            <w:tmTcPr id="1634634931" protected="0"/>
          </w:tcPr>
          <w:p>
            <w:pPr>
              <w:rPr>
                <w:sz w:val="22"/>
                <w:szCs w:val="22"/>
              </w:rPr>
            </w:pPr>
            <w:r>
              <w:rPr>
                <w:sz w:val="22"/>
                <w:szCs w:val="22"/>
              </w:rPr>
              <w:t xml:space="preserve">Funktion </w:t>
            </w:r>
          </w:p>
        </w:tc>
        <w:tc>
          <w:tcPr>
            <w:tcW w:w="2886" w:type="dxa"/>
            <w:tmTcPr id="1634634931" protected="0"/>
          </w:tcPr>
          <w:p>
            <w:pPr>
              <w:rPr>
                <w:sz w:val="22"/>
                <w:szCs w:val="22"/>
              </w:rPr>
            </w:pPr>
            <w:r>
              <w:rPr>
                <w:sz w:val="22"/>
                <w:szCs w:val="22"/>
              </w:rPr>
              <w:t>Bemerkung</w:t>
            </w:r>
          </w:p>
        </w:tc>
      </w:tr>
      <w:tr>
        <w:trPr>
          <w:tblHeader w:val="0"/>
          <w:cantSplit w:val="0"/>
          <w:trHeight w:val="0" w:hRule="auto"/>
        </w:trPr>
        <w:tc>
          <w:tcPr>
            <w:tcW w:w="3112" w:type="dxa"/>
            <w:tmTcPr id="1634634931" protected="0"/>
          </w:tcPr>
          <w:p>
            <w:pPr>
              <w:rPr>
                <w:sz w:val="22"/>
                <w:szCs w:val="22"/>
              </w:rPr>
            </w:pPr>
            <w:r>
              <w:rPr>
                <w:sz w:val="22"/>
                <w:szCs w:val="22"/>
              </w:rPr>
              <w:t xml:space="preserve">F1 - Licht                           </w:t>
            </w:r>
            <w:r/>
            <w:r>
              <w:rPr>
                <w:noProof/>
              </w:rPr>
              <w:drawing>
                <wp:inline distT="89535" distB="89535" distL="89535" distR="89535">
                  <wp:extent cx="274320" cy="228600"/>
                  <wp:effectExtent l="0" t="0" r="0" b="0"/>
                  <wp:docPr id="5" name="Grafik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313"/>
                          <pic:cNvPicPr>
                            <a:picLocks noChangeAspect="1"/>
                            <a:extLst>
                              <a:ext uri="smNativeData">
                                <sm:smNativeData xmlns:sm="smNativeData" val="SMDATA_17_s4xuY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DAAAAB6IAAAAAAAAGAAAAAAAAAAAAAACGAAAAAAAAAAAAAACGAAAAsAEAAGgBAAAAAAAAhgAAAIYAAAAoAAAACAAAAAEAAAABAAAAMAAAABQAAAAAAAAAAAD//wAAAQAAAP//AAABAA=="/>
                              </a:ext>
                            </a:extLst>
                          </pic:cNvPicPr>
                        </pic:nvPicPr>
                        <pic:blipFill>
                          <a:blip r:embed="rId13"/>
                          <a:stretch>
                            <a:fillRect/>
                          </a:stretch>
                        </pic:blipFill>
                        <pic:spPr>
                          <a:xfrm>
                            <a:off x="0" y="0"/>
                            <a:ext cx="274320" cy="228600"/>
                          </a:xfrm>
                          <a:prstGeom prst="rect">
                            <a:avLst/>
                          </a:prstGeom>
                          <a:noFill/>
                          <a:ln w="12700">
                            <a:noFill/>
                          </a:ln>
                        </pic:spPr>
                      </pic:pic>
                    </a:graphicData>
                  </a:graphic>
                </wp:inline>
              </w:drawing>
            </w:r>
            <w:r/>
            <w:r>
              <w:rPr>
                <w:sz w:val="22"/>
                <w:szCs w:val="22"/>
              </w:rPr>
            </w:r>
          </w:p>
        </w:tc>
        <w:tc>
          <w:tcPr>
            <w:tcW w:w="3913" w:type="dxa"/>
            <w:tmTcPr id="1634634931" protected="0"/>
          </w:tcPr>
          <w:p>
            <w:pPr/>
            <w:r>
              <w:t>Einschalten der Prüfraumbeleuchtung</w:t>
            </w:r>
          </w:p>
        </w:tc>
        <w:tc>
          <w:tcPr>
            <w:tcW w:w="2886" w:type="dxa"/>
            <w:tmTcPr id="1634634931" protected="0"/>
          </w:tcPr>
          <w:p>
            <w:pPr/>
            <w:r>
              <w:t>Taster Ein/Aus</w:t>
            </w:r>
          </w:p>
        </w:tc>
      </w:tr>
      <w:tr>
        <w:trPr>
          <w:tblHeader w:val="0"/>
          <w:cantSplit w:val="0"/>
          <w:trHeight w:val="0" w:hRule="auto"/>
        </w:trPr>
        <w:tc>
          <w:tcPr>
            <w:tcW w:w="3112" w:type="dxa"/>
            <w:tmTcPr id="1634634931" protected="0"/>
          </w:tcPr>
          <w:p>
            <w:pPr>
              <w:rPr>
                <w:sz w:val="22"/>
                <w:szCs w:val="22"/>
              </w:rPr>
            </w:pPr>
            <w:r>
              <w:rPr>
                <w:sz w:val="22"/>
                <w:szCs w:val="22"/>
              </w:rPr>
              <w:t xml:space="preserve">F2 - Bild zurück Blättern </w:t>
            </w:r>
            <w:r/>
            <w:r>
              <w:rPr>
                <w:noProof/>
              </w:rPr>
              <w:drawing>
                <wp:inline distT="89535" distB="89535" distL="89535" distR="89535">
                  <wp:extent cx="274320" cy="228600"/>
                  <wp:effectExtent l="0" t="0" r="0" b="0"/>
                  <wp:docPr id="6" name="Grafik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314"/>
                          <pic:cNvPicPr>
                            <a:picLocks noChangeAspect="1"/>
                            <a:extLst>
                              <a:ext uri="smNativeData">
                                <sm:smNativeData xmlns:sm="smNativeData" val="SMDATA_17_s4xuY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DAAAAB6IAAAAAAAAHAAAAAAAAAAAAAACGAAAAAAAAAAAAAACGAAAAsAEAAGgBAAAAAAAAhgAAAIYAAAAoAAAACAAAAAEAAAABAAAAMAAAABQAAAAAAAAAAAD//wAAAQAAAP//AAABAA=="/>
                              </a:ext>
                            </a:extLst>
                          </pic:cNvPicPr>
                        </pic:nvPicPr>
                        <pic:blipFill>
                          <a:blip r:embed="rId14"/>
                          <a:stretch>
                            <a:fillRect/>
                          </a:stretch>
                        </pic:blipFill>
                        <pic:spPr>
                          <a:xfrm>
                            <a:off x="0" y="0"/>
                            <a:ext cx="274320" cy="228600"/>
                          </a:xfrm>
                          <a:prstGeom prst="rect">
                            <a:avLst/>
                          </a:prstGeom>
                          <a:noFill/>
                          <a:ln w="12700">
                            <a:noFill/>
                          </a:ln>
                        </pic:spPr>
                      </pic:pic>
                    </a:graphicData>
                  </a:graphic>
                </wp:inline>
              </w:drawing>
            </w:r>
            <w:r/>
            <w:r>
              <w:rPr>
                <w:sz w:val="22"/>
                <w:szCs w:val="22"/>
              </w:rPr>
            </w:r>
          </w:p>
        </w:tc>
        <w:tc>
          <w:tcPr>
            <w:tcW w:w="3913" w:type="dxa"/>
            <w:tmTcPr id="1634634931" protected="0"/>
          </w:tcPr>
          <w:p>
            <w:pPr>
              <w:rPr>
                <w:sz w:val="22"/>
                <w:szCs w:val="22"/>
              </w:rPr>
            </w:pPr>
            <w:r>
              <w:rPr>
                <w:sz w:val="22"/>
                <w:szCs w:val="22"/>
              </w:rPr>
              <w:t>ein Bild zurück/links gehen</w:t>
            </w:r>
          </w:p>
        </w:tc>
        <w:tc>
          <w:tcPr>
            <w:tcW w:w="2886" w:type="dxa"/>
            <w:tmTcPr id="1634634931" protected="0"/>
          </w:tcPr>
          <w:p>
            <w:pPr>
              <w:rPr>
                <w:sz w:val="22"/>
                <w:szCs w:val="22"/>
              </w:rPr>
            </w:pPr>
            <w:r>
              <w:rPr>
                <w:sz w:val="22"/>
                <w:szCs w:val="22"/>
              </w:rPr>
            </w:r>
          </w:p>
        </w:tc>
      </w:tr>
      <w:tr>
        <w:trPr>
          <w:tblHeader w:val="0"/>
          <w:cantSplit w:val="0"/>
          <w:trHeight w:val="0" w:hRule="auto"/>
        </w:trPr>
        <w:tc>
          <w:tcPr>
            <w:tcW w:w="3112" w:type="dxa"/>
            <w:tmTcPr id="1634634931" protected="0"/>
          </w:tcPr>
          <w:p>
            <w:pPr>
              <w:rPr>
                <w:sz w:val="22"/>
                <w:szCs w:val="22"/>
              </w:rPr>
            </w:pPr>
            <w:r>
              <w:rPr>
                <w:sz w:val="22"/>
                <w:szCs w:val="22"/>
              </w:rPr>
              <w:t xml:space="preserve">F3 - Bild vor Blättern       </w:t>
            </w:r>
            <w:r/>
            <w:r>
              <w:rPr>
                <w:noProof/>
              </w:rPr>
              <w:drawing>
                <wp:inline distT="89535" distB="89535" distL="89535" distR="89535">
                  <wp:extent cx="274320" cy="228600"/>
                  <wp:effectExtent l="0" t="0" r="0" b="0"/>
                  <wp:docPr id="7" name="Grafik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315"/>
                          <pic:cNvPicPr>
                            <a:picLocks noChangeAspect="1"/>
                            <a:extLst>
                              <a:ext uri="smNativeData">
                                <sm:smNativeData xmlns:sm="smNativeData" val="SMDATA_17_s4xuY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DAAAAB6IAAAAAAAAIAAAAAAAAAAAAAACGAAAAAAAAAAAAAACGAAAAsAEAAGgBAAAAAAAAhgAAAIYAAAAoAAAACAAAAAEAAAABAAAAMAAAABQAAAAAAAAAAAD//wAAAQAAAP//AAABAA=="/>
                              </a:ext>
                            </a:extLst>
                          </pic:cNvPicPr>
                        </pic:nvPicPr>
                        <pic:blipFill>
                          <a:blip r:embed="rId15"/>
                          <a:stretch>
                            <a:fillRect/>
                          </a:stretch>
                        </pic:blipFill>
                        <pic:spPr>
                          <a:xfrm>
                            <a:off x="0" y="0"/>
                            <a:ext cx="274320" cy="228600"/>
                          </a:xfrm>
                          <a:prstGeom prst="rect">
                            <a:avLst/>
                          </a:prstGeom>
                          <a:noFill/>
                          <a:ln w="12700">
                            <a:noFill/>
                          </a:ln>
                        </pic:spPr>
                      </pic:pic>
                    </a:graphicData>
                  </a:graphic>
                </wp:inline>
              </w:drawing>
            </w:r>
            <w:r/>
            <w:r>
              <w:rPr>
                <w:sz w:val="22"/>
                <w:szCs w:val="22"/>
              </w:rPr>
            </w:r>
          </w:p>
        </w:tc>
        <w:tc>
          <w:tcPr>
            <w:tcW w:w="3913" w:type="dxa"/>
            <w:tmTcPr id="1634634931" protected="0"/>
          </w:tcPr>
          <w:p>
            <w:pPr>
              <w:rPr>
                <w:sz w:val="22"/>
                <w:szCs w:val="22"/>
              </w:rPr>
            </w:pPr>
            <w:r>
              <w:rPr>
                <w:sz w:val="22"/>
                <w:szCs w:val="22"/>
              </w:rPr>
              <w:t>ein Bild vor/rechts gehen</w:t>
            </w:r>
          </w:p>
        </w:tc>
        <w:tc>
          <w:tcPr>
            <w:tcW w:w="2886" w:type="dxa"/>
            <w:tmTcPr id="1634634931" protected="0"/>
          </w:tcPr>
          <w:p>
            <w:pPr>
              <w:rPr>
                <w:sz w:val="22"/>
                <w:szCs w:val="22"/>
              </w:rPr>
            </w:pPr>
            <w:r>
              <w:rPr>
                <w:sz w:val="22"/>
                <w:szCs w:val="22"/>
              </w:rPr>
            </w:r>
          </w:p>
        </w:tc>
      </w:tr>
      <w:tr>
        <w:trPr>
          <w:tblHeader w:val="0"/>
          <w:cantSplit w:val="0"/>
          <w:trHeight w:val="0" w:hRule="auto"/>
        </w:trPr>
        <w:tc>
          <w:tcPr>
            <w:tcW w:w="3112" w:type="dxa"/>
            <w:tmTcPr id="1634634931" protected="0"/>
          </w:tcPr>
          <w:p>
            <w:pPr>
              <w:rPr>
                <w:sz w:val="22"/>
                <w:szCs w:val="22"/>
              </w:rPr>
            </w:pPr>
            <w:r>
              <w:rPr>
                <w:sz w:val="22"/>
                <w:szCs w:val="22"/>
              </w:rPr>
              <w:t xml:space="preserve">F4 - Störung quittieren     </w:t>
            </w:r>
            <w:r/>
            <w:r>
              <w:rPr>
                <w:noProof/>
              </w:rPr>
              <w:drawing>
                <wp:inline distT="89535" distB="89535" distL="89535" distR="89535">
                  <wp:extent cx="274320" cy="228600"/>
                  <wp:effectExtent l="0" t="0" r="0" b="0"/>
                  <wp:docPr id="8" name="Grafik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316"/>
                          <pic:cNvPicPr>
                            <a:picLocks noChangeAspect="1"/>
                            <a:extLst>
                              <a:ext uri="smNativeData">
                                <sm:smNativeData xmlns:sm="smNativeData" val="SMDATA_17_s4xuY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DAAAAB6IAAAAAAAAJAAAAAAAAAAAAAACGAAAAAAAAAAAAAACGAAAAsAEAAGgBAAAAAAAAhgAAAIYAAAAoAAAACAAAAAEAAAABAAAAMAAAABQAAAAAAAAAAAD//wAAAQAAAP//AAABAA=="/>
                              </a:ext>
                            </a:extLst>
                          </pic:cNvPicPr>
                        </pic:nvPicPr>
                        <pic:blipFill>
                          <a:blip r:embed="rId16"/>
                          <a:stretch>
                            <a:fillRect/>
                          </a:stretch>
                        </pic:blipFill>
                        <pic:spPr>
                          <a:xfrm>
                            <a:off x="0" y="0"/>
                            <a:ext cx="274320" cy="228600"/>
                          </a:xfrm>
                          <a:prstGeom prst="rect">
                            <a:avLst/>
                          </a:prstGeom>
                          <a:noFill/>
                          <a:ln w="12700">
                            <a:noFill/>
                          </a:ln>
                        </pic:spPr>
                      </pic:pic>
                    </a:graphicData>
                  </a:graphic>
                </wp:inline>
              </w:drawing>
            </w:r>
            <w:r/>
            <w:r>
              <w:rPr>
                <w:sz w:val="22"/>
                <w:szCs w:val="22"/>
              </w:rPr>
            </w:r>
          </w:p>
        </w:tc>
        <w:tc>
          <w:tcPr>
            <w:tcW w:w="3913" w:type="dxa"/>
            <w:tmTcPr id="1634634931" protected="0"/>
          </w:tcPr>
          <w:p>
            <w:pPr>
              <w:rPr>
                <w:sz w:val="22"/>
                <w:szCs w:val="22"/>
              </w:rPr>
            </w:pPr>
            <w:r>
              <w:rPr>
                <w:sz w:val="22"/>
                <w:szCs w:val="22"/>
              </w:rPr>
              <w:t xml:space="preserve">NOT-Halt oder neue Alarmmeldung Quittieren </w:t>
            </w:r>
          </w:p>
        </w:tc>
        <w:tc>
          <w:tcPr>
            <w:tcW w:w="2886" w:type="dxa"/>
            <w:tmTcPr id="1634634931" protected="0"/>
          </w:tcPr>
          <w:p>
            <w:pPr>
              <w:rPr>
                <w:sz w:val="22"/>
                <w:szCs w:val="22"/>
              </w:rPr>
            </w:pPr>
            <w:r>
              <w:rPr>
                <w:sz w:val="22"/>
                <w:szCs w:val="22"/>
              </w:rPr>
              <w:t>nach Entriegeln des Nothalt- Taster diesen Quittieren</w:t>
              <w:br w:type="textWrapping"/>
              <w:t xml:space="preserve">andere “neue“ Alarmmeldung quittieren  </w:t>
            </w:r>
          </w:p>
        </w:tc>
      </w:tr>
      <w:tr>
        <w:trPr>
          <w:tblHeader w:val="0"/>
          <w:cantSplit w:val="0"/>
          <w:trHeight w:val="0" w:hRule="auto"/>
        </w:trPr>
        <w:tc>
          <w:tcPr>
            <w:tcW w:w="3112" w:type="dxa"/>
            <w:tmTcPr id="1634634931" protected="0"/>
          </w:tcPr>
          <w:p>
            <w:pPr>
              <w:rPr>
                <w:sz w:val="22"/>
                <w:szCs w:val="22"/>
              </w:rPr>
            </w:pPr>
            <w:r>
              <w:rPr>
                <w:sz w:val="22"/>
                <w:szCs w:val="22"/>
              </w:rPr>
              <w:t>Signalsäule rot</w:t>
            </w:r>
          </w:p>
        </w:tc>
        <w:tc>
          <w:tcPr>
            <w:tcW w:w="3913" w:type="dxa"/>
            <w:tmTcPr id="1634634931" protected="0"/>
          </w:tcPr>
          <w:p>
            <w:pPr>
              <w:rPr>
                <w:sz w:val="22"/>
                <w:szCs w:val="22"/>
              </w:rPr>
            </w:pPr>
            <w:r>
              <w:rPr>
                <w:b/>
                <w:bCs/>
                <w:sz w:val="22"/>
                <w:szCs w:val="22"/>
              </w:rPr>
              <w:t>Dauerleuchten</w:t>
            </w:r>
            <w:r>
              <w:rPr>
                <w:sz w:val="22"/>
                <w:szCs w:val="22"/>
              </w:rPr>
              <w:t xml:space="preserve"> - am Bediengerät steht ein (quittierter) Alarm an</w:t>
              <w:br w:type="textWrapping"/>
            </w:r>
            <w:r>
              <w:rPr>
                <w:b/>
                <w:bCs/>
                <w:sz w:val="22"/>
                <w:szCs w:val="22"/>
              </w:rPr>
              <w:t>Blinken</w:t>
            </w:r>
            <w:r>
              <w:rPr>
                <w:sz w:val="22"/>
                <w:szCs w:val="22"/>
              </w:rPr>
              <w:t xml:space="preserve"> - am Bediengerät steht ein (neuer /unquittierter) Alarm an oder NOT-Halt betätigt</w:t>
            </w:r>
          </w:p>
          <w:p>
            <w:pPr/>
            <w:r/>
          </w:p>
        </w:tc>
        <w:tc>
          <w:tcPr>
            <w:tcW w:w="2886" w:type="dxa"/>
            <w:tmTcPr id="1634634931" protected="0"/>
          </w:tcPr>
          <w:p>
            <w:pPr/>
            <w:r>
              <w:t>ist auch am Bediengerät im Bild „Alarme“ oder am Taster am Schaltschrank möglich</w:t>
            </w:r>
          </w:p>
        </w:tc>
      </w:tr>
      <w:tr>
        <w:trPr>
          <w:tblHeader w:val="0"/>
          <w:cantSplit w:val="0"/>
          <w:trHeight w:val="0" w:hRule="auto"/>
        </w:trPr>
        <w:tc>
          <w:tcPr>
            <w:tcW w:w="3112" w:type="dxa"/>
            <w:tmTcPr id="1634634931" protected="0"/>
          </w:tcPr>
          <w:p>
            <w:pPr>
              <w:rPr>
                <w:sz w:val="22"/>
                <w:szCs w:val="22"/>
              </w:rPr>
            </w:pPr>
            <w:r>
              <w:rPr>
                <w:sz w:val="22"/>
                <w:szCs w:val="22"/>
              </w:rPr>
              <w:t xml:space="preserve">Signalsäule grün </w:t>
            </w:r>
          </w:p>
        </w:tc>
        <w:tc>
          <w:tcPr>
            <w:tcW w:w="3913" w:type="dxa"/>
            <w:tmTcPr id="1634634931" protected="0"/>
          </w:tcPr>
          <w:p>
            <w:pPr>
              <w:rPr>
                <w:sz w:val="22"/>
                <w:szCs w:val="22"/>
              </w:rPr>
            </w:pPr>
            <w:r>
              <w:rPr>
                <w:sz w:val="22"/>
                <w:szCs w:val="22"/>
              </w:rPr>
              <w:t>Anzeige „Anlage EIN“</w:t>
            </w:r>
          </w:p>
        </w:tc>
        <w:tc>
          <w:tcPr>
            <w:tcW w:w="2886" w:type="dxa"/>
            <w:tmTcPr id="1634634931" protected="0"/>
          </w:tcPr>
          <w:p>
            <w:pPr>
              <w:rPr>
                <w:sz w:val="22"/>
                <w:szCs w:val="22"/>
              </w:rPr>
            </w:pPr>
            <w:r>
              <w:rPr>
                <w:sz w:val="22"/>
                <w:szCs w:val="22"/>
              </w:rPr>
              <w:t>leuchtet wenn der Ventilator läuft</w:t>
            </w:r>
          </w:p>
        </w:tc>
      </w:tr>
      <w:tr>
        <w:trPr>
          <w:tblHeader w:val="0"/>
          <w:cantSplit w:val="0"/>
          <w:trHeight w:val="0" w:hRule="auto"/>
        </w:trPr>
        <w:tc>
          <w:tcPr>
            <w:tcW w:w="3112" w:type="dxa"/>
            <w:tmTcPr id="1634634931" protected="0"/>
          </w:tcPr>
          <w:p>
            <w:pPr>
              <w:rPr>
                <w:sz w:val="22"/>
                <w:szCs w:val="22"/>
              </w:rPr>
            </w:pPr>
            <w:r>
              <w:rPr>
                <w:sz w:val="22"/>
                <w:szCs w:val="22"/>
              </w:rPr>
              <w:t>Signalsäule Hupe</w:t>
            </w:r>
          </w:p>
        </w:tc>
        <w:tc>
          <w:tcPr>
            <w:tcW w:w="3913" w:type="dxa"/>
            <w:tmTcPr id="1634634931" protected="0"/>
          </w:tcPr>
          <w:p>
            <w:pPr/>
            <w:r>
              <w:t>neue Störmeldung</w:t>
            </w:r>
          </w:p>
        </w:tc>
        <w:tc>
          <w:tcPr>
            <w:tcW w:w="2886" w:type="dxa"/>
            <w:tmTcPr id="1634634931" protected="0"/>
          </w:tcPr>
          <w:p>
            <w:pPr/>
            <w:r>
              <w:t>Quittieren schaltet Hupe ab</w:t>
            </w:r>
          </w:p>
        </w:tc>
      </w:tr>
      <w:tr>
        <w:trPr>
          <w:tblHeader w:val="0"/>
          <w:cantSplit w:val="0"/>
          <w:trHeight w:val="0" w:hRule="auto"/>
        </w:trPr>
        <w:tc>
          <w:tcPr>
            <w:tcW w:w="3112" w:type="dxa"/>
            <w:tmTcPr id="1634634931" protected="0"/>
          </w:tcPr>
          <w:p>
            <w:pPr/>
            <w:r>
              <w:t xml:space="preserve">Anzeigebild </w:t>
            </w:r>
          </w:p>
        </w:tc>
        <w:tc>
          <w:tcPr>
            <w:tcW w:w="3913" w:type="dxa"/>
            <w:tmTcPr id="1634634931" protected="0"/>
          </w:tcPr>
          <w:p>
            <w:pPr/>
            <w:r>
              <w:t>- Kammernummer</w:t>
              <w:br w:type="textWrapping"/>
              <w:t>- Temperatur Soll-/ Istwert</w:t>
              <w:br w:type="textWrapping"/>
              <w:t>- rel. Luftfeuchte Soll-/ Istwert</w:t>
            </w:r>
          </w:p>
        </w:tc>
        <w:tc>
          <w:tcPr>
            <w:tcW w:w="2886" w:type="dxa"/>
            <w:tmTcPr id="1634634931" protected="0"/>
          </w:tcPr>
          <w:p>
            <w:pPr/>
            <w:r>
              <w:t xml:space="preserve">ausschlisslich Anzeige, alle anderen Bedienung (Programm, Start, Stopp, ...) erfolgen am Bediengerät im Technikraum </w:t>
            </w:r>
          </w:p>
        </w:tc>
      </w:tr>
      <w:tr>
        <w:trPr>
          <w:tblHeader w:val="0"/>
          <w:cantSplit w:val="0"/>
          <w:trHeight w:val="0" w:hRule="auto"/>
        </w:trPr>
        <w:tc>
          <w:tcPr>
            <w:tcW w:w="3112" w:type="dxa"/>
            <w:tmTcPr id="1634634931" protected="0"/>
          </w:tcPr>
          <w:p>
            <w:pPr/>
            <w:r/>
          </w:p>
        </w:tc>
        <w:tc>
          <w:tcPr>
            <w:tcW w:w="3913" w:type="dxa"/>
            <w:tmTcPr id="1634634931" protected="0"/>
          </w:tcPr>
          <w:p>
            <w:pPr/>
            <w:r/>
          </w:p>
        </w:tc>
        <w:tc>
          <w:tcPr>
            <w:tcW w:w="2886" w:type="dxa"/>
            <w:tmTcPr id="1634634931" protected="0"/>
          </w:tcPr>
          <w:p>
            <w:pPr/>
            <w:r/>
          </w:p>
        </w:tc>
      </w:tr>
    </w:tbl>
    <w:p>
      <w:bookmarkStart w:id="8" w:name="_TOC000001"/>
      <w:r/>
    </w:p>
    <w:p>
      <w:pPr>
        <w:pStyle w:val="para2"/>
        <w:numPr>
          <w:ilvl w:val="1"/>
          <w:numId w:val="9"/>
        </w:numPr>
        <w:ind w:left="576" w:hanging="576"/>
      </w:pPr>
      <w:r>
        <w:br w:type="page"/>
      </w:r>
      <w:bookmarkStart w:id="9" w:name="_TOC000035"/>
      <w:r>
        <w:t>Inbetriebnahme</w:t>
      </w:r>
      <w:bookmarkEnd w:id="8"/>
      <w:r/>
      <w:bookmarkEnd w:id="9"/>
      <w:r/>
    </w:p>
    <w:tbl>
      <w:tblPr>
        <w:tblStyle w:val="TableGrid"/>
        <w:name w:val="Tabelle8"/>
        <w:tabOrder w:val="0"/>
        <w:jc w:val="left"/>
        <w:tblInd w:w="0" w:type="dxa"/>
        <w:tblW w:w="9912" w:type="dxa"/>
        <w:tblLook w:val="04A0" w:firstRow="1" w:lastRow="0" w:firstColumn="1" w:lastColumn="0" w:noHBand="0" w:noVBand="1"/>
      </w:tblPr>
      <w:tblGrid>
        <w:gridCol w:w="2835"/>
        <w:gridCol w:w="7077"/>
      </w:tblGrid>
      <w:tr>
        <w:trPr>
          <w:tblHeader w:val="0"/>
          <w:cantSplit w:val="0"/>
          <w:trHeight w:val="0" w:hRule="auto"/>
        </w:trPr>
        <w:tc>
          <w:tcPr>
            <w:tcW w:w="2835" w:type="dxa"/>
            <w:tcBorders>
              <w:bottom w:val="single" w:sz="6" w:space="0" w:color="000000" tmln="15, 20, 20, 0, 0"/>
              <w:right w:val="single" w:sz="6" w:space="0" w:color="000000" tmln="15, 20, 20, 0, 0"/>
            </w:tcBorders>
            <w:tmTcPr id="1634634931" protected="0"/>
          </w:tcPr>
          <w:p>
            <w:pPr>
              <w:spacing/>
              <w:jc w:val="center"/>
            </w:pPr>
            <w:r/>
          </w:p>
        </w:tc>
        <w:tc>
          <w:tcPr>
            <w:tcW w:w="7077" w:type="dxa"/>
            <w:tcBorders>
              <w:left w:val="single" w:sz="6" w:space="0" w:color="000000" tmln="15, 20, 20, 0, 0"/>
              <w:bottom w:val="single" w:sz="6" w:space="0" w:color="000000" tmln="15, 20, 20, 0, 0"/>
            </w:tcBorders>
            <w:tmTcPr id="1634634931" protected="0"/>
          </w:tcPr>
          <w:p>
            <w:pPr>
              <w:pStyle w:val="para15"/>
              <w:numPr>
                <w:ilvl w:val="0"/>
                <w:numId w:val="5"/>
              </w:numPr>
              <w:ind w:left="590" w:hanging="590"/>
            </w:pPr>
            <w:r>
              <w:t>Sicherstellen, dass der Prüfraum für das vorgesehene Prüfgut hinsichtlich Bodenlast, Korrosionseinflüsse, Wärme usw. geeignet ist.</w:t>
            </w:r>
          </w:p>
          <w:p>
            <w:pPr>
              <w:pStyle w:val="para15"/>
              <w:numPr>
                <w:ilvl w:val="0"/>
                <w:numId w:val="5"/>
              </w:numPr>
              <w:ind w:left="590" w:hanging="590"/>
            </w:pPr>
            <w:r>
              <w:t xml:space="preserve">Sicherstellen, dass die in Kapitel </w:t>
            </w:r>
            <w:r>
              <w:rPr>
                <w:color w:val="000000"/>
              </w:rPr>
              <w:t xml:space="preserve">5.2 </w:t>
            </w:r>
            <w:r>
              <w:t>im Wartungsplan aufgeführten Arbeiten durchgeführt sind. Gegebenenfalls sind Wartungsarbeiten vorzunehmen, die während der beabsichtigten Prüfzeit erforderlich werden.</w:t>
            </w:r>
          </w:p>
          <w:p>
            <w:pPr>
              <w:pStyle w:val="para15"/>
              <w:numPr>
                <w:ilvl w:val="0"/>
                <w:numId w:val="5"/>
              </w:numPr>
              <w:ind w:left="590" w:hanging="590"/>
            </w:pPr>
            <w:r>
              <w:t>Prüfraum mit Prüfgut beschicken. Dabei beachten, dass das Prüfgut gleichmäßig vom Luftstrom erreicht wird.</w:t>
              <w:br w:type="textWrapping"/>
            </w:r>
          </w:p>
          <w:tbl>
            <w:tblPr>
              <w:tblStyle w:val="TableGrid"/>
              <w:name w:val="Tabelle7"/>
              <w:tabOrder w:val="0"/>
              <w:jc w:val="left"/>
              <w:tblInd w:w="0" w:type="dxa"/>
              <w:tblW w:w="5700" w:type="dxa"/>
              <w:tblLook w:val="04A0" w:firstRow="1" w:lastRow="0" w:firstColumn="1" w:lastColumn="0" w:noHBand="0" w:noVBand="1"/>
            </w:tblPr>
            <w:tblGrid>
              <w:gridCol w:w="5700"/>
            </w:tblGrid>
            <w:tr>
              <w:trPr>
                <w:tblHeader w:val="0"/>
                <w:cantSplit w:val="0"/>
                <w:trHeight w:val="0" w:hRule="auto"/>
              </w:trPr>
              <w:tc>
                <w:tcPr>
                  <w:tcW w:w="5700" w:type="dxa"/>
                  <w:tcBorders>
                    <w:bottom w:val="single" w:sz="6" w:space="0" w:color="000000" tmln="15, 20, 20, 0, 0"/>
                  </w:tcBorders>
                  <w:tmTcPr id="1634634931" protected="0"/>
                </w:tcPr>
                <w:p>
                  <w:pPr>
                    <w:spacing/>
                    <w:jc w:val="center"/>
                  </w:pPr>
                  <w:r>
                    <w:rPr>
                      <w:noProof/>
                    </w:rPr>
                    <w:drawing>
                      <wp:inline distT="0" distB="0" distL="0" distR="0">
                        <wp:extent cx="1122045" cy="353695"/>
                        <wp:effectExtent l="0" t="0" r="0" b="0"/>
                        <wp:docPr id="9" name="Grafik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 269"/>
                                <pic:cNvPicPr>
                                  <a:picLocks noChangeAspect="1"/>
                                  <a:extLst>
                                    <a:ext uri="smNativeData">
                                      <sm:smNativeData xmlns:sm="smNativeData" val="SMDATA_17_s4xuYR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GAAAAB6AAAAAAAAAKAAAAAAAAAAAAAAAAAAAAAAAAAAAAAAAAAAAA5wYAAC0CAAAAAAAAAAAAAAAAAAAoAAAACAAAAAEAAAABAAAAMAAAABQAAAAAAAAAAAD//wAAAQAAAP//AAABAA=="/>
                                    </a:ext>
                                  </a:extLst>
                                </pic:cNvPicPr>
                              </pic:nvPicPr>
                              <pic:blipFill>
                                <a:blip r:embed="rId17"/>
                                <a:stretch>
                                  <a:fillRect/>
                                </a:stretch>
                              </pic:blipFill>
                              <pic:spPr>
                                <a:xfrm>
                                  <a:off x="0" y="0"/>
                                  <a:ext cx="1122045" cy="353695"/>
                                </a:xfrm>
                                <a:prstGeom prst="rect">
                                  <a:avLst/>
                                </a:prstGeom>
                                <a:noFill/>
                                <a:ln w="12700">
                                  <a:noFill/>
                                </a:ln>
                              </pic:spPr>
                            </pic:pic>
                          </a:graphicData>
                        </a:graphic>
                      </wp:inline>
                    </w:drawing>
                  </w:r>
                  <w:r/>
                </w:p>
              </w:tc>
            </w:tr>
            <w:tr>
              <w:trPr>
                <w:tblHeader w:val="0"/>
                <w:cantSplit w:val="0"/>
                <w:trHeight w:val="0" w:hRule="auto"/>
              </w:trPr>
              <w:tc>
                <w:tcPr>
                  <w:tcW w:w="5700" w:type="dxa"/>
                  <w:tcBorders>
                    <w:top w:val="single" w:sz="6" w:space="0" w:color="000000" tmln="15, 20, 20, 0, 0"/>
                    <w:bottom w:val="single" w:sz="6" w:space="0" w:color="000000" tmln="15, 20, 20, 0, 0"/>
                  </w:tcBorders>
                  <w:tmTcPr id="1634634931" protected="0"/>
                </w:tcPr>
                <w:p>
                  <w:pPr/>
                  <w:r>
                    <w:t>Es ist zu beachten, dass der Prüfraum und die Türinnenseıte von vorheriger Prüfung noch heiß oder kalt sein kann.</w:t>
                  </w:r>
                </w:p>
              </w:tc>
            </w:tr>
            <w:tr>
              <w:trPr>
                <w:tblHeader w:val="0"/>
                <w:cantSplit w:val="0"/>
                <w:trHeight w:val="0" w:hRule="auto"/>
              </w:trPr>
              <w:tc>
                <w:tcPr>
                  <w:tcW w:w="5700" w:type="dxa"/>
                  <w:tcBorders>
                    <w:top w:val="single" w:sz="6" w:space="0" w:color="000000" tmln="15, 20, 20, 0, 0"/>
                    <w:bottom w:val="single" w:sz="6" w:space="0" w:color="000000" tmln="15, 20, 20, 0, 0"/>
                  </w:tcBorders>
                  <w:tmTcPr id="1634634931" protected="0"/>
                </w:tcPr>
                <w:p>
                  <w:pPr>
                    <w:spacing/>
                    <w:jc w:val="center"/>
                  </w:pPr>
                  <w:r>
                    <w:rPr>
                      <w:noProof/>
                    </w:rPr>
                    <w:drawing>
                      <wp:inline distT="0" distB="0" distL="0" distR="0">
                        <wp:extent cx="1122045" cy="353695"/>
                        <wp:effectExtent l="0" t="0" r="0" b="0"/>
                        <wp:docPr id="10" name="Grafik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270"/>
                                <pic:cNvPicPr>
                                  <a:picLocks noChangeAspect="1"/>
                                  <a:extLst>
                                    <a:ext uri="smNativeData">
                                      <sm:smNativeData xmlns:sm="smNativeData" val="SMDATA_17_s4xuYR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GAAAAB6AAAAAAAAALAAAAAAAAAAAAAAAAAAAAAAAAAAAAAAAAAAAA5wYAAC0CAAAAAAAAAAAAAAAAAAAoAAAACAAAAAEAAAABAAAAMAAAABQAAAAAAAAAAAD//wAAAQAAAP//AAABAA=="/>
                                    </a:ext>
                                  </a:extLst>
                                </pic:cNvPicPr>
                              </pic:nvPicPr>
                              <pic:blipFill>
                                <a:blip r:embed="rId17"/>
                                <a:stretch>
                                  <a:fillRect/>
                                </a:stretch>
                              </pic:blipFill>
                              <pic:spPr>
                                <a:xfrm>
                                  <a:off x="0" y="0"/>
                                  <a:ext cx="1122045" cy="353695"/>
                                </a:xfrm>
                                <a:prstGeom prst="rect">
                                  <a:avLst/>
                                </a:prstGeom>
                                <a:noFill/>
                                <a:ln w="12700">
                                  <a:noFill/>
                                </a:ln>
                              </pic:spPr>
                            </pic:pic>
                          </a:graphicData>
                        </a:graphic>
                      </wp:inline>
                    </w:drawing>
                  </w:r>
                  <w:r/>
                </w:p>
              </w:tc>
            </w:tr>
            <w:tr>
              <w:trPr>
                <w:tblHeader w:val="0"/>
                <w:cantSplit w:val="0"/>
                <w:trHeight w:val="0" w:hRule="auto"/>
              </w:trPr>
              <w:tc>
                <w:tcPr>
                  <w:tcW w:w="5700" w:type="dxa"/>
                  <w:tcBorders>
                    <w:top w:val="single" w:sz="6" w:space="0" w:color="000000" tmln="15, 20, 20, 0, 0"/>
                  </w:tcBorders>
                  <w:tmTcPr id="1634634931" protected="0"/>
                </w:tcPr>
                <w:p>
                  <w:pPr/>
                  <w:r>
                    <w:t>Es muss darauf geachtet werden, dass beim Beschicken des Prüfraumes der Hauptschalter immer zugänglich bleibt.</w:t>
                  </w:r>
                </w:p>
                <w:p>
                  <w:pPr>
                    <w:spacing/>
                    <w:jc w:val="center"/>
                  </w:pPr>
                  <w:r/>
                </w:p>
              </w:tc>
            </w:tr>
          </w:tbl>
          <w:p>
            <w:pPr>
              <w:pStyle w:val="para15"/>
              <w:numPr>
                <w:ilvl w:val="0"/>
                <w:numId w:val="5"/>
              </w:numPr>
              <w:ind w:left="590" w:hanging="567"/>
            </w:pPr>
            <w:r>
              <w:t>Kontrollieren, ob die Rohrdurchführungen verschlossen sind.</w:t>
            </w:r>
          </w:p>
          <w:p>
            <w:pPr>
              <w:pStyle w:val="para15"/>
              <w:numPr>
                <w:ilvl w:val="0"/>
                <w:numId w:val="5"/>
              </w:numPr>
              <w:ind w:left="590" w:hanging="567"/>
            </w:pPr>
            <w:r>
              <w:t>Wasserventile für Kühlung öffnen.</w:t>
            </w:r>
          </w:p>
          <w:p>
            <w:pPr>
              <w:pStyle w:val="para15"/>
              <w:numPr>
                <w:ilvl w:val="0"/>
                <w:numId w:val="5"/>
              </w:numPr>
              <w:ind w:left="590" w:hanging="567"/>
            </w:pPr>
            <w:r>
              <w:t>Frischwasserventil für den Befeuchter öffnen.</w:t>
            </w:r>
          </w:p>
          <w:p>
            <w:pPr>
              <w:pStyle w:val="para15"/>
              <w:numPr>
                <w:ilvl w:val="0"/>
                <w:numId w:val="5"/>
              </w:numPr>
              <w:ind w:left="590" w:hanging="567"/>
            </w:pPr>
            <w:r>
              <w:t>Gegebenenfalls Not-Aus-Taster entriegeln.</w:t>
            </w:r>
          </w:p>
          <w:p>
            <w:pPr>
              <w:pStyle w:val="para15"/>
              <w:numPr>
                <w:ilvl w:val="0"/>
                <w:numId w:val="5"/>
              </w:numPr>
              <w:ind w:left="590" w:hanging="567"/>
            </w:pPr>
            <w:r>
              <w:t>Hauptschalter einschalten, Hochfahren der Steuerung abwarten. Die Hupe wird für die Dauer des Hochfahrens des Temperaturwächters „Prüfgutschutz“ eingeschaltet (ca.3 Sekunden).</w:t>
            </w:r>
          </w:p>
          <w:p>
            <w:pPr>
              <w:pStyle w:val="para15"/>
              <w:numPr>
                <w:ilvl w:val="0"/>
                <w:numId w:val="5"/>
              </w:numPr>
              <w:ind w:left="590" w:hanging="567"/>
            </w:pPr>
            <w:r>
              <w:t>Am Regler Prüfgutschutz die eingestellten Temperaturen kontrollieren.</w:t>
            </w:r>
          </w:p>
          <w:p>
            <w:pPr>
              <w:pStyle w:val="para15"/>
              <w:numPr>
                <w:ilvl w:val="0"/>
                <w:numId w:val="5"/>
              </w:numPr>
              <w:ind w:left="590" w:hanging="567"/>
            </w:pPr>
            <w:r>
              <w:t>Am Touch-Display unter Service (Betrieb-&gt;Visu-&gt;Service&gt;Parameter) die eingestellten Grenzen für Temperatur.</w:t>
            </w:r>
          </w:p>
          <w:p>
            <w:pPr>
              <w:pStyle w:val="para15"/>
              <w:numPr>
                <w:ilvl w:val="0"/>
                <w:numId w:val="5"/>
              </w:numPr>
              <w:ind w:left="590" w:hanging="567"/>
            </w:pPr>
            <w:r>
              <w:t>Am Schaltschrank mit Schalter „Anlage Ein“ die Anlage Einschalten.</w:t>
            </w:r>
          </w:p>
          <w:p>
            <w:pPr>
              <w:pStyle w:val="para15"/>
              <w:numPr>
                <w:ilvl w:val="0"/>
                <w:numId w:val="5"/>
              </w:numPr>
              <w:ind w:left="590" w:hanging="567"/>
            </w:pPr>
            <w:r>
              <w:t>Betriebsart Wählen Programm oder Handbetrieb der Aggregate (Betrieb-&gt;Programmgeber-&gt;(links)Tabelle)</w:t>
            </w:r>
          </w:p>
          <w:p>
            <w:pPr>
              <w:pStyle w:val="para15"/>
              <w:numPr>
                <w:ilvl w:val="0"/>
                <w:numId w:val="5"/>
              </w:numPr>
              <w:ind w:left="590" w:hanging="567"/>
            </w:pPr>
            <w:r>
              <w:t>Prozess starten</w:t>
              <w:br w:type="textWrapping"/>
            </w:r>
            <w:r>
              <w:rPr>
                <w:b/>
                <w:bCs/>
              </w:rPr>
              <w:t>Hand</w:t>
            </w:r>
            <w:r>
              <w:t>: Temperatur  Sollwerte eingeben und mit Tasten (rechts) „Hand“ &amp; „Ein/Aus“ Temperaturregelungen „Heizen“ oder „Kühlen“ separat starten</w:t>
              <w:br w:type="textWrapping"/>
            </w:r>
            <w:r>
              <w:rPr>
                <w:b/>
                <w:bCs/>
              </w:rPr>
              <w:t>Programm</w:t>
            </w:r>
            <w:r>
              <w:t>: aktuelles Programm über Tasten „rechts“ Steuern „Start“</w:t>
            </w:r>
          </w:p>
          <w:p>
            <w:pPr>
              <w:pStyle w:val="para15"/>
              <w:numPr>
                <w:ilvl w:val="0"/>
                <w:numId w:val="5"/>
              </w:numPr>
              <w:ind w:left="590" w:hanging="567"/>
            </w:pPr>
            <w:r>
              <w:t>Im Bild System (Betrieb-&gt;Visu-&gt;System) anhand der angezeigten Soll- bzw. Istwerte und der Statusanzeigen kontrollieren, ob die Anlage ordnungsgemäß arbeitet.</w:t>
            </w:r>
          </w:p>
          <w:p>
            <w:pPr>
              <w:pStyle w:val="para15"/>
              <w:numPr>
                <w:ilvl w:val="0"/>
                <w:numId w:val="5"/>
              </w:numPr>
              <w:ind w:left="590" w:hanging="567"/>
            </w:pPr>
            <w:r>
              <w:t>Prozess Beenden</w:t>
              <w:br w:type="textWrapping"/>
              <w:t>Hand: Temperatursollwert eingeben oder Temperaturregelungen „Heizen“ oder „Kühlen“ separat stoppen</w:t>
              <w:br w:type="textWrapping"/>
              <w:t>Programm: aktuelles Programm über Tasten „rechts“ Steuern, „Reset“</w:t>
            </w:r>
          </w:p>
          <w:p>
            <w:pPr>
              <w:pStyle w:val="para15"/>
              <w:numPr>
                <w:ilvl w:val="0"/>
                <w:numId w:val="5"/>
              </w:numPr>
              <w:ind w:left="590" w:hanging="567"/>
            </w:pPr>
            <w:r>
              <w:t xml:space="preserve">Am Schaltschrank mit </w:t>
            </w:r>
            <w:r>
              <w:rPr>
                <w:b/>
              </w:rPr>
              <w:t>Knebelschalter</w:t>
            </w:r>
            <w:r>
              <w:t xml:space="preserve"> „Anlage Ein“ die Anlage Ausschalten. Die Ventilatoren sowie Heizen und Kühlen schalten sofort ab.</w:t>
            </w:r>
          </w:p>
          <w:p>
            <w:pPr>
              <w:pStyle w:val="para15"/>
              <w:numPr>
                <w:ilvl w:val="0"/>
                <w:numId w:val="5"/>
              </w:numPr>
              <w:ind w:left="590" w:hanging="567"/>
            </w:pPr>
            <w:r>
              <w:t>Hauptschalter Ausschalten</w:t>
            </w:r>
          </w:p>
          <w:p>
            <w:pPr>
              <w:pStyle w:val="para15"/>
              <w:ind w:left="3537" w:hanging="705"/>
            </w:pPr>
            <w:r/>
          </w:p>
        </w:tc>
      </w:tr>
      <w:tr>
        <w:trPr>
          <w:tblHeader w:val="0"/>
          <w:cantSplit w:val="0"/>
          <w:trHeight w:val="0" w:hRule="auto"/>
        </w:trPr>
        <w:tc>
          <w:tcPr>
            <w:tcW w:w="2835" w:type="dxa"/>
            <w:tcBorders>
              <w:top w:val="single" w:sz="6" w:space="0" w:color="000000" tmln="15, 20, 20, 0, 0"/>
              <w:bottom w:val="single" w:sz="6" w:space="0" w:color="000000" tmln="15, 20, 20, 0, 0"/>
              <w:right w:val="single" w:sz="6" w:space="0" w:color="000000" tmln="15, 20, 20, 0, 0"/>
            </w:tcBorders>
            <w:tmTcPr id="1634634931" protected="0"/>
          </w:tcPr>
          <w:p>
            <w:pPr>
              <w:spacing/>
              <w:jc w:val="center"/>
            </w:pPr>
            <w:r>
              <w:rPr>
                <w:noProof/>
              </w:rPr>
              <w:drawing>
                <wp:inline distT="0" distB="0" distL="0" distR="0">
                  <wp:extent cx="591185" cy="469265"/>
                  <wp:effectExtent l="0" t="0" r="0" b="0"/>
                  <wp:docPr id="11" name="Grafik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271"/>
                          <pic:cNvPicPr>
                            <a:picLocks noChangeAspect="1"/>
                            <a:extLst>
                              <a:ext uri="smNativeData">
                                <sm:smNativeData xmlns:sm="smNativeData" val="SMDATA_17_s4xuYR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GAAAAB6AAAAAAAAAMAAAAAAAAAAAAAAAAAAAAAAAAAAAAAAAAAAAAowMAAOMCAAAAAAAAAAAAAAAAAAAoAAAACAAAAAEAAAABAAAAMAAAABQAAAAAAAAAAAD//wAAAQAAAP//AAABAA=="/>
                              </a:ext>
                            </a:extLst>
                          </pic:cNvPicPr>
                        </pic:nvPicPr>
                        <pic:blipFill>
                          <a:blip r:embed="rId18"/>
                          <a:stretch>
                            <a:fillRect/>
                          </a:stretch>
                        </pic:blipFill>
                        <pic:spPr>
                          <a:xfrm>
                            <a:off x="0" y="0"/>
                            <a:ext cx="591185" cy="469265"/>
                          </a:xfrm>
                          <a:prstGeom prst="rect">
                            <a:avLst/>
                          </a:prstGeom>
                          <a:noFill/>
                          <a:ln w="12700">
                            <a:noFill/>
                          </a:ln>
                        </pic:spPr>
                      </pic:pic>
                    </a:graphicData>
                  </a:graphic>
                </wp:inline>
              </w:drawing>
            </w:r>
            <w:r/>
          </w:p>
        </w:tc>
        <w:tc>
          <w:tcPr>
            <w:tcW w:w="7077" w:type="dxa"/>
            <w:tcBorders>
              <w:top w:val="single" w:sz="6" w:space="0" w:color="000000" tmln="15, 20, 20, 0, 0"/>
              <w:left w:val="single" w:sz="6" w:space="0" w:color="000000" tmln="15, 20, 20, 0, 0"/>
              <w:bottom w:val="single" w:sz="6" w:space="0" w:color="000000" tmln="15, 20, 20, 0, 0"/>
            </w:tcBorders>
            <w:tmTcPr id="1634634931" protected="0"/>
          </w:tcPr>
          <w:p>
            <w:pPr/>
            <w:r>
              <w:rPr>
                <w:b/>
              </w:rPr>
              <w:t>Anmerkung:</w:t>
            </w:r>
            <w:r>
              <w:t xml:space="preserve"> Die Steuerung merkt sich den Zustand der Anlage beim       Abschalten. Wenn die Anlage vor dem Abschalten des Hauptschalters eingeschaltet war, dann startet sie nach dem Einschalten des Hauptschalters auch wieder automatisch. Das Gleiche gilt auch für einen Stromausfall</w:t>
            </w:r>
          </w:p>
          <w:p>
            <w:pPr/>
            <w:r/>
          </w:p>
        </w:tc>
      </w:tr>
      <w:tr>
        <w:trPr>
          <w:tblHeader w:val="0"/>
          <w:cantSplit w:val="0"/>
          <w:trHeight w:val="0" w:hRule="auto"/>
        </w:trPr>
        <w:tc>
          <w:tcPr>
            <w:tcW w:w="2835" w:type="dxa"/>
            <w:tcBorders>
              <w:top w:val="single" w:sz="6" w:space="0" w:color="000000" tmln="15, 20, 20, 0, 0"/>
              <w:bottom w:val="single" w:sz="6" w:space="0" w:color="000000" tmln="15, 20, 20, 0, 0"/>
              <w:right w:val="single" w:sz="6" w:space="0" w:color="000000" tmln="15, 20, 20, 0, 0"/>
            </w:tcBorders>
            <w:tmTcPr id="1634634931" protected="0"/>
          </w:tcPr>
          <w:p>
            <w:pPr>
              <w:spacing/>
              <w:jc w:val="center"/>
            </w:pPr>
            <w:r/>
          </w:p>
        </w:tc>
        <w:tc>
          <w:tcPr>
            <w:tcW w:w="7077" w:type="dxa"/>
            <w:tcBorders>
              <w:top w:val="single" w:sz="6" w:space="0" w:color="000000" tmln="15, 20, 20, 0, 0"/>
              <w:left w:val="single" w:sz="6" w:space="0" w:color="000000" tmln="15, 20, 20, 0, 0"/>
              <w:bottom w:val="single" w:sz="6" w:space="0" w:color="000000" tmln="15, 20, 20, 0, 0"/>
            </w:tcBorders>
            <w:tmTcPr id="1634634931" protected="0"/>
          </w:tcPr>
          <w:p>
            <w:pPr>
              <w:pStyle w:val="para15"/>
              <w:numPr>
                <w:ilvl w:val="0"/>
                <w:numId w:val="5"/>
              </w:numPr>
              <w:ind w:left="590" w:hanging="567"/>
            </w:pPr>
            <w:r>
              <w:t>Eventuell externe Systeme in Betrieb nehmen.</w:t>
            </w:r>
          </w:p>
          <w:p>
            <w:pPr>
              <w:pStyle w:val="para15"/>
              <w:numPr>
                <w:ilvl w:val="0"/>
                <w:numId w:val="5"/>
              </w:numPr>
              <w:ind w:left="590" w:hanging="567"/>
            </w:pPr>
            <w:r>
              <w:t>Sicherheitshinweise beachten, siehe Kapitel 1 und 3.</w:t>
            </w:r>
          </w:p>
          <w:p>
            <w:pPr>
              <w:rPr>
                <w:b/>
              </w:rPr>
            </w:pPr>
            <w:r>
              <w:rPr>
                <w:b/>
              </w:rPr>
            </w:r>
          </w:p>
        </w:tc>
      </w:tr>
      <w:tr>
        <w:trPr>
          <w:tblHeader w:val="0"/>
          <w:cantSplit w:val="0"/>
          <w:trHeight w:val="0" w:hRule="auto"/>
        </w:trPr>
        <w:tc>
          <w:tcPr>
            <w:tcW w:w="2835" w:type="dxa"/>
            <w:tcBorders>
              <w:top w:val="single" w:sz="6" w:space="0" w:color="000000" tmln="15, 20, 20, 0, 0"/>
              <w:bottom w:val="single" w:sz="6" w:space="0" w:color="000000" tmln="15, 20, 20, 0, 0"/>
              <w:right w:val="single" w:sz="6" w:space="0" w:color="000000" tmln="15, 20, 20, 0, 0"/>
            </w:tcBorders>
            <w:tmTcPr id="1634634931" protected="0"/>
          </w:tcPr>
          <w:p>
            <w:pPr>
              <w:spacing/>
              <w:jc w:val="center"/>
            </w:pPr>
            <w:r/>
          </w:p>
        </w:tc>
        <w:tc>
          <w:tcPr>
            <w:tcW w:w="7077" w:type="dxa"/>
            <w:tcBorders>
              <w:top w:val="single" w:sz="6" w:space="0" w:color="000000" tmln="15, 20, 20, 0, 0"/>
              <w:left w:val="single" w:sz="6" w:space="0" w:color="000000" tmln="15, 20, 20, 0, 0"/>
              <w:bottom w:val="single" w:sz="6" w:space="0" w:color="000000" tmln="15, 20, 20, 0, 0"/>
            </w:tcBorders>
            <w:tmTcPr id="1634634931" protected="0"/>
          </w:tcPr>
          <w:p>
            <w:pPr>
              <w:pStyle w:val="para15"/>
              <w:ind w:left="590"/>
              <w:spacing/>
              <w:jc w:val="center"/>
            </w:pPr>
            <w:r>
              <w:rPr>
                <w:noProof/>
              </w:rPr>
              <w:drawing>
                <wp:inline distT="0" distB="0" distL="0" distR="0">
                  <wp:extent cx="1122045" cy="353695"/>
                  <wp:effectExtent l="0" t="0" r="0" b="0"/>
                  <wp:docPr id="12" name="Grafik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fik 272"/>
                          <pic:cNvPicPr>
                            <a:picLocks noChangeAspect="1"/>
                            <a:extLst>
                              <a:ext uri="smNativeData">
                                <sm:smNativeData xmlns:sm="smNativeData" val="SMDATA_17_s4xu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GAAAAB6AAAAAAAAANAAAAAAAAAAAAAAAAAAAAAAAAAAAAAAAAAAAA5wYAAC0CAAAAAAAAAAAAAAAAAAAoAAAACAAAAAEAAAABAAAAMAAAABQAAAAAAAAAAAD//wAAAQAAAP//AAABAA=="/>
                              </a:ext>
                            </a:extLst>
                          </pic:cNvPicPr>
                        </pic:nvPicPr>
                        <pic:blipFill>
                          <a:blip r:embed="rId17"/>
                          <a:stretch>
                            <a:fillRect/>
                          </a:stretch>
                        </pic:blipFill>
                        <pic:spPr>
                          <a:xfrm>
                            <a:off x="0" y="0"/>
                            <a:ext cx="1122045" cy="353695"/>
                          </a:xfrm>
                          <a:prstGeom prst="rect">
                            <a:avLst/>
                          </a:prstGeom>
                          <a:noFill/>
                          <a:ln w="12700">
                            <a:noFill/>
                          </a:ln>
                        </pic:spPr>
                      </pic:pic>
                    </a:graphicData>
                  </a:graphic>
                </wp:inline>
              </w:drawing>
            </w:r>
            <w:r/>
          </w:p>
        </w:tc>
      </w:tr>
      <w:tr>
        <w:trPr>
          <w:tblHeader w:val="0"/>
          <w:cantSplit w:val="0"/>
          <w:trHeight w:val="0" w:hRule="auto"/>
        </w:trPr>
        <w:tc>
          <w:tcPr>
            <w:tcW w:w="2835" w:type="dxa"/>
            <w:tcBorders>
              <w:top w:val="single" w:sz="6" w:space="0" w:color="000000" tmln="15, 20, 20, 0, 0"/>
              <w:right w:val="single" w:sz="6" w:space="0" w:color="000000" tmln="15, 20, 20, 0, 0"/>
            </w:tcBorders>
            <w:tmTcPr id="1634634931" protected="0"/>
          </w:tcPr>
          <w:p>
            <w:pPr>
              <w:spacing/>
              <w:jc w:val="center"/>
            </w:pPr>
            <w:r>
              <w:rPr>
                <w:noProof/>
              </w:rPr>
              <w:drawing>
                <wp:inline distT="0" distB="0" distL="0" distR="0">
                  <wp:extent cx="591185" cy="469265"/>
                  <wp:effectExtent l="0" t="0" r="0" b="0"/>
                  <wp:docPr id="13" name="Grafik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fik 273"/>
                          <pic:cNvPicPr>
                            <a:picLocks noChangeAspect="1"/>
                            <a:extLst>
                              <a:ext uri="smNativeData">
                                <sm:smNativeData xmlns:sm="smNativeData" val="SMDATA_17_s4xuYR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GAAAAB6AAAAAAAAAOAAAAAAAAAAAAAAAAAAAAAAAAAAAAAAAAAAAAowMAAOMCAAAAAAAAAAAAAAAAAAAoAAAACAAAAAEAAAABAAAAMAAAABQAAAAAAAAAAAD//wAAAQAAAP//AAABAA=="/>
                              </a:ext>
                            </a:extLst>
                          </pic:cNvPicPr>
                        </pic:nvPicPr>
                        <pic:blipFill>
                          <a:blip r:embed="rId18"/>
                          <a:stretch>
                            <a:fillRect/>
                          </a:stretch>
                        </pic:blipFill>
                        <pic:spPr>
                          <a:xfrm>
                            <a:off x="0" y="0"/>
                            <a:ext cx="591185" cy="469265"/>
                          </a:xfrm>
                          <a:prstGeom prst="rect">
                            <a:avLst/>
                          </a:prstGeom>
                          <a:noFill/>
                          <a:ln w="12700">
                            <a:noFill/>
                          </a:ln>
                        </pic:spPr>
                      </pic:pic>
                    </a:graphicData>
                  </a:graphic>
                </wp:inline>
              </w:drawing>
            </w:r>
            <w:r/>
          </w:p>
        </w:tc>
        <w:tc>
          <w:tcPr>
            <w:tcW w:w="7077" w:type="dxa"/>
            <w:tcBorders>
              <w:top w:val="single" w:sz="6" w:space="0" w:color="000000" tmln="15, 20, 20, 0, 0"/>
              <w:left w:val="single" w:sz="6" w:space="0" w:color="000000" tmln="15, 20, 20, 0, 0"/>
            </w:tcBorders>
            <w:tmTcPr id="1634634931" protected="0"/>
          </w:tcPr>
          <w:p>
            <w:pPr/>
            <w:r>
              <w:t>Die Anlage ist während des Betriebs durch eingewiesenes Personal zu überwachen!</w:t>
            </w:r>
          </w:p>
        </w:tc>
      </w:tr>
    </w:tbl>
    <w:p>
      <w:pPr>
        <w:pStyle w:val="para2"/>
        <w:numPr>
          <w:ilvl w:val="1"/>
          <w:numId w:val="9"/>
        </w:numPr>
        <w:ind w:left="576" w:hanging="576"/>
      </w:pPr>
      <w:r>
        <w:br w:type="page"/>
      </w:r>
      <w:bookmarkStart w:id="10" w:name="_Toc495563833"/>
      <w:r/>
      <w:bookmarkEnd w:id="10"/>
      <w:r>
        <w:t>Bedienung Grundsätzliche Informationen</w:t>
      </w:r>
    </w:p>
    <w:p>
      <w:r>
        <w:rPr>
          <w:noProof/>
        </w:rPr>
        <mc:AlternateContent>
          <mc:Choice Requires="wps">
            <w:drawing>
              <wp:anchor distT="89535" distB="89535" distL="89535" distR="89535" simplePos="0" relativeHeight="251658272" behindDoc="0" locked="0" layoutInCell="0" hidden="0" allowOverlap="1">
                <wp:simplePos x="0" y="0"/>
                <wp:positionH relativeFrom="page">
                  <wp:posOffset>1260475</wp:posOffset>
                </wp:positionH>
                <wp:positionV relativeFrom="page">
                  <wp:posOffset>7314565</wp:posOffset>
                </wp:positionV>
                <wp:extent cx="4679315" cy="337820"/>
                <wp:effectExtent l="0" t="0" r="0" b="0"/>
                <wp:wrapSquare wrapText="bothSides"/>
                <wp:docPr id="32" name="Textbox9"/>
                <wp:cNvGraphicFramePr/>
                <a:graphic xmlns:a="http://schemas.openxmlformats.org/drawingml/2006/main">
                  <a:graphicData uri="http://schemas.microsoft.com/office/word/2010/wordprocessingShape">
                    <wps:wsp>
                      <wps:cNvSpPr txBox="1">
                        <a:extLst>
                          <a:ext uri="smNativeData">
                            <sm:smNativeData xmlns:sm="smNativeData" val="SMDATA_15_s4xuYR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yRw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EsAAAAAogAAAAAAAAAAAAAAAAAAAAAAAMEHAAAAAAAAAAAAAP8sAADJHAAAFAIAAAsAAADBBwAA/ywAACgAAAAIAAAAAQAAAAIAAAAwAAAAFAAAAAAAAAAAAP//AAABAAAA//8AAAEA"/>
                          </a:ext>
                        </a:extLst>
                      </wps:cNvSpPr>
                      <wps:spPr>
                        <a:xfrm>
                          <a:off x="0" y="0"/>
                          <a:ext cx="4679315" cy="337820"/>
                        </a:xfrm>
                        <a:prstGeom prst="rect">
                          <a:avLst/>
                        </a:prstGeom>
                        <a:noFill/>
                        <a:ln w="12700">
                          <a:noFill/>
                        </a:ln>
                      </wps:spPr>
                      <wps:txbx>
                        <w:txbxContent>
                          <w:p>
                            <w:pPr>
                              <w:pStyle w:val="para13"/>
                            </w:pPr>
                            <w:r>
                              <w:t xml:space="preserve">Abbildung </w:t>
                            </w:r>
                            <w:r>
                              <w:fldChar w:fldCharType="begin"/>
                              <w:instrText xml:space="preserve"> SEQ "Abbildung" \* Arabic </w:instrText>
                              <w:fldChar w:fldCharType="separate"/>
                              <w:t>4</w:t>
                              <w:fldChar w:fldCharType="end"/>
                            </w:r>
                            <w:r>
                              <w:t xml:space="preserve"> Steuerungskonzept</w:t>
                            </w:r>
                          </w:p>
                        </w:txbxContent>
                      </wps:txbx>
                      <wps:bodyPr spcFirstLastPara="1" vertOverflow="clip" horzOverflow="clip" upright="1">
                        <a:prstTxWarp prst="textNoShape">
                          <a:avLst/>
                        </a:prstTxWarp>
                        <a:spAutoFit/>
                      </wps:bodyPr>
                    </wps:wsp>
                  </a:graphicData>
                </a:graphic>
              </wp:anchor>
            </w:drawing>
          </mc:Choice>
          <mc:Fallback>
            <w:pict>
              <v:shapetype id="_x0000_t202" coordsize="21600,21600" o:spt="202" path="m,l,21600r21600,l21600,xe">
                <v:path gradientshapeok="t" o:connecttype="rect"/>
              </v:shapetype>
              <v:shape id="Textbox9" o:spid="_x0000_s1026" type="#_x0000_t202" style="position:absolute;margin-left:99.25pt;margin-top:575.95pt;mso-position-horizontal-relative:page;mso-position-vertical-relative:page;width:368.45pt;height:26.60pt;z-index:251658272;mso-wrap-distance-left:7.05pt;mso-wrap-distance-top:7.05pt;mso-wrap-distance-right:7.05pt;mso-wrap-distance-bottom:7.05pt;mso-wrap-style:square" stroked="f" filled="f" v:ext="SMDATA_15_s4xuYR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yRw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EsAAAAAogAAAAAAAAAAAAAAAAAAAAAAAMEHAAAAAAAAAAAAAP8sAADJHAAAFAIAAAsAAADBBwAA/ywAACgAAAAIAAAAAQAAAAIAAAAwAAAAFAAAAAAAAAAAAP//AAABAAAA//8AAAEA" o:insetmode="custom">
                <w10:wrap type="square" anchorx="page" anchory="page"/>
                <v:textbox style="mso-fit-shape-to-text:t" inset="2.8pt,2.8pt,2.8pt,2.8pt">
                  <w:txbxContent>
                    <w:p>
                      <w:pPr>
                        <w:pStyle w:val="para13"/>
                      </w:pPr>
                      <w:r>
                        <w:t xml:space="preserve">Abbildung </w:t>
                      </w:r>
                      <w:r>
                        <w:fldChar w:fldCharType="begin"/>
                        <w:instrText xml:space="preserve"> SEQ "Abbildung" \* Arabic </w:instrText>
                        <w:fldChar w:fldCharType="separate"/>
                        <w:t>4</w:t>
                        <w:fldChar w:fldCharType="end"/>
                      </w:r>
                      <w:r>
                        <w:t xml:space="preserve"> Steuerungskonzept</w:t>
                      </w:r>
                    </w:p>
                  </w:txbxContent>
                </v:textbox>
              </v:shape>
            </w:pict>
          </mc:Fallback>
        </mc:AlternateContent>
      </w:r>
      <w:r/>
    </w:p>
    <w:p>
      <w:r/>
    </w:p>
    <w:p>
      <w:r>
        <w:t xml:space="preserve">Jeder Antrieb kann einzeln gesteuert werden. </w:t>
        <w:br w:type="textWrapping"/>
        <w:t>Auto - Antrieb folgt den Befehlen aus der Regelung oder den Spuren</w:t>
      </w:r>
    </w:p>
    <w:p>
      <w:r>
        <w:t>Aus -  Antrieb ist aus</w:t>
      </w:r>
    </w:p>
    <w:p>
      <w:r>
        <w:t>Hand - Antrieb wird eingeschaltet, bei geregelten Antrieben mit Stellwert</w:t>
      </w:r>
    </w:p>
    <w:p>
      <w:r/>
    </w:p>
    <w:p>
      <w:r>
        <w:t>Die den einzelnen Antrieben überlagerte Steuerungsebene erhält Ihre Sollwerte und Einschaltbefehle aus dem Programmgeber oder der Handbedienung. Die Umschaltung erfolgt im Bild Visu&gt;Hand „Betriebsart Hand/Programm“.</w:t>
      </w:r>
    </w:p>
    <w:p>
      <w:r/>
    </w:p>
    <w:p>
      <w:r/>
    </w:p>
    <w:p>
      <w:pPr>
        <w:pStyle w:val="para2"/>
        <w:numPr>
          <w:ilvl w:val="1"/>
          <w:numId w:val="9"/>
        </w:numPr>
        <w:ind w:left="576" w:hanging="576"/>
      </w:pPr>
      <w:r>
        <w:br w:type="page"/>
      </w:r>
      <w:bookmarkStart w:id="11" w:name="_TOC000002"/>
      <w:r>
        <w:t>Detaillierte Beschreibung der Bilder und der Bedienung des Touch-Displays</w:t>
      </w:r>
      <w:bookmarkEnd w:id="11"/>
      <w:r/>
    </w:p>
    <w:p>
      <w:r/>
    </w:p>
    <w:p>
      <w:r>
        <w:t>Die Bedienung am Touch Panel ist in zwei Hauptgruppen aufgeteilt.</w:t>
      </w:r>
    </w:p>
    <w:p>
      <w:r>
        <w:rPr>
          <w:b/>
          <w:bCs/>
        </w:rPr>
        <w:t>Programm</w:t>
      </w:r>
      <w:r>
        <w:t xml:space="preserve"> und </w:t>
      </w:r>
      <w:r>
        <w:rPr>
          <w:b/>
          <w:bCs/>
        </w:rPr>
        <w:t>Betrieb</w:t>
      </w:r>
      <w:r>
        <w:t>. Diese sind durch die jeweiligen Tasten links und rechts oben zu erreichen.</w:t>
      </w:r>
    </w:p>
    <w:p>
      <w:r>
        <w:t>In den Bildern befinden sich rechts und links „ausklappbare“ Menüs. Diese sind je nach den möglichen Bedienoperationen gestaltet. Diese Menüs können durch Antippen der schwarzen Balken geöffnet/geschlossen werden.</w:t>
      </w:r>
    </w:p>
    <w:p>
      <w:pPr>
        <w:pStyle w:val="para3"/>
        <w:numPr>
          <w:ilvl w:val="2"/>
          <w:numId w:val="9"/>
        </w:numPr>
        <w:ind w:left="720" w:hanging="720"/>
      </w:pPr>
      <w:bookmarkStart w:id="12" w:name="_Toc495563834"/>
      <w:r/>
      <w:bookmarkEnd w:id="12"/>
      <w:r>
        <w:t>Programm</w:t>
      </w:r>
    </w:p>
    <w:p>
      <w:r/>
    </w:p>
    <w:p>
      <w:pPr>
        <w:keepNext/>
      </w:pPr>
      <w:r/>
    </w:p>
    <w:p>
      <w:pPr>
        <w:pStyle w:val="para13"/>
      </w:pPr>
      <w:r>
        <w:t xml:space="preserve">Abbildung </w:t>
      </w:r>
      <w:r>
        <w:fldChar w:fldCharType="begin"/>
        <w:instrText xml:space="preserve"> SEQ "Abbildung" \* Arabic </w:instrText>
        <w:fldChar w:fldCharType="separate"/>
        <w:t>5</w:t>
        <w:fldChar w:fldCharType="end"/>
      </w:r>
      <w:r>
        <w:t xml:space="preserve"> Programmverwaltung</w:t>
      </w:r>
    </w:p>
    <w:p>
      <w:r>
        <w:t>Die Programmverwaltung erreicht man mit der Taste „Programm“, links oben.</w:t>
      </w:r>
    </w:p>
    <w:p>
      <w:r>
        <w:t>Unter „Programm“ können kundenspezifische Programme angelegt, geändert, gelöscht sowie importiert und exportiert werden.</w:t>
      </w:r>
    </w:p>
    <w:p>
      <w:r>
        <w:t>Programme werden zu ihrer Verwendung, von hier zum „Betrieb“ kopiert.</w:t>
      </w:r>
    </w:p>
    <w:p>
      <w:r>
        <w:t>Eine detaillierte Beschreibung der Standardfunktionen des Gerätes findet man im Dokument „Betriebsanleitung Programmregler SE-702“ der Firma Stange Elektronik.</w:t>
      </w:r>
    </w:p>
    <w:p>
      <w:pPr>
        <w:pStyle w:val="para3"/>
        <w:numPr>
          <w:ilvl w:val="2"/>
          <w:numId w:val="9"/>
        </w:numPr>
        <w:ind w:left="720" w:hanging="720"/>
      </w:pPr>
      <w:r>
        <w:br w:type="page"/>
      </w:r>
      <w:bookmarkStart w:id="13" w:name="_Toc495563835"/>
      <w:r/>
      <w:bookmarkEnd w:id="13"/>
      <w:r>
        <w:t>Betrieb</w:t>
      </w:r>
    </w:p>
    <w:p>
      <w:r/>
    </w:p>
    <w:p>
      <w:pPr>
        <w:pStyle w:val="para15"/>
        <w:keepNext/>
      </w:pPr>
      <w:r/>
    </w:p>
    <w:p>
      <w:pPr>
        <w:pStyle w:val="para13"/>
        <w:rPr>
          <w:rFonts w:ascii="Times New Roman" w:hAnsi="Times New Roman" w:eastAsia="Times New Roman"/>
          <w:i w:val="0"/>
          <w:iCs w:val="0"/>
          <w:color w:val="auto"/>
          <w:sz w:val="24"/>
          <w:szCs w:val="24"/>
        </w:rPr>
      </w:pPr>
      <w:r>
        <w:t xml:space="preserve">Abbildung </w:t>
      </w:r>
      <w:r>
        <w:fldChar w:fldCharType="begin"/>
        <w:instrText xml:space="preserve"> SEQ "Abbildung" \* Arabic </w:instrText>
        <w:fldChar w:fldCharType="separate"/>
        <w:t>6</w:t>
        <w:fldChar w:fldCharType="end"/>
      </w:r>
      <w:r>
        <w:t xml:space="preserve"> Grundbild "Betrieb"</w:t>
      </w:r>
      <w:r>
        <w:rPr>
          <w:rFonts w:ascii="Times New Roman" w:hAnsi="Times New Roman" w:eastAsia="Times New Roman"/>
          <w:i w:val="0"/>
          <w:iCs w:val="0"/>
          <w:color w:val="auto"/>
          <w:sz w:val="24"/>
          <w:szCs w:val="24"/>
        </w:rPr>
        <w:t>Unter „Betrieb“ befinden sich alle Anzeigen und Bedienmöglichkeiten für den Betrieb der Anlage.</w:t>
      </w:r>
    </w:p>
    <w:p>
      <w:r>
        <w:t>Eine detaillierte Beschreibung der Standardfunktionen des Gerätes findet man im Dokument „Betriebsanleitung Programmregler SE-702“ der Firma Stange Elektronik.</w:t>
      </w:r>
    </w:p>
    <w:p>
      <w:r>
        <w:t>Eingebettet in die Standardfunktionen des Gerätes ist eine kundenspezifische Anlagenvisualisierung. Diese ist über den Button „Visu“ erreichbar.</w:t>
      </w:r>
    </w:p>
    <w:p>
      <w:pPr>
        <w:pStyle w:val="para15"/>
        <w:rPr>
          <w:rFonts w:ascii="Times New Roman" w:hAnsi="Times New Roman" w:eastAsia="Times New Roman"/>
          <w:sz w:val="24"/>
          <w:szCs w:val="24"/>
        </w:rPr>
      </w:pPr>
      <w:r>
        <w:rPr>
          <w:rFonts w:ascii="Times New Roman" w:hAnsi="Times New Roman" w:eastAsia="Times New Roman"/>
          <w:sz w:val="24"/>
          <w:szCs w:val="24"/>
        </w:rPr>
      </w:r>
    </w:p>
    <w:p>
      <w:pPr>
        <w:pStyle w:val="para15"/>
        <w:rPr>
          <w:rFonts w:ascii="Times New Roman" w:hAnsi="Times New Roman" w:eastAsia="Times New Roman"/>
          <w:sz w:val="24"/>
          <w:szCs w:val="24"/>
        </w:rPr>
      </w:pPr>
      <w:r>
        <w:rPr>
          <w:rFonts w:ascii="Times New Roman" w:hAnsi="Times New Roman" w:eastAsia="Times New Roman"/>
          <w:sz w:val="24"/>
          <w:szCs w:val="24"/>
        </w:rPr>
        <w:t>Nach dem Hochfahren der Steuerung ist das Grundbild zu sehen. Zu diesem Grundbild gelangen Sie aus anderen Bildern durch Drücken der Taste „Betrieb“, rechts oben.</w:t>
      </w:r>
    </w:p>
    <w:p>
      <w:r/>
    </w:p>
    <w:p>
      <w:r>
        <w:t>Das Übersichtsbild „BETRIEB“ zeigt die Hauptbedienfunktionen an. Diese sind von hier aus zu erreichen.</w:t>
      </w:r>
    </w:p>
    <w:p>
      <w:pPr>
        <w:pStyle w:val="para4"/>
        <w:numPr>
          <w:ilvl w:val="3"/>
          <w:numId w:val="9"/>
        </w:numPr>
        <w:ind w:left="864" w:hanging="864"/>
      </w:pPr>
      <w:r>
        <w:br w:type="page"/>
      </w:r>
      <w:bookmarkStart w:id="14" w:name="_TOC000003"/>
      <w:r>
        <w:t>Programmgeber</w:t>
      </w:r>
      <w:bookmarkEnd w:id="14"/>
      <w:r/>
    </w:p>
    <w:p>
      <w:r/>
    </w:p>
    <w:p>
      <w:pPr>
        <w:keepNext/>
      </w:pPr>
      <w:r/>
    </w:p>
    <w:p>
      <w:pPr>
        <w:pStyle w:val="para13"/>
      </w:pPr>
      <w:r>
        <w:t xml:space="preserve">Abbildung </w:t>
      </w:r>
      <w:r>
        <w:fldChar w:fldCharType="begin"/>
        <w:instrText xml:space="preserve"> SEQ "Abbildung" \* Arabic </w:instrText>
        <w:fldChar w:fldCharType="separate"/>
        <w:t>7</w:t>
        <w:fldChar w:fldCharType="end"/>
      </w:r>
      <w:r>
        <w:t xml:space="preserve"> Programmgeber</w:t>
      </w:r>
    </w:p>
    <w:p>
      <w:r>
        <w:t xml:space="preserve">Bei Anwahl Betriebsart „Programmgeber“ (siehe </w:t>
      </w:r>
      <w:r>
        <w:fldChar w:fldCharType="begin"/>
        <w:instrText xml:space="preserve"> REF _REF000001 \n \h </w:instrText>
        <w:fldChar w:fldCharType="separate"/>
        <w:t>4.5.2.3.6</w:t>
        <w:fldChar w:fldCharType="end"/>
      </w:r>
      <w:r>
        <w:t>) kann das geladene Programm hier gesteuert (Start, Stopp, Halt, Sprung, …) werden. Es ist auch möglich, das aktuelle Programm zu ändern.</w:t>
      </w:r>
    </w:p>
    <w:p>
      <w:r>
        <w:t xml:space="preserve">Der Programmgeber ist vorkonfiguriert. Das Programm wird durch Eingabe von Sollwerten für Temperatur, Feuchte und CO2 sowie die Steuersignale (Spuren) für </w:t>
      </w:r>
      <w:r>
        <w:rPr>
          <w:b/>
          <w:bCs/>
        </w:rPr>
        <w:t>Heizen</w:t>
      </w:r>
      <w:r>
        <w:t xml:space="preserve">, </w:t>
      </w:r>
      <w:r>
        <w:rPr>
          <w:b/>
          <w:bCs/>
        </w:rPr>
        <w:t>Kühlen</w:t>
      </w:r>
      <w:r>
        <w:t xml:space="preserve">, </w:t>
      </w:r>
      <w:r>
        <w:rPr>
          <w:b/>
          <w:bCs/>
        </w:rPr>
        <w:t xml:space="preserve">Ventilator, Befeuchten, Entfeuchten </w:t>
      </w:r>
      <w:r>
        <w:t xml:space="preserve">beschrieben. </w:t>
      </w:r>
    </w:p>
    <w:p>
      <w:r>
        <w:br w:type="textWrapping"/>
      </w:r>
    </w:p>
    <w:p>
      <w:pPr>
        <w:pStyle w:val="para13"/>
      </w:pPr>
      <w:r>
        <w:t xml:space="preserve">Abbildung </w:t>
      </w:r>
      <w:r>
        <w:fldChar w:fldCharType="begin"/>
        <w:instrText xml:space="preserve"> SEQ "Abbildung" \* Arabic </w:instrText>
        <w:fldChar w:fldCharType="separate"/>
        <w:t>8</w:t>
        <w:fldChar w:fldCharType="end"/>
      </w:r>
      <w:r>
        <w:t xml:space="preserve"> Programmgeber</w:t>
      </w:r>
    </w:p>
    <w:p>
      <w:r>
        <w:t>Weiterhin sind technologische Schritte wie „Aufheizen“, „Halten“, „Kühlen“, angelegt. Diese Schritte verfügen intern über Verriegelungen (z.B kein Kühlen bei Aufheizen). Über ihren Namen erleichtern sie die Erstellung und Lesbarkeit der Programme.</w:t>
      </w:r>
    </w:p>
    <w:p>
      <w:r>
        <w:t>Beim Start eines Programms werden die Regelungen aktiviert. Die weiteren Funktionen können über das Ein- oder Ausschalten der Spuren im jeweiligen Schritt gesteuert werden.</w:t>
      </w:r>
    </w:p>
    <w:p>
      <w:r/>
    </w:p>
    <w:p>
      <w:pPr>
        <w:pStyle w:val="para5"/>
        <w:numPr>
          <w:ilvl w:val="4"/>
          <w:numId w:val="9"/>
        </w:numPr>
        <w:ind w:left="1008" w:hanging="1008"/>
      </w:pPr>
      <w:bookmarkStart w:id="15" w:name="_TOC000004"/>
      <w:r>
        <w:t>Spuren</w:t>
      </w:r>
      <w:bookmarkEnd w:id="15"/>
      <w:r/>
    </w:p>
    <w:p>
      <w:r>
        <w:t xml:space="preserve">Neben den Sollwert beinhaltet das Programm digitale Signale für das Einschalten bzw. Freigeben des Heizens oder Kühlens bzw. der Ventilatoren in der Kammer. Das Be-/Entfeuchten wird neben dem Sollwert Feuchte über die Spuren gesteuert. </w:t>
        <w:br w:type="textWrapping"/>
        <w:t>Durch die Spur „Kontr. Seg. weiter Temp.“ kann gesteuert werden, ob das Programm in den nächsten Programmschritt wechselt. Ist die Spur aktiviert erfolgt die Weiterschaltung erst, wenn der Istwert der Temperatur in einem Toleranzbereich von 2°C zum Sollwert ist.</w:t>
      </w:r>
    </w:p>
    <w:p>
      <w:r/>
    </w:p>
    <w:p>
      <w:pPr>
        <w:pStyle w:val="para5"/>
        <w:numPr>
          <w:ilvl w:val="4"/>
          <w:numId w:val="9"/>
        </w:numPr>
        <w:ind w:left="1008" w:hanging="1008"/>
      </w:pPr>
      <w:r>
        <w:br w:type="page"/>
      </w:r>
      <w:bookmarkStart w:id="16" w:name="_TOC000005"/>
      <w:r>
        <w:t>Programm Starten</w:t>
      </w:r>
      <w:bookmarkEnd w:id="16"/>
      <w:r/>
    </w:p>
    <w:p>
      <w:r>
        <w:t xml:space="preserve">In dieser Betriebsart erfolgt der Start des Prozesses über den Bedienbereich Betrieb-&gt;Programmgeber oder über die Funktionstasten in den Seitenmenüs. </w:t>
      </w:r>
    </w:p>
    <w:p>
      <w:pPr>
        <w:keepNext/>
      </w:pPr>
      <w:r/>
    </w:p>
    <w:p>
      <w:pPr>
        <w:pStyle w:val="para13"/>
      </w:pPr>
      <w:r>
        <w:t xml:space="preserve">Abbildung </w:t>
      </w:r>
      <w:r>
        <w:fldChar w:fldCharType="begin"/>
        <w:instrText xml:space="preserve"> SEQ "Abbildung" \* Arabic </w:instrText>
        <w:fldChar w:fldCharType="separate"/>
        <w:t>9</w:t>
        <w:fldChar w:fldCharType="end"/>
      </w:r>
      <w:r>
        <w:t xml:space="preserve"> Visu/ Übersicht mit Programmsteuerung</w:t>
      </w:r>
    </w:p>
    <w:p>
      <w:r>
        <w:t>Der Start des Programms ist mit Bedingungen verriegelt. Der Programmgeber wird dann in den Zustand „</w:t>
      </w:r>
      <w:r>
        <w:rPr>
          <w:b/>
          <w:bCs/>
        </w:rPr>
        <w:t>RESET</w:t>
      </w:r>
      <w:r>
        <w:t>“ versetzt. Ein Start ist nicht möglich.</w:t>
      </w:r>
    </w:p>
    <w:p>
      <w:r>
        <w:t>Reset- Bedingungen:</w:t>
      </w:r>
    </w:p>
    <w:p>
      <w:pPr>
        <w:pStyle w:val="para27"/>
        <w:numPr>
          <w:ilvl w:val="0"/>
          <w:numId w:val="3"/>
        </w:numPr>
        <w:ind w:left="3904" w:hanging="360"/>
        <w:rPr>
          <w:rFonts w:ascii="Times New Roman" w:hAnsi="Times New Roman" w:eastAsia="Times New Roman"/>
          <w:sz w:val="24"/>
          <w:szCs w:val="24"/>
        </w:rPr>
      </w:pPr>
      <w:r>
        <w:rPr>
          <w:rFonts w:ascii="Times New Roman" w:hAnsi="Times New Roman" w:eastAsia="Times New Roman"/>
          <w:sz w:val="24"/>
          <w:szCs w:val="24"/>
        </w:rPr>
        <w:t>Anlage in Handbetrieb</w:t>
      </w:r>
    </w:p>
    <w:p>
      <w:pPr>
        <w:pStyle w:val="para27"/>
        <w:numPr>
          <w:ilvl w:val="0"/>
          <w:numId w:val="3"/>
        </w:numPr>
        <w:ind w:left="3904" w:hanging="360"/>
        <w:rPr>
          <w:rFonts w:ascii="Times New Roman" w:hAnsi="Times New Roman" w:eastAsia="Times New Roman"/>
          <w:sz w:val="24"/>
          <w:szCs w:val="24"/>
        </w:rPr>
      </w:pPr>
      <w:r>
        <w:rPr>
          <w:rFonts w:ascii="Times New Roman" w:hAnsi="Times New Roman" w:eastAsia="Times New Roman"/>
          <w:sz w:val="24"/>
          <w:szCs w:val="24"/>
        </w:rPr>
        <w:t>ein Antrieb in Handbetrieb</w:t>
      </w:r>
    </w:p>
    <w:p>
      <w:pPr>
        <w:pStyle w:val="para27"/>
        <w:numPr>
          <w:ilvl w:val="0"/>
          <w:numId w:val="3"/>
        </w:numPr>
        <w:ind w:left="3904" w:hanging="360"/>
        <w:rPr>
          <w:rFonts w:ascii="Times New Roman" w:hAnsi="Times New Roman" w:eastAsia="Times New Roman"/>
          <w:sz w:val="24"/>
          <w:szCs w:val="24"/>
        </w:rPr>
      </w:pPr>
      <w:r>
        <w:rPr>
          <w:rFonts w:ascii="Times New Roman" w:hAnsi="Times New Roman" w:eastAsia="Times New Roman"/>
          <w:sz w:val="24"/>
          <w:szCs w:val="24"/>
        </w:rPr>
        <w:t>anstehender Alarm</w:t>
      </w:r>
    </w:p>
    <w:p>
      <w:pPr>
        <w:pStyle w:val="para27"/>
        <w:numPr>
          <w:ilvl w:val="0"/>
          <w:numId w:val="3"/>
        </w:numPr>
        <w:ind w:left="3904" w:hanging="360"/>
        <w:rPr>
          <w:rFonts w:ascii="Times New Roman" w:hAnsi="Times New Roman" w:eastAsia="Times New Roman"/>
          <w:sz w:val="24"/>
          <w:szCs w:val="24"/>
        </w:rPr>
      </w:pPr>
      <w:r>
        <w:rPr>
          <w:rFonts w:ascii="Times New Roman" w:hAnsi="Times New Roman" w:eastAsia="Times New Roman"/>
          <w:sz w:val="24"/>
          <w:szCs w:val="24"/>
        </w:rPr>
        <w:t>Programm Ende</w:t>
      </w:r>
    </w:p>
    <w:p>
      <w:r>
        <w:t>Der Zeitfortschritt des Programms ist mit Bedingungen verriegelt. Der Programmgeber wird dann in den Zustand „</w:t>
      </w:r>
      <w:r>
        <w:rPr>
          <w:b/>
          <w:bCs/>
        </w:rPr>
        <w:t>Lock</w:t>
      </w:r>
      <w:r>
        <w:t>“ (gelb) versetzt. Die Zeit läuft nicht weiter und das Programm läuft nicht ab.</w:t>
      </w:r>
    </w:p>
    <w:p>
      <w:r>
        <w:t>Lock- Bedingungen:</w:t>
      </w:r>
    </w:p>
    <w:p>
      <w:pPr>
        <w:pStyle w:val="para27"/>
        <w:numPr>
          <w:ilvl w:val="0"/>
          <w:numId w:val="3"/>
        </w:numPr>
        <w:ind w:left="3904" w:hanging="360"/>
        <w:rPr>
          <w:rFonts w:ascii="Times New Roman" w:hAnsi="Times New Roman" w:eastAsia="Times New Roman"/>
          <w:sz w:val="24"/>
          <w:szCs w:val="24"/>
        </w:rPr>
      </w:pPr>
      <w:r>
        <w:rPr>
          <w:rFonts w:ascii="Times New Roman" w:hAnsi="Times New Roman" w:eastAsia="Times New Roman"/>
          <w:sz w:val="24"/>
          <w:szCs w:val="24"/>
        </w:rPr>
        <w:t>anstehender Alarm</w:t>
      </w:r>
    </w:p>
    <w:p>
      <w:pPr>
        <w:pStyle w:val="para27"/>
        <w:numPr>
          <w:ilvl w:val="0"/>
          <w:numId w:val="3"/>
        </w:numPr>
        <w:ind w:left="3904" w:hanging="360"/>
        <w:rPr>
          <w:rFonts w:ascii="Times New Roman" w:hAnsi="Times New Roman" w:eastAsia="Times New Roman"/>
          <w:sz w:val="24"/>
          <w:szCs w:val="24"/>
        </w:rPr>
      </w:pPr>
      <w:r>
        <w:rPr>
          <w:rFonts w:ascii="Times New Roman" w:hAnsi="Times New Roman" w:eastAsia="Times New Roman"/>
          <w:sz w:val="24"/>
          <w:szCs w:val="24"/>
        </w:rPr>
        <w:t>NOT-Halt</w:t>
      </w:r>
    </w:p>
    <w:p>
      <w:pPr>
        <w:pStyle w:val="para27"/>
        <w:numPr>
          <w:ilvl w:val="0"/>
          <w:numId w:val="3"/>
        </w:numPr>
        <w:ind w:left="3904" w:hanging="360"/>
        <w:rPr>
          <w:rFonts w:ascii="Times New Roman" w:hAnsi="Times New Roman" w:eastAsia="Times New Roman"/>
          <w:sz w:val="24"/>
          <w:szCs w:val="24"/>
        </w:rPr>
      </w:pPr>
      <w:r>
        <w:rPr>
          <w:rFonts w:ascii="Times New Roman" w:hAnsi="Times New Roman" w:eastAsia="Times New Roman"/>
          <w:sz w:val="24"/>
          <w:szCs w:val="24"/>
        </w:rPr>
        <w:t>Überwachung 24VDC Stromversorgung</w:t>
      </w:r>
    </w:p>
    <w:p>
      <w:pPr>
        <w:pStyle w:val="para27"/>
        <w:numPr>
          <w:ilvl w:val="0"/>
          <w:numId w:val="3"/>
        </w:numPr>
        <w:ind w:left="3904" w:hanging="360"/>
        <w:rPr>
          <w:rFonts w:ascii="Times New Roman" w:hAnsi="Times New Roman" w:eastAsia="Times New Roman"/>
          <w:sz w:val="24"/>
          <w:szCs w:val="24"/>
        </w:rPr>
      </w:pPr>
      <w:r>
        <w:rPr>
          <w:rFonts w:ascii="Times New Roman" w:hAnsi="Times New Roman" w:eastAsia="Times New Roman"/>
          <w:sz w:val="24"/>
          <w:szCs w:val="24"/>
        </w:rPr>
        <w:t xml:space="preserve">Anlage nicht eingeschaltet </w:t>
      </w:r>
    </w:p>
    <w:p>
      <w:pPr>
        <w:pStyle w:val="para27"/>
        <w:ind w:left="0"/>
        <w:rPr>
          <w:rFonts w:ascii="Times New Roman" w:hAnsi="Times New Roman" w:eastAsia="Times New Roman"/>
          <w:sz w:val="24"/>
          <w:szCs w:val="24"/>
        </w:rPr>
      </w:pPr>
      <w:r>
        <w:rPr>
          <w:rFonts w:ascii="Times New Roman" w:hAnsi="Times New Roman" w:eastAsia="Times New Roman"/>
          <w:sz w:val="24"/>
          <w:szCs w:val="24"/>
        </w:rPr>
      </w:r>
    </w:p>
    <w:p>
      <w:pPr>
        <w:pStyle w:val="para27"/>
        <w:ind w:left="0"/>
        <w:rPr>
          <w:rFonts w:ascii="Times New Roman" w:hAnsi="Times New Roman" w:eastAsia="Times New Roman"/>
          <w:sz w:val="24"/>
          <w:szCs w:val="24"/>
        </w:rPr>
      </w:pPr>
      <w:r>
        <w:rPr>
          <w:rFonts w:ascii="Times New Roman" w:hAnsi="Times New Roman" w:eastAsia="Times New Roman"/>
          <w:sz w:val="24"/>
          <w:szCs w:val="24"/>
        </w:rPr>
        <w:t>Dieser Zustand kann auch über die Taste „Halt“ erzeugt werden.</w:t>
      </w:r>
    </w:p>
    <w:p>
      <w:r>
        <w:t>Beim Start eines Programms wird eine Maske zur Eingabe von Zusatzinformationen zur Charge eingeblendet. Diese Information können in der Maske eingegeben werden. Danach erfolgt der Start des Programms.</w:t>
      </w:r>
    </w:p>
    <w:p>
      <w:r>
        <w:t>Der Programmstart kann ebenso zeitgesteuert erfolgen.</w:t>
      </w:r>
    </w:p>
    <w:p>
      <w:r>
        <w:t xml:space="preserve">Siehe auch Bedienungsanleitung Stange Elektronik. </w:t>
      </w:r>
    </w:p>
    <w:p>
      <w:pPr>
        <w:pStyle w:val="para5"/>
        <w:numPr>
          <w:ilvl w:val="4"/>
          <w:numId w:val="9"/>
        </w:numPr>
        <w:ind w:left="1008" w:hanging="1008"/>
      </w:pPr>
      <w:r>
        <w:br w:type="page"/>
      </w:r>
      <w:bookmarkStart w:id="17" w:name="_TOC000006"/>
      <w:r>
        <w:t>Handbetrieb</w:t>
      </w:r>
      <w:bookmarkEnd w:id="17"/>
      <w:r/>
    </w:p>
    <w:p>
      <w:r>
        <w:t>Im Programmbetrieb können Sollwerte und Spuren in Hand geändert werden. Die Anlage lässt sich so ohne Programm betreiben</w:t>
      </w:r>
    </w:p>
    <w:p>
      <w:r>
        <w:t xml:space="preserve"> </w:t>
      </w:r>
    </w:p>
    <w:p>
      <w:bookmarkStart w:id="18" w:name="Textbox2"/>
      <w:r/>
      <w:bookmarkEnd w:id="18"/>
      <w:r/>
      <w:r>
        <w:fldChar w:fldCharType="begin">
          <w:ffData>
            <w:name w:val="Textbox2"/>
            <w:enabled/>
            <w:calcOnExit w:val="0"/>
            <w:textInput/>
            <w:dim>
              <w:width w:start="170" w:end="32767"/>
              <w:height w:start="10" w:end="32767"/>
            </w:dim>
          </w:ffData>
        </w:fldChar>
      </w:r>
      <w:r>
        <w:instrText xml:space="preserve"> FORMTEXT </w:instrText>
      </w:r>
      <w:r>
        <w:fldChar w:fldCharType="separate"/>
      </w:r>
      <w:r>
        <w:t>Abbildung 8 Handbedienung</w:t>
      </w:r>
      <w:r>
        <w:fldChar w:fldCharType="end"/>
      </w:r>
      <w:r/>
    </w:p>
    <w:p>
      <w:pPr>
        <w:spacing w:after="160" w:line="259" w:lineRule="auto"/>
      </w:pPr>
      <w:r/>
    </w:p>
    <w:p>
      <w:pPr>
        <w:spacing w:after="160" w:line="259" w:lineRule="auto"/>
      </w:pPr>
      <w:r>
        <w:t>Bei Starten von Heizen oder Kühlen werden die Ventilatoren ebenfalls gestartet.</w:t>
      </w:r>
    </w:p>
    <w:p>
      <w:r>
        <w:t>Zur Anlage und Pflege von Programmen, sowie dem Handbetrieb der Regler und Spuren siehe auch Dokumentation Stange-Elektronik.</w:t>
      </w:r>
    </w:p>
    <w:p>
      <w:pPr>
        <w:pStyle w:val="para4"/>
        <w:numPr>
          <w:ilvl w:val="3"/>
          <w:numId w:val="9"/>
        </w:numPr>
        <w:ind w:left="864" w:hanging="864"/>
      </w:pPr>
      <w:r>
        <w:br w:type="page"/>
      </w:r>
      <w:bookmarkStart w:id="19" w:name="_TOC000007"/>
      <w:r>
        <w:t>Regler</w:t>
      </w:r>
      <w:bookmarkEnd w:id="19"/>
      <w:r/>
    </w:p>
    <w:p>
      <w:r/>
    </w:p>
    <w:p>
      <w:r>
        <w:t xml:space="preserve">Die Regler beziehen Sollwerte vom Programmgeber oder aus dem Handbetrieb. Es sind Einstellungen der Regelparameter möglich. Die Einstellungen erfolgen im Rahmen der Inbetriebnahme bzw. in enger Abstimmung mit dem Hersteller. </w:t>
      </w:r>
    </w:p>
    <w:p>
      <w:r/>
    </w:p>
    <w:p>
      <w:pPr>
        <w:pStyle w:val="para13"/>
      </w:pPr>
      <w:r>
        <w:t xml:space="preserve">Abbildung </w:t>
      </w:r>
      <w:r>
        <w:fldChar w:fldCharType="begin"/>
        <w:instrText xml:space="preserve"> SEQ "Abbildung" \* Arabic </w:instrText>
        <w:fldChar w:fldCharType="separate"/>
        <w:t>10</w:t>
        <w:fldChar w:fldCharType="end"/>
      </w:r>
      <w:r>
        <w:t xml:space="preserve"> Betrieb Regler</w:t>
      </w:r>
    </w:p>
    <w:tbl>
      <w:tblPr>
        <w:tblStyle w:val="TableGrid"/>
        <w:name w:val="Tabelle9"/>
        <w:tabOrder w:val="0"/>
        <w:jc w:val="left"/>
        <w:tblInd w:w="0" w:type="dxa"/>
        <w:tblW w:w="9912" w:type="dxa"/>
        <w:tblLook w:val="04A0" w:firstRow="1" w:lastRow="0" w:firstColumn="1" w:lastColumn="0" w:noHBand="0" w:noVBand="1"/>
      </w:tblPr>
      <w:tblGrid>
        <w:gridCol w:w="2835"/>
        <w:gridCol w:w="7077"/>
      </w:tblGrid>
      <w:tr>
        <w:trPr>
          <w:tblHeader w:val="0"/>
          <w:cantSplit w:val="0"/>
          <w:trHeight w:val="0" w:hRule="auto"/>
        </w:trPr>
        <w:tc>
          <w:tcPr>
            <w:tcW w:w="2835" w:type="dxa"/>
            <w:tcBorders>
              <w:bottom w:val="single" w:sz="6" w:space="0" w:color="000000" tmln="15, 20, 20, 0, 0"/>
              <w:right w:val="single" w:sz="6" w:space="0" w:color="000000" tmln="15, 20, 20, 0, 0"/>
            </w:tcBorders>
            <w:tmTcPr id="1634634931" protected="0"/>
          </w:tcPr>
          <w:p>
            <w:pPr>
              <w:spacing/>
              <w:jc w:val="center"/>
            </w:pPr>
            <w:r/>
          </w:p>
        </w:tc>
        <w:tc>
          <w:tcPr>
            <w:tcW w:w="7077" w:type="dxa"/>
            <w:tcBorders>
              <w:left w:val="single" w:sz="6" w:space="0" w:color="000000" tmln="15, 20, 20, 0, 0"/>
              <w:bottom w:val="single" w:sz="6" w:space="0" w:color="000000" tmln="15, 20, 20, 0, 0"/>
            </w:tcBorders>
            <w:tmTcPr id="1634634931" protected="0"/>
          </w:tcPr>
          <w:p>
            <w:pPr>
              <w:pStyle w:val="para15"/>
              <w:ind w:left="590"/>
              <w:spacing/>
              <w:jc w:val="center"/>
            </w:pPr>
            <w:r>
              <w:rPr>
                <w:noProof/>
              </w:rPr>
              <w:drawing>
                <wp:inline distT="0" distB="0" distL="0" distR="0">
                  <wp:extent cx="1122045" cy="353695"/>
                  <wp:effectExtent l="0" t="0" r="0" b="0"/>
                  <wp:docPr id="14" name="Grafik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fik 281"/>
                          <pic:cNvPicPr>
                            <a:picLocks noChangeAspect="1"/>
                            <a:extLst>
                              <a:ext uri="smNativeData">
                                <sm:smNativeData xmlns:sm="smNativeData" val="SMDATA_17_s4xu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ZAAAAB6AAAAAAAAAPAAAAAAAAAAAAAAAAAAAAAAAAAAAAAAAAAAAA5wYAAC0CAAAAAAAAAAAAAAAAAAAoAAAACAAAAAEAAAABAAAAMAAAABQAAAAAAAAAAAD//wAAAQAAAP//AAABAA=="/>
                              </a:ext>
                            </a:extLst>
                          </pic:cNvPicPr>
                        </pic:nvPicPr>
                        <pic:blipFill>
                          <a:blip r:embed="rId17"/>
                          <a:stretch>
                            <a:fillRect/>
                          </a:stretch>
                        </pic:blipFill>
                        <pic:spPr>
                          <a:xfrm>
                            <a:off x="0" y="0"/>
                            <a:ext cx="1122045" cy="353695"/>
                          </a:xfrm>
                          <a:prstGeom prst="rect">
                            <a:avLst/>
                          </a:prstGeom>
                          <a:noFill/>
                          <a:ln w="12700">
                            <a:noFill/>
                          </a:ln>
                        </pic:spPr>
                      </pic:pic>
                    </a:graphicData>
                  </a:graphic>
                </wp:inline>
              </w:drawing>
            </w:r>
            <w:r/>
          </w:p>
        </w:tc>
      </w:tr>
      <w:tr>
        <w:trPr>
          <w:tblHeader w:val="0"/>
          <w:cantSplit w:val="0"/>
          <w:trHeight w:val="0" w:hRule="auto"/>
        </w:trPr>
        <w:tc>
          <w:tcPr>
            <w:tcW w:w="2835" w:type="dxa"/>
            <w:tcBorders>
              <w:top w:val="single" w:sz="6" w:space="0" w:color="000000" tmln="15, 20, 20, 0, 0"/>
              <w:right w:val="single" w:sz="6" w:space="0" w:color="000000" tmln="15, 20, 20, 0, 0"/>
            </w:tcBorders>
            <w:tmTcPr id="1634634931" protected="0"/>
          </w:tcPr>
          <w:p>
            <w:pPr>
              <w:spacing/>
              <w:jc w:val="center"/>
            </w:pPr>
            <w:r>
              <w:rPr>
                <w:noProof/>
              </w:rPr>
              <w:drawing>
                <wp:inline distT="0" distB="0" distL="0" distR="0">
                  <wp:extent cx="591185" cy="469265"/>
                  <wp:effectExtent l="0" t="0" r="0" b="0"/>
                  <wp:docPr id="15" name="Grafik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fik 282"/>
                          <pic:cNvPicPr>
                            <a:picLocks noChangeAspect="1"/>
                            <a:extLst>
                              <a:ext uri="smNativeData">
                                <sm:smNativeData xmlns:sm="smNativeData" val="SMDATA_17_s4xuYR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ZAAAAB6AAAAAAAAAQAAAAAAAAAAAAAAAAAAAAAAAAAAAAAAAAAAAAowMAAOMCAAAAAAAAAAAAAAAAAAAoAAAACAAAAAEAAAABAAAAMAAAABQAAAAAAAAAAAD//wAAAQAAAP//AAABAA=="/>
                              </a:ext>
                            </a:extLst>
                          </pic:cNvPicPr>
                        </pic:nvPicPr>
                        <pic:blipFill>
                          <a:blip r:embed="rId18"/>
                          <a:stretch>
                            <a:fillRect/>
                          </a:stretch>
                        </pic:blipFill>
                        <pic:spPr>
                          <a:xfrm>
                            <a:off x="0" y="0"/>
                            <a:ext cx="591185" cy="469265"/>
                          </a:xfrm>
                          <a:prstGeom prst="rect">
                            <a:avLst/>
                          </a:prstGeom>
                          <a:noFill/>
                          <a:ln w="12700">
                            <a:noFill/>
                          </a:ln>
                        </pic:spPr>
                      </pic:pic>
                    </a:graphicData>
                  </a:graphic>
                </wp:inline>
              </w:drawing>
            </w:r>
            <w:r/>
          </w:p>
        </w:tc>
        <w:tc>
          <w:tcPr>
            <w:tcW w:w="7077" w:type="dxa"/>
            <w:tcBorders>
              <w:top w:val="single" w:sz="6" w:space="0" w:color="000000" tmln="15, 20, 20, 0, 0"/>
              <w:left w:val="single" w:sz="6" w:space="0" w:color="000000" tmln="15, 20, 20, 0, 0"/>
            </w:tcBorders>
            <w:tmTcPr id="1634634931" protected="0"/>
          </w:tcPr>
          <w:p>
            <w:pPr>
              <w:rPr>
                <w:b/>
              </w:rPr>
            </w:pPr>
            <w:r>
              <w:rPr>
                <w:b/>
              </w:rPr>
              <w:t xml:space="preserve">Service/Optimierung </w:t>
            </w:r>
          </w:p>
          <w:p>
            <w:pPr/>
            <w:r>
              <w:t xml:space="preserve">Bedienen, Anpassen und Beobachten der Regler. </w:t>
            </w:r>
          </w:p>
          <w:p>
            <w:pPr/>
            <w:r>
              <w:t>Siehe auch Dokumentation Stange-Elektronik.</w:t>
            </w:r>
          </w:p>
        </w:tc>
      </w:tr>
    </w:tbl>
    <w:p>
      <w:pPr>
        <w:pStyle w:val="para4"/>
        <w:numPr>
          <w:ilvl w:val="3"/>
          <w:numId w:val="9"/>
        </w:numPr>
        <w:ind w:left="864" w:hanging="864"/>
      </w:pPr>
      <w:r>
        <w:br w:type="page"/>
      </w:r>
      <w:bookmarkStart w:id="20" w:name="_TOC000008"/>
      <w:r>
        <w:t>Visu</w:t>
      </w:r>
      <w:bookmarkEnd w:id="20"/>
      <w:r/>
    </w:p>
    <w:p>
      <w:r/>
    </w:p>
    <w:p>
      <w:r>
        <w:t>In diesem Bereich des Bediengerätes sind anlagenspezifische Informationen und Bedienfunktionen untergebracht. Die einzelnen Seiten können mit den Tasten an der linken Seite erreicht werden. In den ausklappbaren Menüs links und rechts stehen Funktionen für die Programmsteuerung zur Verfügung.</w:t>
      </w:r>
    </w:p>
    <w:p>
      <w:pPr>
        <w:pStyle w:val="para5"/>
        <w:numPr>
          <w:ilvl w:val="4"/>
          <w:numId w:val="9"/>
        </w:numPr>
        <w:ind w:left="1008" w:hanging="1008"/>
      </w:pPr>
      <w:bookmarkStart w:id="21" w:name="_Ref488487095"/>
      <w:r/>
      <w:bookmarkEnd w:id="21"/>
      <w:r>
        <w:t>Übersicht</w:t>
      </w:r>
    </w:p>
    <w:p>
      <w:pPr>
        <w:pStyle w:val="para13"/>
      </w:pPr>
      <w:r>
        <w:rPr>
          <w:noProof/>
        </w:rPr>
        <mc:AlternateContent>
          <mc:Choice Requires="wps">
            <w:drawing>
              <wp:anchor distT="89535" distB="89535" distL="89535" distR="89535" simplePos="0" relativeHeight="251658268" behindDoc="0" locked="0" layoutInCell="0" hidden="0" allowOverlap="1">
                <wp:simplePos x="0" y="0"/>
                <wp:positionH relativeFrom="page">
                  <wp:posOffset>2573020</wp:posOffset>
                </wp:positionH>
                <wp:positionV relativeFrom="page">
                  <wp:posOffset>2611120</wp:posOffset>
                </wp:positionV>
                <wp:extent cx="4351020" cy="273050"/>
                <wp:effectExtent l="25400" t="25400" r="25400" b="25400"/>
                <wp:wrapSquare wrapText="bothSides"/>
                <wp:docPr id="28" name="Textbox4"/>
                <wp:cNvGraphicFramePr/>
                <a:graphic xmlns:a="http://schemas.openxmlformats.org/drawingml/2006/main">
                  <a:graphicData uri="http://schemas.microsoft.com/office/word/2010/wordprocessingShape">
                    <wps:wsp>
                      <wps:cNvSpPr txBox="1">
                        <a:extLst>
                          <a:ext uri="smNativeData">
                            <sm:smNativeData xmlns:sm="smNativeData" val="SMDATA_15_s4xuY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BAAAAAAAAAPedCQAoAAAAAQAAAAI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JEBAACCLgAAxk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J8AAAAAogAAAAAAAAAAAAABAAAAAAAAANQPAAABAAAAAAAAABAQAADEGgAArgEAABIAAADUDwAAEBAAACgAAAAIAAAAAQAAAAIAAAAwAAAAFAAAAAAAAAAAAP//AAABAAAA//8AAAEA"/>
                          </a:ext>
                        </a:extLst>
                      </wps:cNvSpPr>
                      <wps:spPr>
                        <a:xfrm>
                          <a:off x="0" y="0"/>
                          <a:ext cx="4351020" cy="273050"/>
                        </a:xfrm>
                        <a:prstGeom prst="rect">
                          <a:avLst/>
                        </a:prstGeom>
                        <a:noFill/>
                        <a:ln w="25400">
                          <a:solidFill>
                            <a:srgbClr val="F79D09"/>
                          </a:solidFill>
                        </a:ln>
                      </wps:spPr>
                      <wps:txbx>
                        <w:txbxContent>
                          <w:p>
                            <w:pPr>
                              <w:spacing/>
                              <w:jc w:val="right"/>
                              <w:rPr>
                                <w:b/>
                                <w:bCs/>
                              </w:rPr>
                            </w:pPr>
                            <w:r>
                              <w:rPr>
                                <w:b/>
                                <w:bCs/>
                              </w:rPr>
                              <w:t>1</w:t>
                            </w:r>
                          </w:p>
                        </w:txbxContent>
                      </wps:txbx>
                      <wps:bodyPr spcFirstLastPara="1" vertOverflow="clip" horzOverflow="clip" upright="1">
                        <a:prstTxWarp prst="textNoShape">
                          <a:avLst/>
                        </a:prstTxWarp>
                        <a:spAutoFit/>
                      </wps:bodyPr>
                    </wps:wsp>
                  </a:graphicData>
                </a:graphic>
              </wp:anchor>
            </w:drawing>
          </mc:Choice>
          <mc:Fallback>
            <w:pict>
              <v:shape id="Textbox4" o:spid="_x0000_s1027" type="#_x0000_t202" style="position:absolute;margin-left:202.60pt;margin-top:205.60pt;mso-position-horizontal-relative:page;mso-position-vertical-relative:page;width:342.60pt;height:21.50pt;z-index:251658268;mso-wrap-distance-left:7.05pt;mso-wrap-distance-top:7.05pt;mso-wrap-distance-right:7.05pt;mso-wrap-distance-bottom:7.05pt;mso-wrap-style:square" strokeweight="2.00pt" strokecolor="#f79d09" filled="f" v:ext="SMDATA_15_s4xuY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BAAAAAAAAAPedCQAoAAAAAQAAAAI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JEBAACCLgAAxk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J8AAAAAogAAAAAAAAAAAAABAAAAAAAAANQPAAABAAAAAAAAABAQAADEGgAArgEAABIAAADUDwAAEBAAACgAAAAIAAAAAQAAAAIAAAAwAAAAFAAAAAAAAAAAAP//AAABAAAA//8AAAEA" o:insetmode="custom">
                <w10:wrap type="square" anchorx="page" anchory="page"/>
                <v:textbox style="mso-fit-shape-to-text:t" inset="2.8pt,2.8pt,2.8pt,2.8pt">
                  <w:txbxContent>
                    <w:p>
                      <w:pPr>
                        <w:spacing/>
                        <w:jc w:val="right"/>
                        <w:rPr>
                          <w:b/>
                          <w:bCs/>
                        </w:rPr>
                      </w:pPr>
                      <w:r>
                        <w:rPr>
                          <w:b/>
                          <w:bCs/>
                        </w:rPr>
                        <w:t>1</w:t>
                      </w:r>
                    </w:p>
                  </w:txbxContent>
                </v:textbox>
              </v:shape>
            </w:pict>
          </mc:Fallback>
        </mc:AlternateContent>
      </w:r>
      <w:r>
        <w:rPr>
          <w:noProof/>
        </w:rPr>
        <mc:AlternateContent>
          <mc:Choice Requires="wps">
            <w:drawing>
              <wp:anchor distT="89535" distB="89535" distL="89535" distR="89535" simplePos="0" relativeHeight="251658269" behindDoc="0" locked="0" layoutInCell="0" hidden="0" allowOverlap="1">
                <wp:simplePos x="0" y="0"/>
                <wp:positionH relativeFrom="page">
                  <wp:posOffset>1579245</wp:posOffset>
                </wp:positionH>
                <wp:positionV relativeFrom="page">
                  <wp:posOffset>2903855</wp:posOffset>
                </wp:positionV>
                <wp:extent cx="5344795" cy="564515"/>
                <wp:effectExtent l="25400" t="25400" r="25400" b="25400"/>
                <wp:wrapSquare wrapText="bothSides"/>
                <wp:docPr id="29" name="Textbox5"/>
                <wp:cNvGraphicFramePr/>
                <a:graphic xmlns:a="http://schemas.openxmlformats.org/drawingml/2006/main">
                  <a:graphicData uri="http://schemas.microsoft.com/office/word/2010/wordprocessingShape">
                    <wps:wsp>
                      <wps:cNvSpPr txBox="1">
                        <a:extLst>
                          <a:ext uri="smNativeData">
                            <sm:smNativeData xmlns:sm="smNativeData" val="SMDATA_15_s4xuY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BAAAAAAAAAPedCQAoAAAAAQAAAAI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HkDAACCLgAAxk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J8AAAAAogAAAAAAAAAAAAABAAAAAAAAALcJAAABAAAAAAAAAN0RAADhIAAAeQMAABIAAAC3CQAA3REAACgAAAAIAAAAAQAAAAIAAAAwAAAAFAAAAAAAAAAAAP//AAABAAAA//8AAAEA"/>
                          </a:ext>
                        </a:extLst>
                      </wps:cNvSpPr>
                      <wps:spPr>
                        <a:xfrm>
                          <a:off x="0" y="0"/>
                          <a:ext cx="5344795" cy="564515"/>
                        </a:xfrm>
                        <a:prstGeom prst="rect">
                          <a:avLst/>
                        </a:prstGeom>
                        <a:noFill/>
                        <a:ln w="25400">
                          <a:solidFill>
                            <a:srgbClr val="F79D09"/>
                          </a:solidFill>
                        </a:ln>
                      </wps:spPr>
                      <wps:txbx>
                        <w:txbxContent>
                          <w:p>
                            <w:pPr>
                              <w:spacing/>
                              <w:jc w:val="right"/>
                              <w:rPr>
                                <w:b/>
                                <w:bCs/>
                              </w:rPr>
                            </w:pPr>
                            <w:r>
                              <w:rPr>
                                <w:b/>
                                <w:bCs/>
                              </w:rPr>
                              <w:t>2</w:t>
                            </w:r>
                          </w:p>
                        </w:txbxContent>
                      </wps:txbx>
                      <wps:bodyPr spcFirstLastPara="1" vertOverflow="clip" horzOverflow="clip" upright="1">
                        <a:prstTxWarp prst="textNoShape">
                          <a:avLst/>
                        </a:prstTxWarp>
                        <a:spAutoFit/>
                      </wps:bodyPr>
                    </wps:wsp>
                  </a:graphicData>
                </a:graphic>
              </wp:anchor>
            </w:drawing>
          </mc:Choice>
          <mc:Fallback>
            <w:pict>
              <v:shape id="Textbox5" o:spid="_x0000_s1028" type="#_x0000_t202" style="position:absolute;margin-left:124.35pt;margin-top:228.65pt;mso-position-horizontal-relative:page;mso-position-vertical-relative:page;width:420.85pt;height:44.45pt;z-index:251658269;mso-wrap-distance-left:7.05pt;mso-wrap-distance-top:7.05pt;mso-wrap-distance-right:7.05pt;mso-wrap-distance-bottom:7.05pt;mso-wrap-style:square" strokeweight="2.00pt" strokecolor="#f79d09" filled="f" v:ext="SMDATA_15_s4xuY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BAAAAAAAAAPedCQAoAAAAAQAAAAI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HkDAACCLgAAxk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J8AAAAAogAAAAAAAAAAAAABAAAAAAAAALcJAAABAAAAAAAAAN0RAADhIAAAeQMAABIAAAC3CQAA3REAACgAAAAIAAAAAQAAAAIAAAAwAAAAFAAAAAAAAAAAAP//AAABAAAA//8AAAEA" o:insetmode="custom">
                <w10:wrap type="square" anchorx="page" anchory="page"/>
                <v:textbox style="mso-fit-shape-to-text:t" inset="2.8pt,2.8pt,2.8pt,2.8pt">
                  <w:txbxContent>
                    <w:p>
                      <w:pPr>
                        <w:spacing/>
                        <w:jc w:val="right"/>
                        <w:rPr>
                          <w:b/>
                          <w:bCs/>
                        </w:rPr>
                      </w:pPr>
                      <w:r>
                        <w:rPr>
                          <w:b/>
                          <w:bCs/>
                        </w:rPr>
                        <w:t>2</w:t>
                      </w:r>
                    </w:p>
                  </w:txbxContent>
                </v:textbox>
              </v:shape>
            </w:pict>
          </mc:Fallback>
        </mc:AlternateContent>
      </w:r>
      <w:r>
        <w:rPr>
          <w:noProof/>
        </w:rPr>
        <mc:AlternateContent>
          <mc:Choice Requires="wps">
            <w:drawing>
              <wp:anchor distT="89535" distB="89535" distL="89535" distR="89535" simplePos="0" relativeHeight="251658270" behindDoc="0" locked="0" layoutInCell="0" hidden="0" allowOverlap="1">
                <wp:simplePos x="0" y="0"/>
                <wp:positionH relativeFrom="page">
                  <wp:posOffset>1579245</wp:posOffset>
                </wp:positionH>
                <wp:positionV relativeFrom="page">
                  <wp:posOffset>3468370</wp:posOffset>
                </wp:positionV>
                <wp:extent cx="5344795" cy="414655"/>
                <wp:effectExtent l="25400" t="25400" r="25400" b="25400"/>
                <wp:wrapSquare wrapText="bothSides"/>
                <wp:docPr id="30" name="Textbox6"/>
                <wp:cNvGraphicFramePr/>
                <a:graphic xmlns:a="http://schemas.openxmlformats.org/drawingml/2006/main">
                  <a:graphicData uri="http://schemas.microsoft.com/office/word/2010/wordprocessingShape">
                    <wps:wsp>
                      <wps:cNvSpPr txBox="1">
                        <a:extLst>
                          <a:ext uri="smNativeData">
                            <sm:smNativeData xmlns:sm="smNativeData" val="SMDATA_15_s4xuY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BAAAAAAAAAPedCQAoAAAAAQAAAAI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I0CAACCLgAAxk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J8AAAAAogAAAAAAAAAAAAABAAAAAAAAALcJAAABAAAAAAAAAFYVAADhIAAAjQIAABIAAAC3CQAAVhUAACgAAAAIAAAAAQAAAAIAAAAwAAAAFAAAAAAAAAAAAP//AAABAAAA//8AAAEA"/>
                          </a:ext>
                        </a:extLst>
                      </wps:cNvSpPr>
                      <wps:spPr>
                        <a:xfrm>
                          <a:off x="0" y="0"/>
                          <a:ext cx="5344795" cy="414655"/>
                        </a:xfrm>
                        <a:prstGeom prst="rect">
                          <a:avLst/>
                        </a:prstGeom>
                        <a:noFill/>
                        <a:ln w="25400">
                          <a:solidFill>
                            <a:srgbClr val="F79D09"/>
                          </a:solidFill>
                        </a:ln>
                      </wps:spPr>
                      <wps:txbx>
                        <w:txbxContent>
                          <w:p>
                            <w:pPr>
                              <w:spacing/>
                              <w:jc w:val="right"/>
                              <w:rPr>
                                <w:b/>
                                <w:bCs/>
                              </w:rPr>
                            </w:pPr>
                            <w:r>
                              <w:rPr>
                                <w:b/>
                                <w:bCs/>
                              </w:rPr>
                              <w:t>3</w:t>
                            </w:r>
                          </w:p>
                        </w:txbxContent>
                      </wps:txbx>
                      <wps:bodyPr spcFirstLastPara="1" vertOverflow="clip" horzOverflow="clip" upright="1">
                        <a:prstTxWarp prst="textNoShape">
                          <a:avLst/>
                        </a:prstTxWarp>
                        <a:spAutoFit/>
                      </wps:bodyPr>
                    </wps:wsp>
                  </a:graphicData>
                </a:graphic>
              </wp:anchor>
            </w:drawing>
          </mc:Choice>
          <mc:Fallback>
            <w:pict>
              <v:shape id="Textbox6" o:spid="_x0000_s1029" type="#_x0000_t202" style="position:absolute;margin-left:124.35pt;margin-top:273.10pt;mso-position-horizontal-relative:page;mso-position-vertical-relative:page;width:420.85pt;height:32.65pt;z-index:251658270;mso-wrap-distance-left:7.05pt;mso-wrap-distance-top:7.05pt;mso-wrap-distance-right:7.05pt;mso-wrap-distance-bottom:7.05pt;mso-wrap-style:square" strokeweight="2.00pt" strokecolor="#f79d09" filled="f" v:ext="SMDATA_15_s4xuY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BAAAAAAAAAPedCQAoAAAAAQAAAAI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I0CAACCLgAAxk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J8AAAAAogAAAAAAAAAAAAABAAAAAAAAALcJAAABAAAAAAAAAFYVAADhIAAAjQIAABIAAAC3CQAAVhUAACgAAAAIAAAAAQAAAAIAAAAwAAAAFAAAAAAAAAAAAP//AAABAAAA//8AAAEA" o:insetmode="custom">
                <w10:wrap type="square" anchorx="page" anchory="page"/>
                <v:textbox style="mso-fit-shape-to-text:t" inset="2.8pt,2.8pt,2.8pt,2.8pt">
                  <w:txbxContent>
                    <w:p>
                      <w:pPr>
                        <w:spacing/>
                        <w:jc w:val="right"/>
                        <w:rPr>
                          <w:b/>
                          <w:bCs/>
                        </w:rPr>
                      </w:pPr>
                      <w:r>
                        <w:rPr>
                          <w:b/>
                          <w:bCs/>
                        </w:rPr>
                        <w:t>3</w:t>
                      </w:r>
                    </w:p>
                  </w:txbxContent>
                </v:textbox>
              </v:shape>
            </w:pict>
          </mc:Fallback>
        </mc:AlternateContent>
      </w:r>
      <w:r>
        <w:rPr>
          <w:noProof/>
        </w:rPr>
        <mc:AlternateContent>
          <mc:Choice Requires="wps">
            <w:drawing>
              <wp:anchor distT="89535" distB="89535" distL="89535" distR="89535" simplePos="0" relativeHeight="251658271" behindDoc="0" locked="0" layoutInCell="0" hidden="0" allowOverlap="1">
                <wp:simplePos x="0" y="0"/>
                <wp:positionH relativeFrom="page">
                  <wp:posOffset>1579245</wp:posOffset>
                </wp:positionH>
                <wp:positionV relativeFrom="page">
                  <wp:posOffset>3869690</wp:posOffset>
                </wp:positionV>
                <wp:extent cx="5344795" cy="1888490"/>
                <wp:effectExtent l="25400" t="25400" r="25400" b="25400"/>
                <wp:wrapSquare wrapText="bothSides"/>
                <wp:docPr id="31" name="Textbox7"/>
                <wp:cNvGraphicFramePr/>
                <a:graphic xmlns:a="http://schemas.openxmlformats.org/drawingml/2006/main">
                  <a:graphicData uri="http://schemas.microsoft.com/office/word/2010/wordprocessingShape">
                    <wps:wsp>
                      <wps:cNvSpPr txBox="1">
                        <a:extLst>
                          <a:ext uri="smNativeData">
                            <sm:smNativeData xmlns:sm="smNativeData" val="SMDATA_15_s4xuY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BAAAAAAAAAPedCQAoAAAAAQAAAAI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J4LAACCLgAAxk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J8AAAAAogAAAAAAAAAAAAABAAAAAAAAALcJAAABAAAAAAAAAM4XAADhIAAAngsAABIAAAC3CQAAzhcAACgAAAAIAAAAAQAAAAIAAAAwAAAAFAAAAAAAAAAAAP//AAABAAAA//8AAAEA"/>
                          </a:ext>
                        </a:extLst>
                      </wps:cNvSpPr>
                      <wps:spPr>
                        <a:xfrm>
                          <a:off x="0" y="0"/>
                          <a:ext cx="5344795" cy="1888490"/>
                        </a:xfrm>
                        <a:prstGeom prst="rect">
                          <a:avLst/>
                        </a:prstGeom>
                        <a:noFill/>
                        <a:ln w="25400">
                          <a:solidFill>
                            <a:srgbClr val="F79D09"/>
                          </a:solidFill>
                        </a:ln>
                      </wps:spPr>
                      <wps:txbx>
                        <w:txbxContent>
                          <w:p>
                            <w:pPr>
                              <w:spacing/>
                              <w:jc w:val="right"/>
                              <w:rPr>
                                <w:b/>
                                <w:bCs/>
                              </w:rPr>
                            </w:pPr>
                            <w:r>
                              <w:rPr>
                                <w:b/>
                                <w:bCs/>
                              </w:rPr>
                            </w:r>
                          </w:p>
                        </w:txbxContent>
                      </wps:txbx>
                      <wps:bodyPr spcFirstLastPara="1" vertOverflow="clip" horzOverflow="clip" upright="1">
                        <a:prstTxWarp prst="textNoShape">
                          <a:avLst/>
                        </a:prstTxWarp>
                        <a:spAutoFit/>
                      </wps:bodyPr>
                    </wps:wsp>
                  </a:graphicData>
                </a:graphic>
              </wp:anchor>
            </w:drawing>
          </mc:Choice>
          <mc:Fallback>
            <w:pict>
              <v:shape id="Textbox7" o:spid="_x0000_s1030" type="#_x0000_t202" style="position:absolute;margin-left:124.35pt;margin-top:304.70pt;mso-position-horizontal-relative:page;mso-position-vertical-relative:page;width:420.85pt;height:148.70pt;z-index:251658271;mso-wrap-distance-left:7.05pt;mso-wrap-distance-top:7.05pt;mso-wrap-distance-right:7.05pt;mso-wrap-distance-bottom:7.05pt;mso-wrap-style:square" strokeweight="2.00pt" strokecolor="#f79d09" filled="f" v:ext="SMDATA_15_s4xuY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BAAAAAAAAAPedCQAoAAAAAQAAAAI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J4LAACCLgAAxk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J8AAAAAogAAAAAAAAAAAAABAAAAAAAAALcJAAABAAAAAAAAAM4XAADhIAAAngsAABIAAAC3CQAAzhcAACgAAAAIAAAAAQAAAAIAAAAwAAAAFAAAAAAAAAAAAP//AAABAAAA//8AAAEA" o:insetmode="custom">
                <w10:wrap type="square" anchorx="page" anchory="page"/>
                <v:textbox style="mso-fit-shape-to-text:t" inset="2.8pt,2.8pt,2.8pt,2.8pt">
                  <w:txbxContent>
                    <w:p>
                      <w:pPr>
                        <w:spacing/>
                        <w:jc w:val="right"/>
                        <w:rPr>
                          <w:b/>
                          <w:bCs/>
                        </w:rPr>
                      </w:pPr>
                      <w:r>
                        <w:rPr>
                          <w:b/>
                          <w:bCs/>
                        </w:rPr>
                      </w:r>
                    </w:p>
                  </w:txbxContent>
                </v:textbox>
              </v:shape>
            </w:pict>
          </mc:Fallback>
        </mc:AlternateContent>
      </w:r>
      <w:r/>
    </w:p>
    <w:p>
      <w:pPr>
        <w:pStyle w:val="para13"/>
      </w:pPr>
      <w:r>
        <w:br w:type="textWrapping"/>
        <w:br w:type="textWrapping"/>
        <w:t xml:space="preserve">Abbildung </w:t>
      </w:r>
      <w:r>
        <w:fldChar w:fldCharType="begin"/>
        <w:instrText xml:space="preserve"> SEQ "Abbildung" \* Arabic </w:instrText>
        <w:fldChar w:fldCharType="separate"/>
        <w:t>11</w:t>
        <w:fldChar w:fldCharType="end"/>
      </w:r>
      <w:r>
        <w:t xml:space="preserve"> Bild „Visu/Übersicht“</w:t>
      </w:r>
    </w:p>
    <w:p>
      <w:r>
        <w:t xml:space="preserve">Dieses Bild liefert einen generellen Überblick über den Zustand der Anlage. </w:t>
      </w:r>
    </w:p>
    <w:p>
      <w:r>
        <w:t>Es gibt Informationen zu</w:t>
        <w:br w:type="textWrapping"/>
        <w:t>1 - generelle Freigaben und Sicherheitsverriegelungen (Hand/Auto Antriebe, Prüfgutschutz)</w:t>
      </w:r>
    </w:p>
    <w:p>
      <w:r>
        <w:t>2 - Zustand Programmgeber</w:t>
      </w:r>
    </w:p>
    <w:p>
      <w:r>
        <w:t>3 - Einschaltbereitschaft Programmgeber</w:t>
      </w:r>
    </w:p>
    <w:p>
      <w:r>
        <w:t>4 - Zustand Regler und Antriebe/ Leuchten</w:t>
      </w:r>
    </w:p>
    <w:p>
      <w:r>
        <w:t>5 - Navigation</w:t>
      </w:r>
    </w:p>
    <w:p>
      <w:pPr>
        <w:rPr>
          <w:b/>
        </w:rPr>
      </w:pPr>
      <w:r>
        <w:rPr>
          <w:b/>
        </w:rPr>
      </w:r>
    </w:p>
    <w:p>
      <w:pPr>
        <w:rPr>
          <w:b/>
        </w:rPr>
      </w:pPr>
      <w:r>
        <w:rPr>
          <w:b/>
          <w:bCs/>
        </w:rPr>
        <w:t>1 - generelle Freigaben</w:t>
      </w:r>
      <w:r>
        <w:t xml:space="preserve"> </w:t>
      </w:r>
      <w:r>
        <w:rPr>
          <w:b/>
        </w:rPr>
        <w:t xml:space="preserve"> </w:t>
      </w:r>
      <w:r>
        <w:rPr>
          <w:b/>
        </w:rPr>
      </w:r>
    </w:p>
    <w:p>
      <w:pPr>
        <w:numPr>
          <w:ilvl w:val="0"/>
          <w:numId w:val="7"/>
        </w:numPr>
        <w:ind w:left="360" w:hanging="360"/>
      </w:pPr>
      <w:r>
        <w:t>Anlage in Hand- /Automatikbetrieb (siehe „Hand“)</w:t>
      </w:r>
    </w:p>
    <w:p>
      <w:pPr>
        <w:numPr>
          <w:ilvl w:val="0"/>
          <w:numId w:val="7"/>
        </w:numPr>
        <w:ind w:left="360" w:hanging="360"/>
      </w:pPr>
      <w:r>
        <w:t>Prüfgutschutz Heizen/Kühlen (Einstellung an Schaltschrankfront) Abschalten der Heizung oder Kühlung</w:t>
      </w:r>
    </w:p>
    <w:p>
      <w:pPr>
        <w:rPr>
          <w:b/>
          <w:bCs/>
        </w:rPr>
      </w:pPr>
      <w:r>
        <w:rPr>
          <w:b/>
          <w:bCs/>
        </w:rPr>
        <w:t>2 - Zustand Programmgeber</w:t>
      </w:r>
    </w:p>
    <w:p>
      <w:pPr>
        <w:numPr>
          <w:ilvl w:val="0"/>
          <w:numId w:val="7"/>
        </w:numPr>
        <w:ind w:left="360" w:hanging="360"/>
      </w:pPr>
      <w:r>
        <w:t>Programmnummer, Name, Abschnitt und Zeiten</w:t>
        <w:br w:type="textWrapping"/>
        <w:t xml:space="preserve">Es wird der Status des aktuellen Programms angezeigt. Mit den Bedienelementen in der rechten Seitenleiste kann der Programmgeber gesteuert werden. </w:t>
      </w:r>
    </w:p>
    <w:p>
      <w:r>
        <w:rPr>
          <w:b/>
          <w:bCs/>
        </w:rPr>
        <w:t>3 - Freigaben Start Programm</w:t>
        <w:br w:type="textWrapping"/>
      </w:r>
      <w:r>
        <w:t xml:space="preserve">Mit den Informationen zum „Start Programm“ wird das Einrichten der Startvoraussetzungen unterstützt. </w:t>
      </w:r>
    </w:p>
    <w:p>
      <w:pPr>
        <w:numPr>
          <w:ilvl w:val="0"/>
          <w:numId w:val="7"/>
        </w:numPr>
        <w:ind w:left="360" w:hanging="360"/>
      </w:pPr>
      <w:r>
        <w:t>Betriebsart Hand/Programm</w:t>
      </w:r>
    </w:p>
    <w:p>
      <w:pPr>
        <w:numPr>
          <w:ilvl w:val="0"/>
          <w:numId w:val="7"/>
        </w:numPr>
        <w:ind w:left="360" w:hanging="360"/>
      </w:pPr>
      <w:r>
        <w:t>Not-Halt</w:t>
      </w:r>
    </w:p>
    <w:p>
      <w:pPr>
        <w:numPr>
          <w:ilvl w:val="0"/>
          <w:numId w:val="7"/>
        </w:numPr>
        <w:ind w:left="360" w:hanging="360"/>
      </w:pPr>
      <w:r>
        <w:t>Anlage Ein/Aus</w:t>
      </w:r>
    </w:p>
    <w:p>
      <w:r/>
    </w:p>
    <w:p>
      <w:pPr>
        <w:rPr>
          <w:b/>
          <w:bCs/>
        </w:rPr>
      </w:pPr>
      <w:r>
        <w:rPr>
          <w:b/>
          <w:bCs/>
        </w:rPr>
        <w:t>3 - Programmsteuerung</w:t>
      </w:r>
    </w:p>
    <w:p>
      <w:pPr>
        <w:numPr>
          <w:ilvl w:val="0"/>
          <w:numId w:val="10"/>
        </w:numPr>
        <w:ind w:left="360" w:hanging="360"/>
      </w:pPr>
      <w:r>
        <w:t>Auswahl ob das Programm unendlich oder für eine bestimmte Anzahl wiederholt werden soll.</w:t>
      </w:r>
    </w:p>
    <w:p>
      <w:pPr>
        <w:numPr>
          <w:ilvl w:val="0"/>
          <w:numId w:val="10"/>
        </w:numPr>
        <w:ind w:left="360" w:hanging="360"/>
      </w:pPr>
      <w:r>
        <w:t>Anzeige der eingestellten und bereits absolvierten Wiederholungen.</w:t>
      </w:r>
    </w:p>
    <w:p>
      <w:pPr>
        <w:numPr>
          <w:ilvl w:val="0"/>
          <w:numId w:val="10"/>
        </w:numPr>
        <w:ind w:left="360" w:hanging="360"/>
      </w:pPr>
      <w:r>
        <w:t xml:space="preserve">Die Einstellung der Wiederholungen erfolgt über die Taste </w:t>
      </w:r>
      <w:r>
        <w:rPr>
          <w:noProof/>
        </w:rPr>
        <w:drawing>
          <wp:inline distT="89535" distB="89535" distL="89535" distR="89535">
            <wp:extent cx="617220" cy="274320"/>
            <wp:effectExtent l="0" t="0" r="0" b="0"/>
            <wp:docPr id="16" name="Grafik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fik317"/>
                    <pic:cNvPicPr>
                      <a:picLocks noChangeAspect="1"/>
                      <a:extLst>
                        <a:ext uri="smNativeData">
                          <sm:smNativeData xmlns:sm="smNativeData" val="SMDATA_17_s4xuYR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0AAAAB6IAAAAAAAAAAAAAAAAAAAAAAACGAAAAAQAAAAAAAACGAAAAzAMAALABAAAAAAAAhgAAAIYAAAAoAAAACAAAAAEAAAABAAAAMAAAABQAAAAAAAAAAAD//wAAAQAAAP//AAABAA=="/>
                        </a:ext>
                      </a:extLst>
                    </pic:cNvPicPr>
                  </pic:nvPicPr>
                  <pic:blipFill>
                    <a:blip r:embed="rId19"/>
                    <a:stretch>
                      <a:fillRect/>
                    </a:stretch>
                  </pic:blipFill>
                  <pic:spPr>
                    <a:xfrm>
                      <a:off x="0" y="0"/>
                      <a:ext cx="617220" cy="274320"/>
                    </a:xfrm>
                    <a:prstGeom prst="rect">
                      <a:avLst/>
                    </a:prstGeom>
                    <a:noFill/>
                    <a:ln w="12700">
                      <a:noFill/>
                    </a:ln>
                  </pic:spPr>
                </pic:pic>
              </a:graphicData>
            </a:graphic>
          </wp:inline>
        </w:drawing>
      </w:r>
      <w:r>
        <w:t xml:space="preserve">. </w:t>
        <w:br w:type="textWrapping"/>
      </w:r>
    </w:p>
    <w:p>
      <w:pPr>
        <w:rPr>
          <w:b/>
        </w:rPr>
      </w:pPr>
      <w:r>
        <w:rPr>
          <w:b/>
        </w:rPr>
      </w:r>
    </w:p>
    <w:p>
      <w:r>
        <w:rPr>
          <w:b/>
          <w:bCs/>
        </w:rPr>
        <w:t>4 - Regelgrößen</w:t>
        <w:br w:type="textWrapping"/>
      </w:r>
      <w:r>
        <w:t>Im unteren Bereich werden Informationen zu den Regelgrößen angezeigt.</w:t>
      </w:r>
    </w:p>
    <w:p>
      <w:r/>
    </w:p>
    <w:p>
      <w:r>
        <w:t>Für den Prüfraum wird angezeigt:</w:t>
      </w:r>
    </w:p>
    <w:p>
      <w:pPr>
        <w:pStyle w:val="para27"/>
        <w:numPr>
          <w:ilvl w:val="0"/>
          <w:numId w:val="8"/>
        </w:numPr>
        <w:ind w:left="0" w:hanging="20"/>
        <w:rPr>
          <w:rFonts w:ascii="Times New Roman" w:hAnsi="Times New Roman" w:eastAsia="Times New Roman"/>
          <w:sz w:val="24"/>
          <w:szCs w:val="24"/>
        </w:rPr>
      </w:pPr>
      <w:r>
        <w:rPr>
          <w:rFonts w:ascii="Times New Roman" w:hAnsi="Times New Roman" w:eastAsia="Times New Roman"/>
          <w:sz w:val="24"/>
          <w:szCs w:val="24"/>
        </w:rPr>
        <w:t>Der aktuelle Reglersollwert</w:t>
      </w:r>
    </w:p>
    <w:p>
      <w:pPr>
        <w:pStyle w:val="para27"/>
        <w:numPr>
          <w:ilvl w:val="0"/>
          <w:numId w:val="8"/>
        </w:numPr>
        <w:ind w:left="0" w:hanging="20"/>
        <w:rPr>
          <w:rFonts w:ascii="Times New Roman" w:hAnsi="Times New Roman" w:eastAsia="Times New Roman"/>
          <w:sz w:val="24"/>
          <w:szCs w:val="24"/>
        </w:rPr>
      </w:pPr>
      <w:r>
        <w:rPr>
          <w:rFonts w:ascii="Times New Roman" w:hAnsi="Times New Roman" w:eastAsia="Times New Roman"/>
          <w:sz w:val="24"/>
          <w:szCs w:val="24"/>
        </w:rPr>
        <w:t>Der aktuelle Temperaturistwert</w:t>
      </w:r>
    </w:p>
    <w:p>
      <w:pPr>
        <w:pStyle w:val="para27"/>
        <w:numPr>
          <w:ilvl w:val="0"/>
          <w:numId w:val="8"/>
        </w:numPr>
        <w:ind w:left="0" w:hanging="20"/>
        <w:rPr>
          <w:rFonts w:ascii="Times New Roman" w:hAnsi="Times New Roman" w:eastAsia="Times New Roman"/>
          <w:sz w:val="24"/>
          <w:szCs w:val="24"/>
        </w:rPr>
      </w:pPr>
      <w:r>
        <w:rPr>
          <w:rFonts w:ascii="Times New Roman" w:hAnsi="Times New Roman" w:eastAsia="Times New Roman"/>
          <w:sz w:val="24"/>
          <w:szCs w:val="24"/>
        </w:rPr>
        <w:t>Ansteuerung/ Regelung für die jeweiligen Stellorgane (Heizung/ Ventile)</w:t>
      </w:r>
    </w:p>
    <w:p>
      <w:pPr>
        <w:pStyle w:val="para27"/>
        <w:numPr>
          <w:ilvl w:val="0"/>
          <w:numId w:val="8"/>
        </w:numPr>
        <w:ind w:left="0" w:hanging="20"/>
        <w:rPr>
          <w:rFonts w:ascii="Times New Roman" w:hAnsi="Times New Roman" w:eastAsia="Times New Roman"/>
          <w:sz w:val="24"/>
          <w:szCs w:val="24"/>
        </w:rPr>
      </w:pPr>
      <w:r>
        <w:rPr>
          <w:rFonts w:ascii="Times New Roman" w:hAnsi="Times New Roman" w:eastAsia="Times New Roman"/>
          <w:sz w:val="24"/>
          <w:szCs w:val="24"/>
        </w:rPr>
        <w:t xml:space="preserve">Ausgabe des PID Reglers in die jeweilige Richtung </w:t>
      </w:r>
    </w:p>
    <w:p>
      <w:pPr>
        <w:pStyle w:val="para27"/>
        <w:numPr>
          <w:ilvl w:val="0"/>
          <w:numId w:val="8"/>
        </w:numPr>
        <w:ind w:left="0" w:hanging="20"/>
        <w:rPr>
          <w:rFonts w:ascii="Times New Roman" w:hAnsi="Times New Roman" w:eastAsia="Times New Roman"/>
          <w:sz w:val="24"/>
          <w:szCs w:val="24"/>
        </w:rPr>
      </w:pPr>
      <w:r>
        <w:rPr>
          <w:rFonts w:ascii="Times New Roman" w:hAnsi="Times New Roman" w:eastAsia="Times New Roman"/>
          <w:sz w:val="24"/>
          <w:szCs w:val="24"/>
        </w:rPr>
        <w:t>Lauf Ventilatoren</w:t>
      </w:r>
    </w:p>
    <w:p>
      <w:pPr>
        <w:pStyle w:val="para27"/>
        <w:numPr>
          <w:ilvl w:val="0"/>
          <w:numId w:val="8"/>
        </w:numPr>
        <w:ind w:left="0" w:hanging="20"/>
        <w:rPr>
          <w:rFonts w:ascii="Times New Roman" w:hAnsi="Times New Roman" w:eastAsia="Times New Roman"/>
          <w:sz w:val="24"/>
          <w:szCs w:val="24"/>
        </w:rPr>
      </w:pPr>
      <w:r>
        <w:rPr>
          <w:rFonts w:ascii="Times New Roman" w:hAnsi="Times New Roman" w:eastAsia="Times New Roman"/>
          <w:sz w:val="24"/>
          <w:szCs w:val="24"/>
        </w:rPr>
        <w:t>Ansteuerung Beleuchtung</w:t>
      </w:r>
    </w:p>
    <w:p>
      <w:pPr>
        <w:pStyle w:val="para27"/>
        <w:ind w:left="0" w:firstLine="340"/>
        <w:rPr>
          <w:rFonts w:ascii="Times New Roman" w:hAnsi="Times New Roman" w:eastAsia="Times New Roman"/>
          <w:sz w:val="24"/>
          <w:szCs w:val="24"/>
        </w:rPr>
      </w:pPr>
      <w:r>
        <w:rPr>
          <w:rFonts w:ascii="Times New Roman" w:hAnsi="Times New Roman" w:eastAsia="Times New Roman"/>
          <w:sz w:val="24"/>
          <w:szCs w:val="24"/>
        </w:rPr>
      </w:r>
    </w:p>
    <w:p>
      <w:pPr>
        <w:pStyle w:val="para27"/>
        <w:ind w:left="0"/>
        <w:tabs defTabSz="708">
          <w:tab w:val="left" w:pos="0" w:leader="none"/>
        </w:tabs>
        <w:rPr>
          <w:rFonts w:ascii="Times New Roman" w:hAnsi="Times New Roman" w:eastAsia="Times New Roman"/>
          <w:sz w:val="24"/>
          <w:szCs w:val="24"/>
        </w:rPr>
      </w:pPr>
      <w:r>
        <w:rPr>
          <w:rFonts w:ascii="Times New Roman" w:hAnsi="Times New Roman" w:eastAsia="Times New Roman"/>
          <w:sz w:val="24"/>
          <w:szCs w:val="24"/>
        </w:rPr>
      </w:r>
    </w:p>
    <w:p>
      <w:pPr>
        <w:pStyle w:val="para5"/>
        <w:numPr>
          <w:ilvl w:val="4"/>
          <w:numId w:val="9"/>
        </w:numPr>
        <w:ind w:left="1008" w:hanging="1008"/>
      </w:pPr>
      <w:r>
        <w:br w:type="page"/>
      </w:r>
      <w:bookmarkStart w:id="22" w:name="_TOC000009"/>
      <w:r>
        <w:t>System</w:t>
      </w:r>
      <w:bookmarkEnd w:id="22"/>
      <w:r/>
    </w:p>
    <w:p>
      <w:pPr>
        <w:pStyle w:val="para13"/>
      </w:pPr>
      <w:r>
        <w:t xml:space="preserve">Abbildung </w:t>
      </w:r>
      <w:r>
        <w:fldChar w:fldCharType="begin"/>
        <w:instrText xml:space="preserve"> SEQ "Abbildung" \* Arabic </w:instrText>
        <w:fldChar w:fldCharType="separate"/>
        <w:t>12</w:t>
        <w:fldChar w:fldCharType="end"/>
      </w:r>
      <w:r>
        <w:t xml:space="preserve"> Bild „Visu/System“</w:t>
      </w:r>
    </w:p>
    <w:p>
      <w:r>
        <w:t>Anzeige der aktuellen Stell- und Messwerte sowie den Schalt- oder Störzuständen der Antriebe.</w:t>
      </w:r>
    </w:p>
    <w:p>
      <w:r>
        <w:t>Es können keine Werte eingegeben oder andere Bedienhandlungen ausgeführt werden.</w:t>
      </w:r>
    </w:p>
    <w:p>
      <w:r/>
    </w:p>
    <w:p>
      <w:r/>
    </w:p>
    <w:p>
      <w:pPr>
        <w:pStyle w:val="para5"/>
        <w:numPr>
          <w:ilvl w:val="4"/>
          <w:numId w:val="9"/>
        </w:numPr>
        <w:ind w:left="1008" w:hanging="1008"/>
      </w:pPr>
      <w:r>
        <w:br w:type="page"/>
      </w:r>
      <w:bookmarkStart w:id="23" w:name="_TOC000010"/>
      <w:r>
        <w:t>Informationen</w:t>
      </w:r>
      <w:bookmarkEnd w:id="23"/>
      <w:r/>
    </w:p>
    <w:p>
      <w:r/>
    </w:p>
    <w:p>
      <w:pPr>
        <w:pStyle w:val="para13"/>
      </w:pPr>
      <w:r>
        <w:t xml:space="preserve">Abbildung </w:t>
      </w:r>
      <w:r>
        <w:fldChar w:fldCharType="begin"/>
        <w:instrText xml:space="preserve"> SEQ "Abbildung" \* Arabic </w:instrText>
        <w:fldChar w:fldCharType="separate"/>
        <w:t>13</w:t>
        <w:fldChar w:fldCharType="end"/>
      </w:r>
      <w:r>
        <w:t xml:space="preserve"> Bild „Visu/Information“</w:t>
      </w:r>
    </w:p>
    <w:p>
      <w:r/>
    </w:p>
    <w:p>
      <w:r>
        <w:t>Anzeige der Betriebsstunden für die Anlage und ausgewählte Antriebe.</w:t>
      </w:r>
    </w:p>
    <w:p>
      <w:pPr>
        <w:pStyle w:val="para5"/>
        <w:numPr>
          <w:ilvl w:val="4"/>
          <w:numId w:val="9"/>
        </w:numPr>
        <w:ind w:left="1008" w:hanging="1008"/>
      </w:pPr>
      <w:r>
        <w:br w:type="page"/>
      </w:r>
      <w:bookmarkStart w:id="24" w:name="_TOC000011"/>
      <w:r>
        <w:t>Parameter</w:t>
      </w:r>
      <w:bookmarkEnd w:id="24"/>
      <w:r/>
    </w:p>
    <w:p>
      <w:r/>
    </w:p>
    <w:p>
      <w:r/>
    </w:p>
    <w:p>
      <w:pPr>
        <w:pStyle w:val="para13"/>
      </w:pPr>
      <w:r>
        <w:t xml:space="preserve">Abbildung </w:t>
      </w:r>
      <w:r>
        <w:fldChar w:fldCharType="begin"/>
        <w:instrText xml:space="preserve"> SEQ "Abbildung" \* Arabic </w:instrText>
        <w:fldChar w:fldCharType="separate"/>
        <w:t>14</w:t>
        <w:fldChar w:fldCharType="end"/>
      </w:r>
      <w:r>
        <w:t xml:space="preserve"> Bild „Visu/Parameter“</w:t>
      </w:r>
    </w:p>
    <w:p>
      <w:r>
        <w:t>Hier können, vom Anwender änderbare, Einstellungen angezeigt und angepasst werden.</w:t>
      </w:r>
    </w:p>
    <w:p>
      <w:r/>
    </w:p>
    <w:tbl>
      <w:tblPr>
        <w:tblStyle w:val="TableGrid"/>
        <w:name w:val="Tabelle18"/>
        <w:tabOrder w:val="0"/>
        <w:jc w:val="left"/>
        <w:tblInd w:w="0" w:type="dxa"/>
        <w:tblW w:w="9912" w:type="dxa"/>
        <w:tblLook w:val="04A0" w:firstRow="1" w:lastRow="0" w:firstColumn="1" w:lastColumn="0" w:noHBand="0" w:noVBand="1"/>
      </w:tblPr>
      <w:tblGrid>
        <w:gridCol w:w="3304"/>
        <w:gridCol w:w="4931"/>
        <w:gridCol w:w="1677"/>
      </w:tblGrid>
      <w:tr>
        <w:trPr>
          <w:tblHeader w:val="0"/>
          <w:cantSplit w:val="0"/>
          <w:trHeight w:val="0" w:hRule="auto"/>
        </w:trPr>
        <w:tc>
          <w:tcPr>
            <w:tcW w:w="3304" w:type="dxa"/>
            <w:tmTcPr id="1634634931" protected="0"/>
          </w:tcPr>
          <w:p>
            <w:pPr/>
            <w:r>
              <w:t>Parameter</w:t>
            </w:r>
          </w:p>
        </w:tc>
        <w:tc>
          <w:tcPr>
            <w:tcW w:w="4931" w:type="dxa"/>
            <w:tmTcPr id="1634634931" protected="0"/>
          </w:tcPr>
          <w:p>
            <w:pPr/>
            <w:r>
              <w:t>Bemerkung</w:t>
            </w:r>
          </w:p>
        </w:tc>
        <w:tc>
          <w:tcPr>
            <w:tcW w:w="1677" w:type="dxa"/>
            <w:tmTcPr id="1634634931" protected="0"/>
          </w:tcPr>
          <w:p>
            <w:pPr/>
            <w:r>
              <w:t>Anfangswert</w:t>
            </w:r>
          </w:p>
        </w:tc>
      </w:tr>
      <w:tr>
        <w:trPr>
          <w:tblHeader w:val="0"/>
          <w:cantSplit w:val="0"/>
          <w:trHeight w:val="0" w:hRule="auto"/>
        </w:trPr>
        <w:tc>
          <w:tcPr>
            <w:tcW w:w="3304" w:type="dxa"/>
            <w:tmTcPr id="1634634931" protected="0"/>
          </w:tcPr>
          <w:p>
            <w:pPr/>
            <w:r>
              <w:t xml:space="preserve">Ventilator </w:t>
            </w:r>
          </w:p>
        </w:tc>
        <w:tc>
          <w:tcPr>
            <w:tcW w:w="4931" w:type="dxa"/>
            <w:tmTcPr id="1634634931" protected="0"/>
          </w:tcPr>
          <w:p>
            <w:pPr/>
            <w:r>
              <w:t>Anpassung Drehzahl Ventilatoren für den Programm- oder Handbetrieb</w:t>
            </w:r>
          </w:p>
        </w:tc>
        <w:tc>
          <w:tcPr>
            <w:tcW w:w="1677" w:type="dxa"/>
            <w:tmTcPr id="1634634931" protected="0"/>
          </w:tcPr>
          <w:p>
            <w:pPr/>
            <w:r>
              <w:t>50%</w:t>
            </w:r>
          </w:p>
        </w:tc>
      </w:tr>
      <w:tr>
        <w:trPr>
          <w:tblHeader w:val="0"/>
          <w:cantSplit w:val="0"/>
          <w:trHeight w:val="0" w:hRule="auto"/>
        </w:trPr>
        <w:tc>
          <w:tcPr>
            <w:tcW w:w="3304" w:type="dxa"/>
            <w:tmTcPr id="1634634931" protected="0"/>
          </w:tcPr>
          <w:p>
            <w:pPr/>
            <w:r/>
          </w:p>
          <w:p>
            <w:pPr/>
            <w:r/>
          </w:p>
        </w:tc>
        <w:tc>
          <w:tcPr>
            <w:tcW w:w="4931" w:type="dxa"/>
            <w:tmTcPr id="1634634931" protected="0"/>
          </w:tcPr>
          <w:p>
            <w:pPr/>
            <w:r/>
          </w:p>
        </w:tc>
        <w:tc>
          <w:tcPr>
            <w:tcW w:w="1677" w:type="dxa"/>
            <w:tmTcPr id="1634634931" protected="0"/>
          </w:tcPr>
          <w:p>
            <w:pPr/>
            <w:r/>
          </w:p>
        </w:tc>
      </w:tr>
    </w:tbl>
    <w:p>
      <w:pPr>
        <w:suppressAutoHyphens/>
        <w:hyphenationLines w:val="0"/>
        <w:widowControl w:val="0"/>
      </w:pPr>
      <w:r/>
    </w:p>
    <w:p>
      <w:r/>
    </w:p>
    <w:p>
      <w:pPr>
        <w:pStyle w:val="para5"/>
        <w:numPr>
          <w:ilvl w:val="4"/>
          <w:numId w:val="9"/>
        </w:numPr>
        <w:ind w:left="1008" w:hanging="1008"/>
      </w:pPr>
      <w:r>
        <w:br w:type="page"/>
      </w:r>
      <w:bookmarkStart w:id="25" w:name="_TOC000012"/>
      <w:r>
        <w:t>Service</w:t>
        <w:br w:type="textWrapping"/>
      </w:r>
      <w:bookmarkEnd w:id="25"/>
      <w:r/>
    </w:p>
    <w:p>
      <w:pPr>
        <w:keepNext/>
      </w:pPr>
      <w:r/>
    </w:p>
    <w:p>
      <w:pPr>
        <w:pStyle w:val="para13"/>
      </w:pPr>
      <w:r>
        <w:t xml:space="preserve">Abbildung </w:t>
      </w:r>
      <w:r>
        <w:fldChar w:fldCharType="begin"/>
        <w:instrText xml:space="preserve"> SEQ "Abbildung" \* Arabic </w:instrText>
        <w:fldChar w:fldCharType="separate"/>
        <w:t>15</w:t>
        <w:fldChar w:fldCharType="end"/>
      </w:r>
      <w:r>
        <w:t xml:space="preserve"> Bild „Visu/Service“</w:t>
      </w:r>
    </w:p>
    <w:tbl>
      <w:tblPr>
        <w:tblStyle w:val="TableGrid"/>
        <w:name w:val="Tabelle10"/>
        <w:tabOrder w:val="0"/>
        <w:jc w:val="left"/>
        <w:tblInd w:w="0" w:type="dxa"/>
        <w:tblW w:w="9912" w:type="dxa"/>
        <w:tblLook w:val="04A0" w:firstRow="1" w:lastRow="0" w:firstColumn="1" w:lastColumn="0" w:noHBand="0" w:noVBand="1"/>
      </w:tblPr>
      <w:tblGrid>
        <w:gridCol w:w="2835"/>
        <w:gridCol w:w="7077"/>
      </w:tblGrid>
      <w:tr>
        <w:trPr>
          <w:tblHeader w:val="0"/>
          <w:cantSplit w:val="0"/>
          <w:trHeight w:val="0" w:hRule="auto"/>
        </w:trPr>
        <w:tc>
          <w:tcPr>
            <w:tcW w:w="2835" w:type="dxa"/>
            <w:tcBorders>
              <w:bottom w:val="single" w:sz="6" w:space="0" w:color="000000" tmln="15, 20, 20, 0, 0"/>
              <w:right w:val="single" w:sz="6" w:space="0" w:color="000000" tmln="15, 20, 20, 0, 0"/>
            </w:tcBorders>
            <w:tmTcPr id="1634634931" protected="0"/>
          </w:tcPr>
          <w:p>
            <w:pPr>
              <w:spacing/>
              <w:jc w:val="center"/>
            </w:pPr>
            <w:r/>
          </w:p>
        </w:tc>
        <w:tc>
          <w:tcPr>
            <w:tcW w:w="7077" w:type="dxa"/>
            <w:tcBorders>
              <w:left w:val="single" w:sz="6" w:space="0" w:color="000000" tmln="15, 20, 20, 0, 0"/>
              <w:bottom w:val="single" w:sz="6" w:space="0" w:color="000000" tmln="15, 20, 20, 0, 0"/>
            </w:tcBorders>
            <w:tmTcPr id="1634634931" protected="0"/>
          </w:tcPr>
          <w:p>
            <w:pPr>
              <w:pStyle w:val="para15"/>
              <w:ind w:left="590"/>
              <w:spacing/>
              <w:jc w:val="center"/>
            </w:pPr>
            <w:r>
              <w:rPr>
                <w:noProof/>
              </w:rPr>
              <w:drawing>
                <wp:inline distT="0" distB="0" distL="0" distR="0">
                  <wp:extent cx="1122045" cy="353695"/>
                  <wp:effectExtent l="0" t="0" r="0" b="0"/>
                  <wp:docPr id="17" name="Grafik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fik 286"/>
                          <pic:cNvPicPr>
                            <a:picLocks noChangeAspect="1"/>
                            <a:extLst>
                              <a:ext uri="smNativeData">
                                <sm:smNativeData xmlns:sm="smNativeData" val="SMDATA_17_s4xu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YAAAAB6AAAAAAAAARAAAAAAAAAAAAAAAAAAAAAAAAAAAAAAAAAAAA5wYAAC0CAAAAAAAAAAAAAAAAAAAoAAAACAAAAAEAAAABAAAAMAAAABQAAAAAAAAAAAD//wAAAQAAAP//AAABAA=="/>
                              </a:ext>
                            </a:extLst>
                          </pic:cNvPicPr>
                        </pic:nvPicPr>
                        <pic:blipFill>
                          <a:blip r:embed="rId17"/>
                          <a:stretch>
                            <a:fillRect/>
                          </a:stretch>
                        </pic:blipFill>
                        <pic:spPr>
                          <a:xfrm>
                            <a:off x="0" y="0"/>
                            <a:ext cx="1122045" cy="353695"/>
                          </a:xfrm>
                          <a:prstGeom prst="rect">
                            <a:avLst/>
                          </a:prstGeom>
                          <a:noFill/>
                          <a:ln w="12700">
                            <a:noFill/>
                          </a:ln>
                        </pic:spPr>
                      </pic:pic>
                    </a:graphicData>
                  </a:graphic>
                </wp:inline>
              </w:drawing>
            </w:r>
            <w:r/>
          </w:p>
        </w:tc>
      </w:tr>
      <w:tr>
        <w:trPr>
          <w:tblHeader w:val="0"/>
          <w:cantSplit w:val="0"/>
          <w:trHeight w:val="0" w:hRule="auto"/>
        </w:trPr>
        <w:tc>
          <w:tcPr>
            <w:tcW w:w="2835" w:type="dxa"/>
            <w:tcBorders>
              <w:top w:val="single" w:sz="6" w:space="0" w:color="000000" tmln="15, 20, 20, 0, 0"/>
              <w:right w:val="single" w:sz="6" w:space="0" w:color="000000" tmln="15, 20, 20, 0, 0"/>
            </w:tcBorders>
            <w:tmTcPr id="1634634931" protected="0"/>
          </w:tcPr>
          <w:p>
            <w:pPr>
              <w:spacing/>
              <w:jc w:val="center"/>
            </w:pPr>
            <w:r>
              <w:rPr>
                <w:noProof/>
              </w:rPr>
              <w:drawing>
                <wp:inline distT="0" distB="0" distL="0" distR="0">
                  <wp:extent cx="591185" cy="469265"/>
                  <wp:effectExtent l="0" t="0" r="0" b="0"/>
                  <wp:docPr id="18" name="Grafik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Grafik 287"/>
                          <pic:cNvPicPr>
                            <a:picLocks noChangeAspect="1"/>
                            <a:extLst>
                              <a:ext uri="smNativeData">
                                <sm:smNativeData xmlns:sm="smNativeData" val="SMDATA_17_s4xu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YAAAAB6AAAAAAAAASAAAAAAAAAAAAAAAAAAAAAAAAAAAAAAAAAAAAowMAAOMCAAAAAAAAAAAAAAAAAAAoAAAACAAAAAEAAAABAAAAMAAAABQAAAAAAAAAAAD//wAAAQAAAP//AAABAA=="/>
                              </a:ext>
                            </a:extLst>
                          </pic:cNvPicPr>
                        </pic:nvPicPr>
                        <pic:blipFill>
                          <a:blip r:embed="rId18"/>
                          <a:stretch>
                            <a:fillRect/>
                          </a:stretch>
                        </pic:blipFill>
                        <pic:spPr>
                          <a:xfrm>
                            <a:off x="0" y="0"/>
                            <a:ext cx="591185" cy="469265"/>
                          </a:xfrm>
                          <a:prstGeom prst="rect">
                            <a:avLst/>
                          </a:prstGeom>
                          <a:noFill/>
                          <a:ln w="12700">
                            <a:noFill/>
                          </a:ln>
                        </pic:spPr>
                      </pic:pic>
                    </a:graphicData>
                  </a:graphic>
                </wp:inline>
              </w:drawing>
            </w:r>
            <w:r/>
          </w:p>
        </w:tc>
        <w:tc>
          <w:tcPr>
            <w:tcW w:w="7077" w:type="dxa"/>
            <w:tcBorders>
              <w:top w:val="single" w:sz="6" w:space="0" w:color="000000" tmln="15, 20, 20, 0, 0"/>
              <w:left w:val="single" w:sz="6" w:space="0" w:color="000000" tmln="15, 20, 20, 0, 0"/>
            </w:tcBorders>
            <w:tmTcPr id="1634634931" protected="0"/>
          </w:tcPr>
          <w:p>
            <w:pPr>
              <w:rPr>
                <w:b/>
              </w:rPr>
            </w:pPr>
            <w:r>
              <w:rPr>
                <w:b/>
              </w:rPr>
              <w:t>Service, Einstellungen durch den Anlagenbauer!</w:t>
            </w:r>
          </w:p>
          <w:p>
            <w:pPr>
              <w:rPr>
                <w:b/>
              </w:rPr>
            </w:pPr>
            <w:r>
              <w:rPr>
                <w:b/>
              </w:rPr>
              <w:t xml:space="preserve">Temperaturbereich Kammer: </w:t>
            </w:r>
            <w:r>
              <w:t>Die Einstellung der Temperaturen sollte so erfolgen, dass diese Grenzen vor der Abschaltung durch den Prüfgutschutz erreicht werden. -&gt; Fehlermeldung</w:t>
            </w:r>
            <w:r>
              <w:rPr>
                <w:b/>
              </w:rPr>
            </w:r>
          </w:p>
        </w:tc>
      </w:tr>
    </w:tbl>
    <w:p>
      <w:bookmarkStart w:id="26" w:name="_Ref488491101"/>
      <w:r/>
      <w:bookmarkEnd w:id="26"/>
      <w:r/>
    </w:p>
    <w:p>
      <w:pPr>
        <w:pStyle w:val="para5"/>
        <w:numPr>
          <w:ilvl w:val="4"/>
          <w:numId w:val="9"/>
        </w:numPr>
        <w:ind w:left="1008" w:hanging="1008"/>
      </w:pPr>
      <w:r>
        <w:br w:type="page"/>
      </w:r>
      <w:bookmarkStart w:id="27" w:name="_REF000001"/>
      <w:r>
        <w:t>Hand</w:t>
      </w:r>
      <w:bookmarkEnd w:id="27"/>
      <w:r/>
    </w:p>
    <w:p>
      <w:r/>
    </w:p>
    <w:p>
      <w:pPr>
        <w:pStyle w:val="para13"/>
      </w:pPr>
      <w:r>
        <w:t xml:space="preserve">Abbildung </w:t>
      </w:r>
      <w:r>
        <w:fldChar w:fldCharType="begin"/>
        <w:instrText xml:space="preserve"> SEQ "Abbildung" \* Arabic </w:instrText>
        <w:fldChar w:fldCharType="separate"/>
        <w:t>16</w:t>
        <w:fldChar w:fldCharType="end"/>
      </w:r>
      <w:r>
        <w:t xml:space="preserve"> „Visu/Hand“</w:t>
      </w:r>
    </w:p>
    <w:p>
      <w:r>
        <w:t>Mit der der großen Taste „Betriebsart Hand/Programm“ erfolgt die Umschaltung Programmgeber oder Handbetrieb.</w:t>
      </w:r>
    </w:p>
    <w:p>
      <w:r>
        <w:t>Im Handbetrieb werden die Tasten bedienbar. Die Prozessgrößen können einzeln unabhängig voneinander gesteuert werden.</w:t>
      </w:r>
    </w:p>
    <w:p>
      <w:r/>
    </w:p>
    <w:p>
      <w:r>
        <w:t>Mit dem Taster „Antriebe“ (rechts oben) gelangt man zu Steuerung aller Antriebe (Pumpen, Lüfter, Ventile Leuchten).</w:t>
      </w:r>
    </w:p>
    <w:tbl>
      <w:tblPr>
        <w:tblStyle w:val="TableGrid"/>
        <w:name w:val="Tabelle21"/>
        <w:tabOrder w:val="0"/>
        <w:jc w:val="left"/>
        <w:tblInd w:w="0" w:type="dxa"/>
        <w:tblW w:w="9912" w:type="dxa"/>
        <w:tblLook w:val="04A0" w:firstRow="1" w:lastRow="0" w:firstColumn="1" w:lastColumn="0" w:noHBand="0" w:noVBand="1"/>
      </w:tblPr>
      <w:tblGrid>
        <w:gridCol w:w="2835"/>
        <w:gridCol w:w="7077"/>
      </w:tblGrid>
      <w:tr>
        <w:trPr>
          <w:tblHeader w:val="0"/>
          <w:cantSplit w:val="0"/>
          <w:trHeight w:val="0" w:hRule="auto"/>
        </w:trPr>
        <w:tc>
          <w:tcPr>
            <w:tcW w:w="2835" w:type="dxa"/>
            <w:tcBorders>
              <w:bottom w:val="single" w:sz="6" w:space="0" w:color="000000" tmln="15, 20, 20, 0, 0"/>
              <w:right w:val="single" w:sz="6" w:space="0" w:color="000000" tmln="15, 20, 20, 0, 0"/>
            </w:tcBorders>
            <w:tmTcPr id="1634634931" protected="0"/>
          </w:tcPr>
          <w:p>
            <w:pPr>
              <w:spacing/>
              <w:jc w:val="center"/>
            </w:pPr>
            <w:r/>
          </w:p>
        </w:tc>
        <w:tc>
          <w:tcPr>
            <w:tcW w:w="7077" w:type="dxa"/>
            <w:tcBorders>
              <w:left w:val="single" w:sz="6" w:space="0" w:color="000000" tmln="15, 20, 20, 0, 0"/>
              <w:bottom w:val="single" w:sz="6" w:space="0" w:color="000000" tmln="15, 20, 20, 0, 0"/>
            </w:tcBorders>
            <w:tmTcPr id="1634634931" protected="0"/>
          </w:tcPr>
          <w:p>
            <w:pPr>
              <w:pStyle w:val="para15"/>
              <w:ind w:left="590"/>
              <w:spacing/>
              <w:jc w:val="center"/>
            </w:pPr>
            <w:r>
              <w:rPr>
                <w:noProof/>
              </w:rPr>
              <w:drawing>
                <wp:inline distT="0" distB="0" distL="0" distR="0">
                  <wp:extent cx="1122045" cy="353695"/>
                  <wp:effectExtent l="0" t="0" r="0" b="0"/>
                  <wp:docPr id="19" name="Grafik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fik 308"/>
                          <pic:cNvPicPr>
                            <a:picLocks noChangeAspect="1"/>
                            <a:extLst>
                              <a:ext uri="smNativeData">
                                <sm:smNativeData xmlns:sm="smNativeData" val="SMDATA_17_s4xu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hAAAAB6AAAAAAAAATAAAAAAAAAAAAAAAAAAAAAAAAAAAAAAAAAAAA5wYAAC0CAAAAAAAAAAAAAAAAAAAoAAAACAAAAAEAAAABAAAAMAAAABQAAAAAAAAAAAD//wAAAQAAAP//AAABAA=="/>
                              </a:ext>
                            </a:extLst>
                          </pic:cNvPicPr>
                        </pic:nvPicPr>
                        <pic:blipFill>
                          <a:blip r:embed="rId17"/>
                          <a:stretch>
                            <a:fillRect/>
                          </a:stretch>
                        </pic:blipFill>
                        <pic:spPr>
                          <a:xfrm>
                            <a:off x="0" y="0"/>
                            <a:ext cx="1122045" cy="353695"/>
                          </a:xfrm>
                          <a:prstGeom prst="rect">
                            <a:avLst/>
                          </a:prstGeom>
                          <a:noFill/>
                          <a:ln w="12700">
                            <a:noFill/>
                          </a:ln>
                        </pic:spPr>
                      </pic:pic>
                    </a:graphicData>
                  </a:graphic>
                </wp:inline>
              </w:drawing>
            </w:r>
            <w:r/>
          </w:p>
        </w:tc>
      </w:tr>
      <w:tr>
        <w:trPr>
          <w:tblHeader w:val="0"/>
          <w:cantSplit w:val="0"/>
          <w:trHeight w:val="0" w:hRule="auto"/>
        </w:trPr>
        <w:tc>
          <w:tcPr>
            <w:tcW w:w="2835" w:type="dxa"/>
            <w:tcBorders>
              <w:top w:val="single" w:sz="6" w:space="0" w:color="000000" tmln="15, 20, 20, 0, 0"/>
              <w:right w:val="single" w:sz="6" w:space="0" w:color="000000" tmln="15, 20, 20, 0, 0"/>
            </w:tcBorders>
            <w:tmTcPr id="1634634931" protected="0"/>
          </w:tcPr>
          <w:p>
            <w:pPr>
              <w:spacing/>
              <w:jc w:val="center"/>
            </w:pPr>
            <w:r>
              <w:rPr>
                <w:noProof/>
              </w:rPr>
              <w:drawing>
                <wp:inline distT="0" distB="0" distL="0" distR="0">
                  <wp:extent cx="591185" cy="469265"/>
                  <wp:effectExtent l="0" t="0" r="0" b="0"/>
                  <wp:docPr id="20" name="Grafik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afik 309"/>
                          <pic:cNvPicPr>
                            <a:picLocks noChangeAspect="1"/>
                            <a:extLst>
                              <a:ext uri="smNativeData">
                                <sm:smNativeData xmlns:sm="smNativeData" val="SMDATA_17_s4xu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DhAAAAB6AAAAAAAAAUAAAAAAAAAAAAAAAAAAAAAAAAAAAAAAAAAAAAowMAAOMCAAAAAAAAAAAAAAAAAAAoAAAACAAAAAEAAAABAAAAMAAAABQAAAAAAAAAAAD//wAAAQAAAP//AAABAA=="/>
                              </a:ext>
                            </a:extLst>
                          </pic:cNvPicPr>
                        </pic:nvPicPr>
                        <pic:blipFill>
                          <a:blip r:embed="rId18"/>
                          <a:stretch>
                            <a:fillRect/>
                          </a:stretch>
                        </pic:blipFill>
                        <pic:spPr>
                          <a:xfrm>
                            <a:off x="0" y="0"/>
                            <a:ext cx="591185" cy="469265"/>
                          </a:xfrm>
                          <a:prstGeom prst="rect">
                            <a:avLst/>
                          </a:prstGeom>
                          <a:noFill/>
                          <a:ln w="12700">
                            <a:noFill/>
                          </a:ln>
                        </pic:spPr>
                      </pic:pic>
                    </a:graphicData>
                  </a:graphic>
                </wp:inline>
              </w:drawing>
            </w:r>
            <w:r/>
          </w:p>
        </w:tc>
        <w:tc>
          <w:tcPr>
            <w:tcW w:w="7077" w:type="dxa"/>
            <w:tcBorders>
              <w:top w:val="single" w:sz="6" w:space="0" w:color="000000" tmln="15, 20, 20, 0, 0"/>
              <w:left w:val="single" w:sz="6" w:space="0" w:color="000000" tmln="15, 20, 20, 0, 0"/>
            </w:tcBorders>
            <w:tmTcPr id="1634634931" protected="0"/>
          </w:tcPr>
          <w:p>
            <w:pPr>
              <w:rPr>
                <w:b/>
              </w:rPr>
            </w:pPr>
            <w:r>
              <w:rPr>
                <w:b/>
              </w:rPr>
              <w:t>Service!</w:t>
            </w:r>
          </w:p>
          <w:p>
            <w:pPr>
              <w:rPr>
                <w:b/>
              </w:rPr>
            </w:pPr>
            <w:r>
              <w:rPr>
                <w:b/>
              </w:rPr>
              <w:t>Es bestehen keine Verriegelungen der Antriebe und Funktionen. Benutzung mit Vorsicht und Verstand!</w:t>
            </w:r>
          </w:p>
        </w:tc>
      </w:tr>
    </w:tbl>
    <w:p>
      <w:r/>
    </w:p>
    <w:p>
      <w:r/>
    </w:p>
    <w:p>
      <w:r/>
    </w:p>
    <w:p>
      <w:r/>
    </w:p>
    <w:p>
      <w:r/>
    </w:p>
    <w:p>
      <w:r>
        <w:t xml:space="preserve">Jeder Antrieb kann einzeln gesteuert werden. </w:t>
        <w:br w:type="textWrapping"/>
        <w:t>Auto - Antrieb folgt den Befehlen aus der Regelung oder den Spuren, normaler Zustand</w:t>
      </w:r>
    </w:p>
    <w:p>
      <w:r>
        <w:t>Aus -  Antrieb ist aus</w:t>
      </w:r>
    </w:p>
    <w:p>
      <w:r>
        <w:t>Hand - Antrieb wird eingeschaltet, bei geregelten Antrieben mit Stellwert</w:t>
      </w:r>
    </w:p>
    <w:p>
      <w:r/>
    </w:p>
    <w:p>
      <w:r>
        <w:t xml:space="preserve">Die Anwahl von „Aus“ oder „Hand“ sind für besondere Betriebszustände gedacht. </w:t>
      </w:r>
    </w:p>
    <w:p>
      <w:r>
        <w:t>„Auto“ sollte der normale Zustand sein.</w:t>
      </w:r>
    </w:p>
    <w:p>
      <w:r>
        <w:t>Im Übersichtsbild wird angezeigt, ob sich alle Antriebe in Automatik befinden. Nur wenn alle Antriebe in Auto stehen ist ein Programmstart möglich.</w:t>
      </w:r>
    </w:p>
    <w:p>
      <w:r/>
    </w:p>
    <w:p>
      <w:pPr>
        <w:pStyle w:val="para4"/>
        <w:numPr>
          <w:ilvl w:val="3"/>
          <w:numId w:val="9"/>
        </w:numPr>
        <w:ind w:left="864" w:hanging="864"/>
      </w:pPr>
      <w:r>
        <w:br w:type="page"/>
      </w:r>
      <w:bookmarkStart w:id="28" w:name="_TOC000013"/>
      <w:r>
        <w:t>Alarme</w:t>
      </w:r>
      <w:bookmarkEnd w:id="28"/>
      <w:r/>
    </w:p>
    <w:p>
      <w:pPr>
        <w:keepNext/>
      </w:pPr>
      <w:r/>
    </w:p>
    <w:p>
      <w:pPr>
        <w:pStyle w:val="para13"/>
      </w:pPr>
      <w:r>
        <w:t xml:space="preserve">Abbildung </w:t>
      </w:r>
      <w:r>
        <w:fldChar w:fldCharType="begin"/>
        <w:instrText xml:space="preserve"> SEQ "Abbildung" \* Arabic </w:instrText>
        <w:fldChar w:fldCharType="separate"/>
        <w:t>17</w:t>
        <w:fldChar w:fldCharType="end"/>
      </w:r>
      <w:r>
        <w:t xml:space="preserve"> Alarme</w:t>
      </w:r>
    </w:p>
    <w:p>
      <w:r>
        <w:t>Anzeige der aktuellen und historischen Alarme mit Zeit-Informationen zu gekommen, gegangen, quittiert.</w:t>
      </w:r>
    </w:p>
    <w:p>
      <w:r>
        <w:t>Auftretende Alarme werden optisch und akustisch signalisiert. Bei Auftreten des Alarms beginnt die Hupe zu hupen. Mit der Taste “Hupe“ kann das Signal abgestellt werden.</w:t>
        <w:br w:type="textWrapping"/>
        <w:t>Ein neuer Alarm wird blinkend angezeigt. Ist der Alarm quittiert, steht die optische Meldung ständig an.</w:t>
      </w:r>
    </w:p>
    <w:p>
      <w:r>
        <w:t>Die aufgetretenen Alarme werden in der Liste angezeigt. Mit den Tasten „Quitt.“ Und „Quitt.1“ können alle anstehenden oder nur der markierte Alarm quittiert werden.</w:t>
      </w:r>
    </w:p>
    <w:p>
      <w:r>
        <w:t xml:space="preserve">Siehe auch </w:t>
      </w:r>
      <w:r>
        <w:fldChar w:fldCharType="begin"/>
        <w:instrText xml:space="preserve"> REF _REF000002 \h </w:instrText>
        <w:fldChar w:fldCharType="separate"/>
        <w:t>Alarme</w:t>
        <w:fldChar w:fldCharType="end"/>
      </w:r>
      <w:r>
        <w:t xml:space="preserve">. </w:t>
      </w:r>
    </w:p>
    <w:p>
      <w:pPr>
        <w:pStyle w:val="para4"/>
        <w:numPr>
          <w:ilvl w:val="3"/>
          <w:numId w:val="9"/>
        </w:numPr>
        <w:ind w:left="864" w:hanging="864"/>
      </w:pPr>
      <w:r>
        <w:br w:type="page"/>
      </w:r>
      <w:bookmarkStart w:id="29" w:name="_TOC000014"/>
      <w:r>
        <w:t>Prozessdaten</w:t>
      </w:r>
      <w:bookmarkEnd w:id="29"/>
      <w:r/>
    </w:p>
    <w:p>
      <w:r/>
    </w:p>
    <w:p>
      <w:pPr>
        <w:keepNext/>
      </w:pPr>
      <w:r/>
    </w:p>
    <w:p>
      <w:pPr>
        <w:pStyle w:val="para13"/>
      </w:pPr>
      <w:r>
        <w:t xml:space="preserve">Abbildung </w:t>
      </w:r>
      <w:r>
        <w:fldChar w:fldCharType="begin"/>
        <w:instrText xml:space="preserve"> SEQ "Abbildung" \* Arabic </w:instrText>
        <w:fldChar w:fldCharType="separate"/>
        <w:t>18</w:t>
        <w:fldChar w:fldCharType="end"/>
      </w:r>
      <w:r>
        <w:t xml:space="preserve"> Prozessdaten</w:t>
      </w:r>
    </w:p>
    <w:p>
      <w:r>
        <w:t>Anzeige der aktuellen Prozesswerte.</w:t>
      </w:r>
    </w:p>
    <w:p>
      <w:pPr>
        <w:pStyle w:val="para4"/>
        <w:numPr>
          <w:ilvl w:val="3"/>
          <w:numId w:val="9"/>
        </w:numPr>
        <w:ind w:left="864" w:hanging="864"/>
      </w:pPr>
      <w:r>
        <w:br w:type="page"/>
      </w:r>
      <w:bookmarkStart w:id="30" w:name="_TOC000015"/>
      <w:r>
        <w:t>Datenlogger</w:t>
      </w:r>
      <w:bookmarkEnd w:id="30"/>
      <w:r/>
    </w:p>
    <w:p>
      <w:pPr>
        <w:keepNext/>
      </w:pPr>
      <w:r/>
    </w:p>
    <w:p>
      <w:pPr>
        <w:pStyle w:val="para13"/>
      </w:pPr>
      <w:r>
        <w:t xml:space="preserve">Abbildung </w:t>
      </w:r>
      <w:r>
        <w:fldChar w:fldCharType="begin"/>
        <w:instrText xml:space="preserve"> SEQ "Abbildung" \* Arabic </w:instrText>
        <w:fldChar w:fldCharType="separate"/>
        <w:t>19</w:t>
        <w:fldChar w:fldCharType="end"/>
      </w:r>
      <w:r>
        <w:t>b Datenlogger Online</w:t>
      </w:r>
    </w:p>
    <w:p>
      <w:pPr>
        <w:keepNext/>
      </w:pPr>
      <w:r/>
    </w:p>
    <w:p>
      <w:pPr>
        <w:pStyle w:val="para13"/>
      </w:pPr>
      <w:r>
        <w:t xml:space="preserve">Abbildung </w:t>
      </w:r>
      <w:r>
        <w:fldChar w:fldCharType="begin"/>
        <w:instrText xml:space="preserve"> SEQ "Abbildung" \* Arabic </w:instrText>
        <w:fldChar w:fldCharType="separate"/>
        <w:t>20</w:t>
        <w:fldChar w:fldCharType="end"/>
      </w:r>
      <w:r>
        <w:t xml:space="preserve"> Datenlogger Archiv</w:t>
      </w:r>
    </w:p>
    <w:p>
      <w:pPr>
        <w:pStyle w:val="para15"/>
      </w:pPr>
      <w:r>
        <w:t>Im Programmbetrieb werden die Sollwerte, Istwerte und Alarme in einem Chargenprotokoll archiviert. Es können bis zu 200 Chargenprotokolle archiviert werden. Danach werden die Informationen überschrieben. Die Chargen können auf einen USB Stick ausgelagert werden.</w:t>
      </w:r>
    </w:p>
    <w:p>
      <w:pPr>
        <w:pStyle w:val="para15"/>
      </w:pPr>
      <w:r>
        <w:t>Weitere Informationen hierzu finden sich in der Bedienanleitung von Stange Elektronik.</w:t>
      </w:r>
    </w:p>
    <w:p>
      <w:pPr>
        <w:pStyle w:val="para4"/>
        <w:numPr>
          <w:ilvl w:val="3"/>
          <w:numId w:val="9"/>
        </w:numPr>
        <w:ind w:left="864" w:hanging="864"/>
      </w:pPr>
      <w:bookmarkStart w:id="31" w:name="_TOC000016"/>
      <w:r>
        <w:t>Konfiguration</w:t>
      </w:r>
      <w:bookmarkEnd w:id="31"/>
      <w:r/>
    </w:p>
    <w:p>
      <w:r/>
    </w:p>
    <w:p>
      <w:pPr>
        <w:keepNext/>
      </w:pPr>
      <w:r/>
    </w:p>
    <w:p>
      <w:pPr>
        <w:pStyle w:val="para13"/>
      </w:pPr>
      <w:r>
        <w:t xml:space="preserve">Abbildung </w:t>
      </w:r>
      <w:r>
        <w:fldChar w:fldCharType="begin"/>
        <w:instrText xml:space="preserve"> SEQ "Abbildung" \* Arabic </w:instrText>
        <w:fldChar w:fldCharType="separate"/>
        <w:t>21</w:t>
        <w:fldChar w:fldCharType="end"/>
      </w:r>
      <w:r>
        <w:t xml:space="preserve"> Betrieb/Konfiguration</w:t>
      </w:r>
    </w:p>
    <w:p>
      <w:r>
        <w:t>Hier sind bereits alle notwendigen Einstellungen durch den Hersteller erfolgt.</w:t>
      </w:r>
    </w:p>
    <w:p>
      <w:r/>
    </w:p>
    <w:p>
      <w:pPr>
        <w:pStyle w:val="para5"/>
        <w:numPr>
          <w:ilvl w:val="4"/>
          <w:numId w:val="9"/>
        </w:numPr>
        <w:ind w:left="1008" w:hanging="1008"/>
      </w:pPr>
      <w:bookmarkStart w:id="32" w:name="_TOC000036"/>
      <w:r>
        <w:t>Istwertkorrektur</w:t>
      </w:r>
      <w:bookmarkEnd w:id="32"/>
      <w:r/>
    </w:p>
    <w:p>
      <w:pPr>
        <w:keepNext/>
        <w:keepLines/>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SimSun" w:cs="Arial"/>
          <w:bCs/>
          <w:kern w:val="1"/>
          <w:sz w:val="22"/>
          <w:szCs w:val="36"/>
        </w:rPr>
      </w:pPr>
      <w:r>
        <w:rPr>
          <w:rFonts w:ascii="Calibri" w:hAnsi="Calibri" w:eastAsia="SimSun" w:cs="Arial"/>
          <w:bCs/>
          <w:kern w:val="1"/>
          <w:sz w:val="22"/>
          <w:szCs w:val="36"/>
        </w:rPr>
      </w:r>
    </w:p>
    <w:p>
      <w:pPr>
        <w:keepNext/>
        <w:keepLines/>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SimSun" w:cs="Arial"/>
          <w:bCs/>
          <w:kern w:val="1"/>
          <w:sz w:val="22"/>
          <w:szCs w:val="36"/>
        </w:rPr>
      </w:pPr>
      <w:r>
        <w:rPr>
          <w:rFonts w:ascii="Calibri" w:hAnsi="Calibri" w:eastAsia="SimSun" w:cs="Arial"/>
          <w:bCs/>
          <w:kern w:val="1"/>
          <w:sz w:val="22"/>
          <w:szCs w:val="36"/>
        </w:rPr>
        <w:t>Zum Anpassen der Istwerte an eine externe Messung oder bei Kalibrierung können diese im Stange Bediengerät korrigiert werden.</w:t>
      </w:r>
    </w:p>
    <w:p>
      <w:pPr>
        <w:keepNext/>
        <w:keepLines/>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SimSun" w:cs="Arial"/>
          <w:bCs/>
          <w:kern w:val="1"/>
          <w:sz w:val="22"/>
          <w:szCs w:val="36"/>
        </w:rPr>
      </w:pPr>
      <w:r>
        <w:rPr>
          <w:rFonts w:ascii="Calibri" w:hAnsi="Calibri" w:eastAsia="SimSun" w:cs="Arial"/>
          <w:bCs/>
          <w:kern w:val="1"/>
          <w:sz w:val="22"/>
          <w:szCs w:val="36"/>
        </w:rPr>
        <w:t>Betrieb&gt;Konfiguration&gt; Funktionen&gt; Digitale und analoge E/A&gt; Istwerte&gt; "Istwert"&gt;</w:t>
      </w:r>
    </w:p>
    <w:p>
      <w:pPr>
        <w:keepNext/>
        <w:keepLines/>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SimSun" w:cs="Arial"/>
          <w:bCs/>
          <w:kern w:val="1"/>
          <w:sz w:val="20"/>
          <w:szCs w:val="36"/>
        </w:rPr>
      </w:pPr>
      <w:r>
        <w:rPr>
          <w:rFonts w:eastAsia="SimSun" w:cs="Arial"/>
          <w:bCs/>
          <w:kern w:val="1"/>
          <w:sz w:val="20"/>
          <w:szCs w:val="36"/>
        </w:rPr>
      </w:r>
    </w:p>
    <w:p>
      <w:pPr>
        <w:keepNext/>
        <w:keepLines/>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SimSun" w:cs="Arial"/>
          <w:bCs/>
          <w:kern w:val="1"/>
          <w:sz w:val="22"/>
          <w:szCs w:val="36"/>
        </w:rPr>
      </w:pPr>
      <w:r>
        <w:rPr>
          <w:rFonts w:ascii="Calibri" w:hAnsi="Calibri" w:eastAsia="SimSun" w:cs="Arial"/>
          <w:bCs/>
          <w:kern w:val="1"/>
          <w:sz w:val="22"/>
          <w:szCs w:val="36"/>
        </w:rPr>
      </w:r>
    </w:p>
    <w:p>
      <w:pPr>
        <w:keepNext/>
        <w:keepLines/>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SimSun" w:cs="Arial"/>
          <w:bCs/>
          <w:kern w:val="1"/>
          <w:sz w:val="22"/>
          <w:szCs w:val="36"/>
        </w:rPr>
      </w:pPr>
      <w:r>
        <w:rPr>
          <w:rFonts w:ascii="Calibri" w:hAnsi="Calibri" w:eastAsia="SimSun" w:cs="Arial"/>
          <w:bCs/>
          <w:kern w:val="1"/>
          <w:sz w:val="22"/>
          <w:szCs w:val="36"/>
        </w:rPr>
        <w:t>Es können bis zu 5 Korrekturwerte angelegt werden. Nur ein Wert führt zu einer parallelen Verschiebung. Im Bild Anhebung des Gemessenen Wertes um +0,5 K.</w:t>
      </w:r>
    </w:p>
    <w:p>
      <w:pPr>
        <w:keepNext/>
        <w:keepLines/>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SimSun" w:cs="Arial"/>
          <w:bCs/>
          <w:kern w:val="1"/>
          <w:sz w:val="22"/>
          <w:szCs w:val="36"/>
        </w:rPr>
      </w:pPr>
      <w:r>
        <w:rPr>
          <w:rFonts w:ascii="Calibri" w:hAnsi="Calibri" w:eastAsia="SimSun" w:cs="Arial"/>
          <w:bCs/>
          <w:kern w:val="1"/>
          <w:sz w:val="22"/>
          <w:szCs w:val="36"/>
        </w:rPr>
        <w:t>Die Wertübernahme erfolgt bei Rücksprung in "Betrieb".</w:t>
      </w:r>
    </w:p>
    <w:p>
      <w:pPr>
        <w:keepNext/>
        <w:keepLines/>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SimSun" w:cs="Arial"/>
          <w:bCs/>
          <w:kern w:val="1"/>
          <w:sz w:val="22"/>
          <w:szCs w:val="36"/>
        </w:rPr>
      </w:pPr>
      <w:r>
        <w:rPr>
          <w:rFonts w:ascii="Calibri" w:hAnsi="Calibri" w:eastAsia="SimSun" w:cs="Arial"/>
          <w:bCs/>
          <w:kern w:val="1"/>
          <w:sz w:val="22"/>
          <w:szCs w:val="36"/>
        </w:rPr>
        <w:t>Siehe auch Bedienanleitung Stange SE-702 8.3.3.2 Istwertkorrektur Seite 95ff.</w:t>
      </w:r>
    </w:p>
    <w:p>
      <w:r/>
    </w:p>
    <w:p>
      <w:pPr>
        <w:pStyle w:val="para4"/>
        <w:numPr>
          <w:ilvl w:val="3"/>
          <w:numId w:val="9"/>
        </w:numPr>
        <w:ind w:left="864" w:hanging="864"/>
      </w:pPr>
      <w:r>
        <w:br w:type="page"/>
      </w:r>
      <w:bookmarkStart w:id="33" w:name="_TOC000017"/>
      <w:r>
        <w:t>Login</w:t>
      </w:r>
      <w:bookmarkEnd w:id="33"/>
      <w:r/>
    </w:p>
    <w:p>
      <w:r/>
    </w:p>
    <w:p>
      <w:pPr>
        <w:keepNext/>
      </w:pPr>
      <w:r/>
    </w:p>
    <w:p>
      <w:pPr>
        <w:pStyle w:val="para13"/>
      </w:pPr>
      <w:r>
        <w:t xml:space="preserve">Abbildung </w:t>
      </w:r>
      <w:r>
        <w:fldChar w:fldCharType="begin"/>
        <w:instrText xml:space="preserve"> SEQ "Abbildung" \* Arabic </w:instrText>
        <w:fldChar w:fldCharType="separate"/>
        <w:t>22</w:t>
        <w:fldChar w:fldCharType="end"/>
      </w:r>
      <w:r>
        <w:t xml:space="preserve"> Betrieb/Login</w:t>
      </w:r>
    </w:p>
    <w:p>
      <w:r>
        <w:t>Das Bediensystem verfügt über eine Benutzerverwaltung mit Benutzergruppen und Benutzernamen.</w:t>
      </w:r>
    </w:p>
    <w:p>
      <w:r>
        <w:t>Die einzelnen Zugriffsrechte können frei für den Standardteil des Programmreglers als auch für die Anwendervisualisierung konfiguriert werden. Im Auslieferungszustand sind exemplarisch Benutzergruppen und Benutzernamen eingerichtet.</w:t>
      </w:r>
    </w:p>
    <w:p>
      <w:r>
        <w:t xml:space="preserve">Der aktuelle Nutzer wird rechts oben im Status Bereich angezeigt. </w:t>
      </w:r>
    </w:p>
    <w:p>
      <w:r>
        <w:t xml:space="preserve">Unter Login erfolgt der Benutzerwechsel bzw. An/-Abmeldung. </w:t>
      </w:r>
    </w:p>
    <w:p>
      <w:r>
        <w:t>Die Benutzerverwaltung findet sich unter Betrieb/Konfiguration.</w:t>
      </w:r>
    </w:p>
    <w:p>
      <w:pPr>
        <w:keepNext/>
      </w:pPr>
      <w:r/>
    </w:p>
    <w:p>
      <w:pPr>
        <w:pStyle w:val="para13"/>
      </w:pPr>
      <w:r>
        <w:t xml:space="preserve">Abbildung </w:t>
      </w:r>
      <w:r>
        <w:fldChar w:fldCharType="begin"/>
        <w:instrText xml:space="preserve"> SEQ "Abbildung" \* Arabic </w:instrText>
        <w:fldChar w:fldCharType="separate"/>
        <w:t>23</w:t>
        <w:fldChar w:fldCharType="end"/>
      </w:r>
      <w:r>
        <w:t xml:space="preserve"> Benutzerverwaltung</w:t>
      </w:r>
    </w:p>
    <w:p>
      <w:pPr>
        <w:keepNext/>
      </w:pPr>
      <w:r/>
    </w:p>
    <w:p>
      <w:pPr>
        <w:pStyle w:val="para13"/>
      </w:pPr>
      <w:r>
        <w:t xml:space="preserve">Abbildung </w:t>
      </w:r>
      <w:r>
        <w:fldChar w:fldCharType="begin"/>
        <w:instrText xml:space="preserve"> SEQ "Abbildung" \* Arabic </w:instrText>
        <w:fldChar w:fldCharType="separate"/>
        <w:t>24</w:t>
        <w:fldChar w:fldCharType="end"/>
      </w:r>
      <w:r>
        <w:t xml:space="preserve"> Benutzergruppen</w:t>
      </w:r>
    </w:p>
    <w:p>
      <w:pPr>
        <w:pStyle w:val="para5"/>
        <w:numPr>
          <w:ilvl w:val="4"/>
          <w:numId w:val="9"/>
        </w:numPr>
        <w:ind w:left="1008" w:hanging="1008"/>
      </w:pPr>
      <w:bookmarkStart w:id="34" w:name="_TOC000018"/>
      <w:r>
        <w:t xml:space="preserve">Passworte </w:t>
      </w:r>
      <w:bookmarkEnd w:id="34"/>
      <w:r/>
    </w:p>
    <w:p>
      <w:r>
        <w:t>Grundfunktionen entsprechend Stange Voreinstellung:</w:t>
      </w:r>
    </w:p>
    <w:p>
      <w:r>
        <w:t>Für die Visualisierung</w:t>
      </w:r>
    </w:p>
    <w:tbl>
      <w:tblPr>
        <w:tblStyle w:val="NormalTable"/>
        <w:name w:val="Tabelle11"/>
        <w:tabOrder w:val="0"/>
        <w:jc w:val="left"/>
        <w:tblInd w:w="0" w:type="dxa"/>
        <w:tblW w:w="9922" w:type="dxa"/>
        <w:tblLook w:val="04A0" w:firstRow="1" w:lastRow="0" w:firstColumn="1" w:lastColumn="0" w:noHBand="0" w:noVBand="1"/>
      </w:tblPr>
      <w:tblGrid>
        <w:gridCol w:w="1290"/>
        <w:gridCol w:w="1223"/>
        <w:gridCol w:w="1322"/>
        <w:gridCol w:w="698"/>
        <w:gridCol w:w="1058"/>
        <w:gridCol w:w="1031"/>
        <w:gridCol w:w="1100"/>
        <w:gridCol w:w="1100"/>
        <w:gridCol w:w="1100"/>
      </w:tblGrid>
      <w:tr>
        <w:trPr>
          <w:tblHeader w:val="0"/>
          <w:cantSplit w:val="0"/>
          <w:trHeight w:val="0" w:hRule="auto"/>
        </w:trPr>
        <w:tc>
          <w:tcPr>
            <w:tcW w:w="1290"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rPr>
                <w:rFonts w:ascii="Calibri" w:hAnsi="Calibri"/>
                <w:b/>
                <w:sz w:val="20"/>
                <w:szCs w:val="20"/>
              </w:rPr>
            </w:pPr>
            <w:r>
              <w:rPr>
                <w:rFonts w:ascii="Calibri" w:hAnsi="Calibri"/>
                <w:b/>
                <w:sz w:val="20"/>
                <w:szCs w:val="20"/>
              </w:rPr>
              <w:t>Name</w:t>
            </w:r>
          </w:p>
        </w:tc>
        <w:tc>
          <w:tcPr>
            <w:tcW w:w="1223"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rPr>
                <w:rFonts w:ascii="Calibri" w:hAnsi="Calibri"/>
                <w:b/>
                <w:sz w:val="20"/>
                <w:szCs w:val="20"/>
              </w:rPr>
            </w:pPr>
            <w:r>
              <w:rPr>
                <w:rFonts w:ascii="Calibri" w:hAnsi="Calibri"/>
                <w:b/>
                <w:sz w:val="20"/>
                <w:szCs w:val="20"/>
              </w:rPr>
              <w:t>Passwort</w:t>
            </w:r>
          </w:p>
        </w:tc>
        <w:tc>
          <w:tcPr>
            <w:tcW w:w="1322"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rPr>
                <w:rFonts w:ascii="Calibri" w:hAnsi="Calibri"/>
                <w:b/>
                <w:sz w:val="20"/>
                <w:szCs w:val="20"/>
              </w:rPr>
            </w:pPr>
            <w:r>
              <w:rPr>
                <w:rFonts w:ascii="Calibri" w:hAnsi="Calibri"/>
                <w:b/>
                <w:sz w:val="20"/>
                <w:szCs w:val="20"/>
              </w:rPr>
              <w:t>Beschreibung</w:t>
            </w:r>
          </w:p>
        </w:tc>
        <w:tc>
          <w:tcPr>
            <w:tcW w:w="698"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rPr>
                <w:rFonts w:ascii="Calibri" w:hAnsi="Calibri"/>
                <w:b/>
                <w:sz w:val="20"/>
                <w:szCs w:val="20"/>
              </w:rPr>
            </w:pPr>
            <w:r>
              <w:rPr>
                <w:rFonts w:ascii="Calibri" w:hAnsi="Calibri"/>
                <w:b/>
                <w:sz w:val="20"/>
                <w:szCs w:val="20"/>
              </w:rPr>
              <w:t>Level</w:t>
            </w:r>
          </w:p>
        </w:tc>
        <w:tc>
          <w:tcPr>
            <w:tcW w:w="1058"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b/>
                <w:sz w:val="20"/>
                <w:szCs w:val="20"/>
              </w:rPr>
            </w:pPr>
            <w:r>
              <w:rPr>
                <w:rFonts w:ascii="Calibri" w:hAnsi="Calibri"/>
                <w:b/>
                <w:sz w:val="20"/>
                <w:szCs w:val="20"/>
              </w:rPr>
              <w:t>VisuButton 1</w:t>
            </w:r>
          </w:p>
        </w:tc>
        <w:tc>
          <w:tcPr>
            <w:tcW w:w="1031"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b/>
                <w:sz w:val="20"/>
                <w:szCs w:val="20"/>
              </w:rPr>
            </w:pPr>
            <w:r>
              <w:rPr>
                <w:rFonts w:ascii="Calibri" w:hAnsi="Calibri"/>
                <w:b/>
                <w:sz w:val="20"/>
                <w:szCs w:val="20"/>
              </w:rPr>
              <w:t>VisuButton 2</w:t>
            </w:r>
          </w:p>
        </w:tc>
        <w:tc>
          <w:tcPr>
            <w:tcW w:w="1100"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b/>
                <w:sz w:val="20"/>
                <w:szCs w:val="20"/>
              </w:rPr>
            </w:pPr>
            <w:r>
              <w:rPr>
                <w:rFonts w:ascii="Calibri" w:hAnsi="Calibri"/>
                <w:b/>
                <w:sz w:val="20"/>
                <w:szCs w:val="20"/>
              </w:rPr>
              <w:t>VisuButton 3</w:t>
            </w:r>
          </w:p>
        </w:tc>
        <w:tc>
          <w:tcPr>
            <w:tcW w:w="1100"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b/>
                <w:sz w:val="20"/>
                <w:szCs w:val="20"/>
              </w:rPr>
            </w:pPr>
            <w:r>
              <w:rPr>
                <w:rFonts w:ascii="Calibri" w:hAnsi="Calibri"/>
                <w:b/>
                <w:sz w:val="20"/>
                <w:szCs w:val="20"/>
              </w:rPr>
              <w:t>VisuButton 4</w:t>
            </w:r>
          </w:p>
        </w:tc>
        <w:tc>
          <w:tcPr>
            <w:tcW w:w="1100"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b/>
                <w:sz w:val="20"/>
                <w:szCs w:val="20"/>
              </w:rPr>
            </w:pPr>
            <w:r>
              <w:rPr>
                <w:rFonts w:ascii="Calibri" w:hAnsi="Calibri"/>
                <w:b/>
                <w:sz w:val="20"/>
                <w:szCs w:val="20"/>
              </w:rPr>
              <w:t>VisuButton 5</w:t>
            </w:r>
          </w:p>
        </w:tc>
      </w:tr>
      <w:tr>
        <w:trPr>
          <w:tblHeader w:val="0"/>
          <w:cantSplit w:val="0"/>
          <w:trHeight w:val="0" w:hRule="auto"/>
        </w:trPr>
        <w:tc>
          <w:tcPr>
            <w:tcW w:w="1290"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rPr>
                <w:rFonts w:ascii="Calibri" w:hAnsi="Calibri" w:eastAsia="Calibri" w:cs="Calibri"/>
                <w:sz w:val="20"/>
                <w:szCs w:val="20"/>
              </w:rPr>
            </w:pPr>
            <w:r>
              <w:rPr>
                <w:rFonts w:ascii="Calibri" w:hAnsi="Calibri" w:eastAsia="Calibri" w:cs="Calibri"/>
                <w:sz w:val="20"/>
                <w:szCs w:val="20"/>
              </w:rPr>
              <w:t>Service</w:t>
            </w:r>
          </w:p>
        </w:tc>
        <w:tc>
          <w:tcPr>
            <w:tcW w:w="1223"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rPr>
                <w:rFonts w:ascii="Calibri" w:hAnsi="Calibri" w:eastAsia="Calibri" w:cs="Calibri"/>
                <w:sz w:val="20"/>
                <w:szCs w:val="20"/>
              </w:rPr>
            </w:pPr>
            <w:r>
              <w:rPr>
                <w:rFonts w:ascii="Calibri" w:hAnsi="Calibri" w:eastAsia="Calibri" w:cs="Calibri"/>
                <w:sz w:val="20"/>
                <w:szCs w:val="20"/>
              </w:rPr>
              <w:t>aes</w:t>
            </w:r>
          </w:p>
        </w:tc>
        <w:tc>
          <w:tcPr>
            <w:tcW w:w="1322"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rPr>
                <w:rFonts w:ascii="Calibri" w:hAnsi="Calibri" w:eastAsia="Calibri" w:cs="Calibri"/>
                <w:sz w:val="20"/>
                <w:szCs w:val="20"/>
              </w:rPr>
            </w:pPr>
            <w:r>
              <w:rPr>
                <w:rFonts w:ascii="Calibri" w:hAnsi="Calibri" w:eastAsia="Calibri" w:cs="Calibri"/>
                <w:sz w:val="20"/>
                <w:szCs w:val="20"/>
              </w:rPr>
              <w:t>Hersteller</w:t>
            </w:r>
          </w:p>
        </w:tc>
        <w:tc>
          <w:tcPr>
            <w:tcW w:w="698"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rPr>
                <w:rFonts w:ascii="Calibri" w:hAnsi="Calibri" w:eastAsia="Calibri" w:cs="Calibri"/>
                <w:sz w:val="20"/>
                <w:szCs w:val="20"/>
              </w:rPr>
            </w:pPr>
            <w:r>
              <w:rPr>
                <w:rFonts w:ascii="Calibri" w:hAnsi="Calibri" w:eastAsia="Calibri" w:cs="Calibri"/>
                <w:sz w:val="20"/>
                <w:szCs w:val="20"/>
              </w:rPr>
              <w:t>1</w:t>
            </w:r>
          </w:p>
        </w:tc>
        <w:tc>
          <w:tcPr>
            <w:tcW w:w="1058"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t>x</w:t>
            </w:r>
          </w:p>
        </w:tc>
        <w:tc>
          <w:tcPr>
            <w:tcW w:w="1031"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t>x</w:t>
            </w:r>
          </w:p>
        </w:tc>
        <w:tc>
          <w:tcPr>
            <w:tcW w:w="1100"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t>x</w:t>
            </w:r>
          </w:p>
        </w:tc>
        <w:tc>
          <w:tcPr>
            <w:tcW w:w="1100"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t>x</w:t>
            </w:r>
          </w:p>
        </w:tc>
        <w:tc>
          <w:tcPr>
            <w:tcW w:w="1100"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t>x</w:t>
            </w:r>
          </w:p>
        </w:tc>
      </w:tr>
      <w:tr>
        <w:trPr>
          <w:tblHeader w:val="0"/>
          <w:cantSplit w:val="0"/>
          <w:trHeight w:val="0" w:hRule="auto"/>
        </w:trPr>
        <w:tc>
          <w:tcPr>
            <w:tcW w:w="1290"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rPr>
                <w:rFonts w:ascii="Calibri" w:hAnsi="Calibri" w:eastAsia="Calibri" w:cs="Calibri"/>
                <w:sz w:val="20"/>
                <w:szCs w:val="20"/>
              </w:rPr>
            </w:pPr>
            <w:r>
              <w:rPr>
                <w:rFonts w:ascii="Calibri" w:hAnsi="Calibri" w:eastAsia="Calibri" w:cs="Calibri"/>
                <w:sz w:val="20"/>
                <w:szCs w:val="20"/>
              </w:rPr>
              <w:t>administrator</w:t>
            </w:r>
          </w:p>
        </w:tc>
        <w:tc>
          <w:tcPr>
            <w:tcW w:w="1223"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rPr>
                <w:rFonts w:ascii="Calibri" w:hAnsi="Calibri" w:eastAsia="Calibri" w:cs="Calibri"/>
                <w:sz w:val="20"/>
                <w:szCs w:val="20"/>
              </w:rPr>
            </w:pPr>
            <w:r>
              <w:rPr>
                <w:rFonts w:ascii="Calibri" w:hAnsi="Calibri" w:eastAsia="Calibri" w:cs="Calibri"/>
                <w:sz w:val="20"/>
                <w:szCs w:val="20"/>
              </w:rPr>
              <w:t>administrator</w:t>
            </w:r>
          </w:p>
        </w:tc>
        <w:tc>
          <w:tcPr>
            <w:tcW w:w="1322"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rPr>
                <w:rFonts w:ascii="Calibri" w:hAnsi="Calibri" w:eastAsia="Calibri" w:cs="Calibri"/>
                <w:sz w:val="20"/>
                <w:szCs w:val="20"/>
              </w:rPr>
            </w:pPr>
            <w:r>
              <w:rPr>
                <w:rFonts w:ascii="Calibri" w:hAnsi="Calibri" w:eastAsia="Calibri" w:cs="Calibri"/>
                <w:sz w:val="20"/>
                <w:szCs w:val="20"/>
              </w:rPr>
              <w:t>Kunden-Admin</w:t>
            </w:r>
          </w:p>
        </w:tc>
        <w:tc>
          <w:tcPr>
            <w:tcW w:w="698"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rPr>
                <w:rFonts w:ascii="Calibri" w:hAnsi="Calibri" w:eastAsia="Calibri" w:cs="Calibri"/>
                <w:sz w:val="20"/>
                <w:szCs w:val="20"/>
              </w:rPr>
            </w:pPr>
            <w:r>
              <w:rPr>
                <w:rFonts w:ascii="Calibri" w:hAnsi="Calibri" w:eastAsia="Calibri" w:cs="Calibri"/>
                <w:sz w:val="20"/>
                <w:szCs w:val="20"/>
              </w:rPr>
              <w:t>2</w:t>
            </w:r>
          </w:p>
        </w:tc>
        <w:tc>
          <w:tcPr>
            <w:tcW w:w="1058"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t>x</w:t>
            </w:r>
          </w:p>
        </w:tc>
        <w:tc>
          <w:tcPr>
            <w:tcW w:w="1031"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t>x</w:t>
            </w:r>
          </w:p>
        </w:tc>
        <w:tc>
          <w:tcPr>
            <w:tcW w:w="1100"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t>x</w:t>
            </w:r>
          </w:p>
        </w:tc>
        <w:tc>
          <w:tcPr>
            <w:tcW w:w="1100"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t>x</w:t>
            </w:r>
          </w:p>
        </w:tc>
        <w:tc>
          <w:tcPr>
            <w:tcW w:w="1100"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t>-</w:t>
            </w:r>
          </w:p>
        </w:tc>
      </w:tr>
      <w:tr>
        <w:trPr>
          <w:tblHeader w:val="0"/>
          <w:cantSplit w:val="0"/>
          <w:trHeight w:val="0" w:hRule="auto"/>
        </w:trPr>
        <w:tc>
          <w:tcPr>
            <w:tcW w:w="1290"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rPr>
                <w:rFonts w:ascii="Calibri" w:hAnsi="Calibri" w:eastAsia="Calibri" w:cs="Calibri"/>
                <w:sz w:val="20"/>
                <w:szCs w:val="20"/>
              </w:rPr>
            </w:pPr>
            <w:r>
              <w:rPr>
                <w:rFonts w:ascii="Calibri" w:hAnsi="Calibri" w:eastAsia="Calibri" w:cs="Calibri"/>
                <w:sz w:val="20"/>
                <w:szCs w:val="20"/>
              </w:rPr>
              <w:t>Vorarbeiter (foreman)</w:t>
            </w:r>
          </w:p>
        </w:tc>
        <w:tc>
          <w:tcPr>
            <w:tcW w:w="1223"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rPr>
                <w:rFonts w:ascii="Calibri" w:hAnsi="Calibri" w:eastAsia="Calibri" w:cs="Calibri"/>
                <w:sz w:val="20"/>
                <w:szCs w:val="20"/>
              </w:rPr>
            </w:pPr>
            <w:r>
              <w:rPr>
                <w:rFonts w:ascii="Calibri" w:hAnsi="Calibri" w:eastAsia="Calibri" w:cs="Calibri"/>
                <w:sz w:val="20"/>
                <w:szCs w:val="20"/>
              </w:rPr>
              <w:t>foreman</w:t>
            </w:r>
          </w:p>
        </w:tc>
        <w:tc>
          <w:tcPr>
            <w:tcW w:w="1322"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rPr>
                <w:rFonts w:ascii="Calibri" w:hAnsi="Calibri" w:eastAsia="Calibri" w:cs="Calibri"/>
                <w:sz w:val="20"/>
                <w:szCs w:val="20"/>
              </w:rPr>
            </w:pPr>
            <w:r>
              <w:rPr>
                <w:rFonts w:ascii="Calibri" w:hAnsi="Calibri" w:eastAsia="Calibri" w:cs="Calibri"/>
                <w:sz w:val="20"/>
                <w:szCs w:val="20"/>
              </w:rPr>
              <w:t> </w:t>
            </w:r>
          </w:p>
        </w:tc>
        <w:tc>
          <w:tcPr>
            <w:tcW w:w="698"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rPr>
                <w:rFonts w:ascii="Calibri" w:hAnsi="Calibri" w:eastAsia="Calibri" w:cs="Calibri"/>
                <w:sz w:val="20"/>
                <w:szCs w:val="20"/>
              </w:rPr>
            </w:pPr>
            <w:r>
              <w:rPr>
                <w:rFonts w:ascii="Calibri" w:hAnsi="Calibri" w:eastAsia="Calibri" w:cs="Calibri"/>
                <w:sz w:val="20"/>
                <w:szCs w:val="20"/>
              </w:rPr>
              <w:t>3</w:t>
            </w:r>
          </w:p>
        </w:tc>
        <w:tc>
          <w:tcPr>
            <w:tcW w:w="1058"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t>x</w:t>
            </w:r>
          </w:p>
        </w:tc>
        <w:tc>
          <w:tcPr>
            <w:tcW w:w="1031"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t>x</w:t>
            </w:r>
          </w:p>
        </w:tc>
        <w:tc>
          <w:tcPr>
            <w:tcW w:w="1100"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t>x</w:t>
            </w:r>
          </w:p>
        </w:tc>
        <w:tc>
          <w:tcPr>
            <w:tcW w:w="1100"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t>-</w:t>
            </w:r>
          </w:p>
        </w:tc>
        <w:tc>
          <w:tcPr>
            <w:tcW w:w="1100"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t>-</w:t>
            </w:r>
          </w:p>
        </w:tc>
      </w:tr>
      <w:tr>
        <w:trPr>
          <w:tblHeader w:val="0"/>
          <w:cantSplit w:val="0"/>
          <w:trHeight w:val="0" w:hRule="auto"/>
        </w:trPr>
        <w:tc>
          <w:tcPr>
            <w:tcW w:w="1290"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rPr>
                <w:rFonts w:ascii="Calibri" w:hAnsi="Calibri" w:eastAsia="Calibri" w:cs="Calibri"/>
                <w:sz w:val="20"/>
                <w:szCs w:val="20"/>
              </w:rPr>
            </w:pPr>
            <w:r>
              <w:rPr>
                <w:rFonts w:ascii="Calibri" w:hAnsi="Calibri" w:eastAsia="Calibri" w:cs="Calibri"/>
                <w:sz w:val="20"/>
                <w:szCs w:val="20"/>
              </w:rPr>
              <w:t>Bediener (operator)</w:t>
            </w:r>
          </w:p>
        </w:tc>
        <w:tc>
          <w:tcPr>
            <w:tcW w:w="1223"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rPr>
                <w:rFonts w:ascii="Calibri" w:hAnsi="Calibri" w:eastAsia="Calibri" w:cs="Calibri"/>
                <w:sz w:val="20"/>
                <w:szCs w:val="20"/>
              </w:rPr>
            </w:pPr>
            <w:r>
              <w:rPr>
                <w:rFonts w:ascii="Calibri" w:hAnsi="Calibri" w:eastAsia="Calibri" w:cs="Calibri"/>
                <w:sz w:val="20"/>
                <w:szCs w:val="20"/>
              </w:rPr>
              <w:t>operator</w:t>
            </w:r>
          </w:p>
        </w:tc>
        <w:tc>
          <w:tcPr>
            <w:tcW w:w="1322"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rPr>
                <w:rFonts w:ascii="Calibri" w:hAnsi="Calibri" w:eastAsia="Calibri" w:cs="Calibri"/>
                <w:sz w:val="20"/>
                <w:szCs w:val="20"/>
              </w:rPr>
            </w:pPr>
            <w:r>
              <w:rPr>
                <w:rFonts w:ascii="Calibri" w:hAnsi="Calibri" w:eastAsia="Calibri" w:cs="Calibri"/>
                <w:sz w:val="20"/>
                <w:szCs w:val="20"/>
              </w:rPr>
              <w:t> </w:t>
            </w:r>
          </w:p>
        </w:tc>
        <w:tc>
          <w:tcPr>
            <w:tcW w:w="698"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rPr>
                <w:rFonts w:ascii="Calibri" w:hAnsi="Calibri" w:eastAsia="Calibri" w:cs="Calibri"/>
                <w:sz w:val="20"/>
                <w:szCs w:val="20"/>
              </w:rPr>
            </w:pPr>
            <w:r>
              <w:rPr>
                <w:rFonts w:ascii="Calibri" w:hAnsi="Calibri" w:eastAsia="Calibri" w:cs="Calibri"/>
                <w:sz w:val="20"/>
                <w:szCs w:val="20"/>
              </w:rPr>
              <w:t>4</w:t>
            </w:r>
          </w:p>
        </w:tc>
        <w:tc>
          <w:tcPr>
            <w:tcW w:w="1058"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t>x</w:t>
            </w:r>
          </w:p>
        </w:tc>
        <w:tc>
          <w:tcPr>
            <w:tcW w:w="1031"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t>x</w:t>
            </w:r>
          </w:p>
        </w:tc>
        <w:tc>
          <w:tcPr>
            <w:tcW w:w="1100"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t>-</w:t>
            </w:r>
          </w:p>
        </w:tc>
        <w:tc>
          <w:tcPr>
            <w:tcW w:w="1100"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t>-</w:t>
            </w:r>
          </w:p>
        </w:tc>
        <w:tc>
          <w:tcPr>
            <w:tcW w:w="1100"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t>-</w:t>
            </w:r>
          </w:p>
        </w:tc>
      </w:tr>
      <w:tr>
        <w:trPr>
          <w:tblHeader w:val="0"/>
          <w:cantSplit w:val="0"/>
          <w:trHeight w:val="0" w:hRule="auto"/>
        </w:trPr>
        <w:tc>
          <w:tcPr>
            <w:tcW w:w="1290"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rPr>
                <w:rFonts w:ascii="Calibri" w:hAnsi="Calibri" w:eastAsia="Calibri" w:cs="Calibri"/>
                <w:sz w:val="20"/>
                <w:szCs w:val="20"/>
              </w:rPr>
            </w:pPr>
            <w:r>
              <w:rPr>
                <w:rFonts w:ascii="Calibri" w:hAnsi="Calibri" w:eastAsia="Calibri" w:cs="Calibri"/>
                <w:sz w:val="20"/>
                <w:szCs w:val="20"/>
              </w:rPr>
              <w:t>Gast (guest)</w:t>
            </w:r>
          </w:p>
        </w:tc>
        <w:tc>
          <w:tcPr>
            <w:tcW w:w="1223"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rPr>
                <w:rFonts w:ascii="Calibri" w:hAnsi="Calibri" w:eastAsia="Calibri" w:cs="Calibri"/>
                <w:sz w:val="20"/>
                <w:szCs w:val="20"/>
              </w:rPr>
            </w:pPr>
            <w:r>
              <w:rPr>
                <w:rFonts w:ascii="Calibri" w:hAnsi="Calibri" w:eastAsia="Calibri" w:cs="Calibri"/>
                <w:sz w:val="20"/>
                <w:szCs w:val="20"/>
              </w:rPr>
              <w:t>guest</w:t>
            </w:r>
          </w:p>
        </w:tc>
        <w:tc>
          <w:tcPr>
            <w:tcW w:w="1322"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rPr>
                <w:rFonts w:ascii="Calibri" w:hAnsi="Calibri" w:eastAsia="Calibri" w:cs="Calibri"/>
                <w:sz w:val="20"/>
                <w:szCs w:val="20"/>
              </w:rPr>
            </w:pPr>
            <w:r>
              <w:rPr>
                <w:rFonts w:ascii="Calibri" w:hAnsi="Calibri" w:eastAsia="Calibri" w:cs="Calibri"/>
                <w:sz w:val="20"/>
                <w:szCs w:val="20"/>
              </w:rPr>
              <w:t> </w:t>
            </w:r>
          </w:p>
        </w:tc>
        <w:tc>
          <w:tcPr>
            <w:tcW w:w="698"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rPr>
                <w:rFonts w:ascii="Calibri" w:hAnsi="Calibri" w:eastAsia="Calibri" w:cs="Calibri"/>
                <w:sz w:val="20"/>
                <w:szCs w:val="20"/>
              </w:rPr>
            </w:pPr>
            <w:r>
              <w:rPr>
                <w:rFonts w:ascii="Calibri" w:hAnsi="Calibri" w:eastAsia="Calibri" w:cs="Calibri"/>
                <w:sz w:val="20"/>
                <w:szCs w:val="20"/>
              </w:rPr>
              <w:t>5</w:t>
            </w:r>
          </w:p>
        </w:tc>
        <w:tc>
          <w:tcPr>
            <w:tcW w:w="1058"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t>x</w:t>
            </w:r>
          </w:p>
        </w:tc>
        <w:tc>
          <w:tcPr>
            <w:tcW w:w="1031"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t>-</w:t>
            </w:r>
          </w:p>
        </w:tc>
        <w:tc>
          <w:tcPr>
            <w:tcW w:w="1100"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t>-</w:t>
            </w:r>
          </w:p>
        </w:tc>
        <w:tc>
          <w:tcPr>
            <w:tcW w:w="1100"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t>-</w:t>
            </w:r>
          </w:p>
        </w:tc>
        <w:tc>
          <w:tcPr>
            <w:tcW w:w="1100"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t>-</w:t>
            </w:r>
          </w:p>
        </w:tc>
      </w:tr>
      <w:tr>
        <w:trPr>
          <w:tblHeader w:val="0"/>
          <w:cantSplit w:val="0"/>
          <w:trHeight w:val="0" w:hRule="auto"/>
        </w:trPr>
        <w:tc>
          <w:tcPr>
            <w:tcW w:w="1290"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rPr>
                <w:rFonts w:ascii="Calibri" w:hAnsi="Calibri" w:eastAsia="Calibri" w:cs="Calibri"/>
                <w:sz w:val="20"/>
                <w:szCs w:val="20"/>
              </w:rPr>
            </w:pPr>
            <w:r>
              <w:rPr>
                <w:rFonts w:ascii="Calibri" w:hAnsi="Calibri" w:eastAsia="Calibri" w:cs="Calibri"/>
                <w:sz w:val="20"/>
                <w:szCs w:val="20"/>
              </w:rPr>
              <w:t> </w:t>
            </w:r>
          </w:p>
        </w:tc>
        <w:tc>
          <w:tcPr>
            <w:tcW w:w="1223"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rPr>
                <w:rFonts w:ascii="Calibri" w:hAnsi="Calibri" w:eastAsia="Calibri" w:cs="Calibri"/>
                <w:sz w:val="20"/>
                <w:szCs w:val="20"/>
              </w:rPr>
            </w:pPr>
            <w:r>
              <w:rPr>
                <w:rFonts w:ascii="Calibri" w:hAnsi="Calibri" w:eastAsia="Calibri" w:cs="Calibri"/>
                <w:sz w:val="20"/>
                <w:szCs w:val="20"/>
              </w:rPr>
              <w:t> </w:t>
            </w:r>
          </w:p>
        </w:tc>
        <w:tc>
          <w:tcPr>
            <w:tcW w:w="1322"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rPr>
                <w:rFonts w:ascii="Calibri" w:hAnsi="Calibri" w:eastAsia="Calibri" w:cs="Calibri"/>
                <w:sz w:val="20"/>
                <w:szCs w:val="20"/>
              </w:rPr>
            </w:pPr>
            <w:r>
              <w:rPr>
                <w:rFonts w:ascii="Calibri" w:hAnsi="Calibri" w:eastAsia="Calibri" w:cs="Calibri"/>
                <w:sz w:val="20"/>
                <w:szCs w:val="20"/>
              </w:rPr>
              <w:t> </w:t>
            </w:r>
          </w:p>
        </w:tc>
        <w:tc>
          <w:tcPr>
            <w:tcW w:w="698"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rPr>
                <w:rFonts w:ascii="Calibri" w:hAnsi="Calibri" w:eastAsia="Calibri" w:cs="Calibri"/>
                <w:sz w:val="20"/>
                <w:szCs w:val="20"/>
              </w:rPr>
            </w:pPr>
            <w:r>
              <w:rPr>
                <w:rFonts w:ascii="Calibri" w:hAnsi="Calibri" w:eastAsia="Calibri" w:cs="Calibri"/>
                <w:sz w:val="20"/>
                <w:szCs w:val="20"/>
              </w:rPr>
              <w:t> </w:t>
            </w:r>
          </w:p>
        </w:tc>
        <w:tc>
          <w:tcPr>
            <w:tcW w:w="1058"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t> </w:t>
            </w:r>
          </w:p>
        </w:tc>
        <w:tc>
          <w:tcPr>
            <w:tcW w:w="1031"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t>Anlage Einschalten</w:t>
            </w:r>
          </w:p>
        </w:tc>
        <w:tc>
          <w:tcPr>
            <w:tcW w:w="1100"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t> </w:t>
            </w:r>
          </w:p>
        </w:tc>
        <w:tc>
          <w:tcPr>
            <w:tcW w:w="1100"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r>
          </w:p>
        </w:tc>
        <w:tc>
          <w:tcPr>
            <w:tcW w:w="1100" w:type="dxa"/>
            <w:tcMar>
              <w:top w:w="80" w:type="dxa"/>
              <w:left w:w="80" w:type="dxa"/>
              <w:bottom w:w="80" w:type="dxa"/>
              <w:right w:w="80" w:type="dxa"/>
            </w:tcMar>
            <w:tcBorders>
              <w:top w:val="single" w:sz="8" w:space="0" w:color="A3A3A3" tmln="20, 20, 20, 0, 0"/>
              <w:left w:val="single" w:sz="8" w:space="0" w:color="A3A3A3" tmln="20, 20, 20, 0, 0"/>
              <w:bottom w:val="single" w:sz="8" w:space="0" w:color="A3A3A3" tmln="20, 20, 20, 0, 0"/>
              <w:right w:val="single" w:sz="8" w:space="0" w:color="A3A3A3" tmln="20, 20, 20, 0, 0"/>
            </w:tcBorders>
            <w:tmTcPr id="1634634931" protected="0"/>
          </w:tcPr>
          <w:p>
            <w:pPr>
              <w:spacing/>
              <w:jc w:val="center"/>
              <w:rPr>
                <w:rFonts w:ascii="Calibri" w:hAnsi="Calibri" w:eastAsia="Calibri" w:cs="Calibri"/>
                <w:sz w:val="20"/>
                <w:szCs w:val="20"/>
              </w:rPr>
            </w:pPr>
            <w:r>
              <w:rPr>
                <w:rFonts w:ascii="Calibri" w:hAnsi="Calibri" w:eastAsia="Calibri" w:cs="Calibri"/>
                <w:sz w:val="20"/>
                <w:szCs w:val="20"/>
              </w:rPr>
            </w:r>
          </w:p>
        </w:tc>
      </w:tr>
    </w:tbl>
    <w:p>
      <w:r>
        <w:t> </w:t>
      </w:r>
    </w:p>
    <w:p>
      <w:r>
        <w:t>Die höhere Bedienebene hat in der Regel die Möglichkeiten der niedrigeren.</w:t>
      </w:r>
    </w:p>
    <w:p>
      <w:pPr>
        <w:pStyle w:val="para2"/>
        <w:numPr>
          <w:ilvl w:val="1"/>
          <w:numId w:val="9"/>
        </w:numPr>
        <w:ind w:left="576" w:hanging="576"/>
        <w:rPr>
          <w:lang w:bidi="hi-in"/>
        </w:rPr>
      </w:pPr>
      <w:r>
        <w:br w:type="page"/>
      </w:r>
      <w:bookmarkStart w:id="35" w:name="_TOC000037"/>
      <w:r>
        <w:rPr>
          <w:lang w:bidi="hi-in"/>
        </w:rPr>
      </w:r>
      <w:r/>
      <w:bookmarkStart w:id="36" w:name="_TOC000019"/>
      <w:r/>
      <w:r>
        <w:rPr>
          <w:lang w:bidi="hi-in"/>
        </w:rPr>
        <w:t>Kurzanleitung Regler Prüfgutschutz</w:t>
      </w:r>
      <w:r/>
      <w:bookmarkEnd w:id="36"/>
      <w:r/>
      <w:r>
        <w:rPr>
          <w:lang w:bidi="hi-in"/>
        </w:rPr>
      </w:r>
      <w:bookmarkEnd w:id="35"/>
      <w:r>
        <w:rPr>
          <w:lang w:bidi="hi-in"/>
        </w:rPr>
      </w:r>
    </w:p>
    <w:p>
      <w:pPr>
        <w:rPr>
          <w:rFonts w:ascii="Arial" w:hAnsi="Arial" w:eastAsia="SimSun" w:cs="Arial"/>
          <w:sz w:val="20"/>
          <w:szCs w:val="20"/>
          <w:lang w:bidi="hi-in"/>
        </w:rPr>
      </w:pPr>
      <w:r>
        <w:rPr>
          <w:rFonts w:ascii="Arial" w:hAnsi="Arial" w:eastAsia="SimSun" w:cs="Arial"/>
          <w:sz w:val="20"/>
          <w:szCs w:val="20"/>
          <w:lang w:bidi="hi-in"/>
        </w:rPr>
      </w:r>
    </w:p>
    <w:p>
      <w:pPr>
        <w:rPr>
          <w:rFonts w:eastAsia="SimSun" w:cs="Arial"/>
          <w:lang w:bidi="hi-in"/>
        </w:rPr>
      </w:pPr>
      <w:r>
        <w:rPr>
          <w:rFonts w:eastAsia="SimSun" w:cs="Arial"/>
          <w:lang w:bidi="hi-in"/>
        </w:rPr>
        <w:t>Grundsätzlich ist der Regler Prüfgutschutz ein Universalregler mit zwei voneinander unabhängigen Schaltwerten. Es gibt 3 Tasten: Pfeil auf ˄, Pfeil ab ˅ und P.</w:t>
      </w:r>
    </w:p>
    <w:p>
      <w:pPr>
        <w:rPr>
          <w:rFonts w:eastAsia="SimSun" w:cs="Arial"/>
          <w:lang w:bidi="hi-in"/>
        </w:rPr>
      </w:pPr>
      <w:r>
        <w:rPr>
          <w:rFonts w:eastAsia="SimSun" w:cs="Arial"/>
          <w:lang w:bidi="hi-in"/>
        </w:rPr>
        <w:t>Mit der Taste P wird zwischen Parameternummern und den zugehörigen Werten umgeschaltet.</w:t>
      </w:r>
    </w:p>
    <w:p>
      <w:pPr>
        <w:rPr>
          <w:rFonts w:eastAsia="SimSun" w:cs="Arial"/>
          <w:lang w:bidi="hi-in"/>
        </w:rPr>
      </w:pPr>
      <w:r>
        <w:rPr>
          <w:rFonts w:eastAsia="SimSun" w:cs="Arial"/>
          <w:lang w:bidi="hi-in"/>
        </w:rPr>
        <w:t>Nach dem Einschalten wird die vom Fühler im Prüfraum gemessene Temperatur angezeigt. Das entspricht dem Parameter P01.</w:t>
      </w:r>
    </w:p>
    <w:p>
      <w:pPr>
        <w:rPr>
          <w:rFonts w:eastAsia="SimSun" w:cs="Arial"/>
          <w:lang w:bidi="hi-in"/>
        </w:rPr>
      </w:pPr>
      <w:r>
        <w:rPr>
          <w:rFonts w:eastAsia="SimSun" w:cs="Arial"/>
          <w:lang w:bidi="hi-in"/>
        </w:rPr>
        <w:t xml:space="preserve">Drücken Sie auf die Taste „P“. Jetzt wird „P01“ angezeigt. </w:t>
      </w:r>
    </w:p>
    <w:p>
      <w:pPr>
        <w:pStyle w:val="para3"/>
        <w:numPr>
          <w:ilvl w:val="2"/>
          <w:numId w:val="9"/>
        </w:numPr>
        <w:ind w:left="720" w:hanging="720"/>
      </w:pPr>
      <w:bookmarkStart w:id="37" w:name="_TOC000020"/>
      <w:r>
        <w:t>Heizen</w:t>
      </w:r>
      <w:bookmarkEnd w:id="37"/>
      <w:r/>
    </w:p>
    <w:p>
      <w:pPr>
        <w:rPr>
          <w:rFonts w:eastAsia="SimSun" w:cs="Arial"/>
          <w:lang w:bidi="hi-in"/>
        </w:rPr>
      </w:pPr>
      <w:r>
        <w:rPr>
          <w:rFonts w:eastAsia="SimSun" w:cs="Arial"/>
          <w:lang w:bidi="hi-in"/>
        </w:rPr>
        <w:t>Mit den Pfeiltasten zu „P03“ navigieren und wieder die Taste „P“ drücken. Jetzt wird der Maximal-Schaltwert angezeigt. Dieser kann mit den Pfeiltasten verändert werden und wird durch Drücken der Taste „P“ übernommen.</w:t>
      </w:r>
    </w:p>
    <w:p>
      <w:pPr>
        <w:pStyle w:val="para3"/>
        <w:numPr>
          <w:ilvl w:val="2"/>
          <w:numId w:val="9"/>
        </w:numPr>
        <w:ind w:left="720" w:hanging="720"/>
      </w:pPr>
      <w:bookmarkStart w:id="38" w:name="_TOC000021"/>
      <w:r>
        <w:t>Kühlen</w:t>
      </w:r>
      <w:bookmarkEnd w:id="38"/>
      <w:r/>
    </w:p>
    <w:p>
      <w:pPr>
        <w:rPr>
          <w:rFonts w:eastAsia="SimSun" w:cs="Arial"/>
          <w:lang w:bidi="hi-in"/>
        </w:rPr>
      </w:pPr>
      <w:r>
        <w:rPr>
          <w:rFonts w:eastAsia="SimSun" w:cs="Arial"/>
          <w:lang w:bidi="hi-in"/>
        </w:rPr>
        <w:t>Mit den Pfeiltasten zu „P04“ navigieren und wieder die Taste „P“ drücken. Jetzt ist der Minimal-Schaltwert zu sehen.</w:t>
      </w:r>
    </w:p>
    <w:p>
      <w:pPr>
        <w:rPr>
          <w:rFonts w:eastAsia="SimSun" w:cs="Arial"/>
          <w:lang w:bidi="hi-in"/>
        </w:rPr>
      </w:pPr>
      <w:r>
        <w:rPr>
          <w:rFonts w:eastAsia="SimSun" w:cs="Arial"/>
          <w:lang w:bidi="hi-in"/>
        </w:rPr>
      </w:r>
    </w:p>
    <w:p>
      <w:pPr>
        <w:rPr>
          <w:rFonts w:eastAsia="SimSun" w:cs="Arial"/>
          <w:lang w:bidi="hi-in"/>
        </w:rPr>
      </w:pPr>
      <w:r>
        <w:rPr>
          <w:rFonts w:eastAsia="SimSun" w:cs="Arial"/>
          <w:lang w:bidi="hi-in"/>
        </w:rPr>
        <w:t>Die Werte sind durch einen Sicherheitscode geschützt. Drückt man eine Pfeiltaste, um den Wert zu ändern, erscheint „C00“. Nun muss mit den Pfeiltasten „C88“ eingestellt und wieder die Taste „P“ gedrückt werden. Dann lässt sich der Wert verstellen. Bestätigen wieder mit „P“.</w:t>
      </w:r>
    </w:p>
    <w:p>
      <w:pPr>
        <w:rPr>
          <w:rFonts w:eastAsia="SimSun" w:cs="Arial"/>
          <w:lang w:bidi="hi-in"/>
        </w:rPr>
      </w:pPr>
      <w:r>
        <w:rPr>
          <w:rFonts w:eastAsia="SimSun" w:cs="Arial"/>
          <w:lang w:bidi="hi-in"/>
        </w:rPr>
        <w:t>Um wieder die aktuelle Temperatur zu sehen, muss zu „P01“ navigiert und abschließend noch einmal die Taste „P“ gedrückt werden.</w:t>
      </w:r>
    </w:p>
    <w:p>
      <w:pPr>
        <w:pStyle w:val="para2"/>
        <w:numPr>
          <w:ilvl w:val="1"/>
          <w:numId w:val="9"/>
        </w:numPr>
        <w:ind w:left="576" w:hanging="576"/>
      </w:pPr>
      <w:r>
        <w:br w:type="page"/>
      </w:r>
      <w:bookmarkStart w:id="39" w:name="_REF000002"/>
      <w:r>
        <w:t>Alarme</w:t>
      </w:r>
      <w:bookmarkEnd w:id="39"/>
      <w:r/>
    </w:p>
    <w:p>
      <w:pPr>
        <w:pStyle w:val="para15"/>
      </w:pPr>
      <w:r>
        <w:tab/>
        <w:tab/>
        <w:tab/>
        <w:tab/>
        <w:tab/>
        <w:tab/>
        <w:tab/>
      </w:r>
    </w:p>
    <w:p>
      <w:pPr>
        <w:pStyle w:val="para15"/>
      </w:pPr>
      <w:r/>
    </w:p>
    <w:p>
      <w:pPr>
        <w:pStyle w:val="para15"/>
      </w:pPr>
      <w:r>
        <w:rPr>
          <w:noProof/>
        </w:rPr>
        <w:drawing>
          <wp:anchor distT="0" distB="635" distL="114300" distR="114300" simplePos="0" relativeHeight="251658265" behindDoc="0" locked="0" layoutInCell="0" hidden="0" allowOverlap="1">
            <wp:simplePos x="0" y="0"/>
            <wp:positionH relativeFrom="column">
              <wp:posOffset>445770</wp:posOffset>
            </wp:positionH>
            <wp:positionV relativeFrom="paragraph">
              <wp:posOffset>635</wp:posOffset>
            </wp:positionV>
            <wp:extent cx="504190" cy="494665"/>
            <wp:effectExtent l="0" t="0" r="0" b="0"/>
            <wp:wrapNone/>
            <wp:docPr id="25" name="Grafi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afik 35"/>
                    <pic:cNvPicPr>
                      <a:picLocks noChangeAspect="1"/>
                      <a:extLst>
                        <a:ext uri="smNativeData">
                          <sm:smNativeData xmlns:sm="smNativeData" val="SMDATA_17_s4xuYR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2AQAAAKAAACAAAAAAAAAAAAAAAAIAAAC+AgAAAAAAAAIAAAABAAAAGgMAAAsDAAAeAAAAnwYAAKIJAAAoAAAACAAAAAEAAAABAAAAMAAAABQAAAAAAAAAAAD//wAAAQAAAP//AAABAA=="/>
                        </a:ext>
                      </a:extLst>
                    </pic:cNvPicPr>
                  </pic:nvPicPr>
                  <pic:blipFill>
                    <a:blip r:embed="rId20"/>
                    <a:stretch>
                      <a:fillRect/>
                    </a:stretch>
                  </pic:blipFill>
                  <pic:spPr>
                    <a:xfrm>
                      <a:off x="0" y="0"/>
                      <a:ext cx="504190" cy="494665"/>
                    </a:xfrm>
                    <a:prstGeom prst="rect">
                      <a:avLst/>
                    </a:prstGeom>
                    <a:noFill/>
                    <a:ln w="12700">
                      <a:noFill/>
                    </a:ln>
                  </pic:spPr>
                </pic:pic>
              </a:graphicData>
            </a:graphic>
          </wp:anchor>
        </w:drawing>
      </w:r>
      <w:r>
        <w:tab/>
        <w:tab/>
        <w:tab/>
        <w:tab/>
        <w:tab/>
      </w:r>
      <w:r>
        <w:rPr>
          <w:noProof/>
        </w:rPr>
        <w:drawing>
          <wp:inline distT="0" distB="0" distL="0" distR="0">
            <wp:extent cx="1314450" cy="371475"/>
            <wp:effectExtent l="0" t="0" r="0" b="0"/>
            <wp:docPr id="21" name="Grafik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fik 296"/>
                    <pic:cNvPicPr>
                      <a:picLocks noChangeAspect="1"/>
                      <a:extLst>
                        <a:ext uri="smNativeData">
                          <sm:smNativeData xmlns:sm="smNativeData" val="SMDATA_17_s4xuYR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1AQAAB6AAAAAAAAAAAAAAAAAAAAAAAAAAAAAAAAAAAAAAAAAAAAAAFggAAEkCAAAAAAAAAAAAAAAAAAAoAAAACAAAAAEAAAABAAAAMAAAABQAAAAAAAAAAAD//wAAAQAAAP//AAABAA=="/>
                        </a:ext>
                      </a:extLst>
                    </pic:cNvPicPr>
                  </pic:nvPicPr>
                  <pic:blipFill>
                    <a:blip r:embed="rId21"/>
                    <a:stretch>
                      <a:fillRect/>
                    </a:stretch>
                  </pic:blipFill>
                  <pic:spPr>
                    <a:xfrm>
                      <a:off x="0" y="0"/>
                      <a:ext cx="1314450" cy="371475"/>
                    </a:xfrm>
                    <a:prstGeom prst="rect">
                      <a:avLst/>
                    </a:prstGeom>
                    <a:noFill/>
                    <a:ln w="12700">
                      <a:noFill/>
                    </a:ln>
                  </pic:spPr>
                </pic:pic>
              </a:graphicData>
            </a:graphic>
          </wp:inline>
        </w:drawing>
      </w:r>
      <w:r/>
    </w:p>
    <w:p>
      <w:pPr>
        <w:pStyle w:val="para15"/>
      </w:pPr>
      <w:r>
        <w:tab/>
        <w:tab/>
        <w:tab/>
      </w:r>
    </w:p>
    <w:p>
      <w:pPr>
        <w:rPr>
          <w:rFonts w:eastAsia="SimSun" w:cs="Arial"/>
          <w:b/>
          <w:bCs/>
          <w:lang w:bidi="hi-in"/>
        </w:rPr>
      </w:pPr>
      <w:r>
        <w:rPr>
          <w:rFonts w:eastAsia="SimSun" w:cs="Arial"/>
          <w:b/>
          <w:bCs/>
          <w:lang w:bidi="hi-in"/>
        </w:rPr>
      </w:r>
    </w:p>
    <w:p>
      <w:pPr>
        <w:rPr>
          <w:lang w:bidi="hi-in"/>
        </w:rPr>
      </w:pPr>
      <w:r>
        <w:rPr>
          <w:lang w:bidi="hi-in"/>
        </w:rPr>
        <w:t>Wenn die Steuerung eine abnormale Funktionalität feststellt, wird ein Alarm ausgelöst. In diesem Fall ertönt die Hupe. Zusätzlich wird der Alarm optisch durch eine Lampe signalisiert. Am Touch-Display wird ein rotes Symbol angezeigt. Durch Tippen auf die Schaltfläche „Betrieb-&gt; Alarm“ wird die Alarmliste angezeigt. Tippen auf „Hupe“ lässt die Hupen verstummen.</w:t>
      </w:r>
    </w:p>
    <w:p>
      <w:pPr>
        <w:rPr>
          <w:lang w:bidi="hi-in"/>
        </w:rPr>
      </w:pPr>
      <w:r>
        <w:rPr>
          <w:lang w:bidi="hi-in"/>
        </w:rPr>
      </w:r>
    </w:p>
    <w:p>
      <w:pPr>
        <w:rPr>
          <w:lang w:bidi="hi-in"/>
        </w:rPr>
      </w:pPr>
      <w:r>
        <w:rPr>
          <w:lang w:bidi="hi-in"/>
        </w:rPr>
        <w:t>Quittierte Alarme, die aber noch anliegen, sind an dem weiterhin roten Symbol „Alarm“ zu erkennen</w:t>
      </w:r>
    </w:p>
    <w:p>
      <w:pPr>
        <w:rPr>
          <w:lang w:bidi="hi-in"/>
        </w:rPr>
      </w:pPr>
      <w:r>
        <w:rPr>
          <w:lang w:bidi="hi-in"/>
        </w:rPr>
        <w:t>Die Alarme sind in mehrere Gruppen aufgeteilt, die jeweils unterschiedliche Auswirkungen auf die Funktionsfähigkeit der Anlage haben:</w:t>
      </w:r>
    </w:p>
    <w:p>
      <w:pPr>
        <w:rPr>
          <w:lang w:bidi="hi-in"/>
        </w:rPr>
      </w:pPr>
      <w:r>
        <w:rPr>
          <w:lang w:bidi="hi-in"/>
        </w:rPr>
        <w:t>Anlagen-Alarme: Dies sind Störungen, die die grundsätzliche Funktion der Anlage unmöglich machen, und führen zur Abschaltung der kompletten Anlage.</w:t>
      </w:r>
    </w:p>
    <w:p>
      <w:pPr>
        <w:rPr>
          <w:lang w:bidi="hi-in"/>
        </w:rPr>
      </w:pPr>
      <w:r>
        <w:rPr>
          <w:lang w:bidi="hi-in"/>
        </w:rPr>
        <w:t>Heizungs-Alarme: Hier werden nur die Heizungen deaktiviert. In gewissen Grenzen kann die Anlage noch weiterlaufen. Es können aber zu niedrige Temperaturen in der Zelle entstehen, die dann auch die Kühlung deaktivieren.</w:t>
      </w:r>
    </w:p>
    <w:p>
      <w:pPr>
        <w:rPr>
          <w:lang w:bidi="hi-in"/>
        </w:rPr>
      </w:pPr>
      <w:r>
        <w:rPr>
          <w:lang w:bidi="hi-in"/>
        </w:rPr>
        <w:t>Kühlungs-Alarme: Störungen an der Kühlanlage schalten vorerst nur die Kühlfunktion ab. Es besteht in der Folge allerdings die Gefahr von zu hohen Temperaturen.</w:t>
      </w:r>
    </w:p>
    <w:p>
      <w:pPr>
        <w:rPr>
          <w:lang w:bidi="hi-in"/>
        </w:rPr>
      </w:pPr>
      <w:r>
        <w:rPr>
          <w:lang w:bidi="hi-in"/>
        </w:rPr>
        <w:t>Meldungen: Diese führen nicht zum Abschalten der Anlage, haben aber trotzdem Einfluss auf die ordnungsgemäße Funktion und können andere Alarme zur Folge haben.</w:t>
      </w:r>
    </w:p>
    <w:p>
      <w:pPr>
        <w:rPr>
          <w:rFonts w:ascii="Arial" w:hAnsi="Arial"/>
          <w:sz w:val="20"/>
          <w:szCs w:val="20"/>
          <w:lang w:bidi="hi-in"/>
        </w:rPr>
      </w:pPr>
      <w:r>
        <w:rPr>
          <w:rFonts w:ascii="Arial" w:hAnsi="Arial"/>
          <w:sz w:val="20"/>
          <w:szCs w:val="20"/>
          <w:lang w:bidi="hi-in"/>
        </w:rPr>
      </w:r>
    </w:p>
    <w:p>
      <w:pPr>
        <w:pStyle w:val="para3"/>
        <w:numPr>
          <w:ilvl w:val="2"/>
          <w:numId w:val="9"/>
        </w:numPr>
        <w:ind w:left="720" w:hanging="720"/>
        <w:rPr>
          <w:lang w:bidi="hi-in"/>
        </w:rPr>
      </w:pPr>
      <w:bookmarkStart w:id="40" w:name="_TOC000038"/>
      <w:r>
        <w:rPr>
          <w:lang w:bidi="hi-in"/>
        </w:rPr>
      </w:r>
      <w:r/>
      <w:bookmarkStart w:id="41" w:name="_TOC000022"/>
      <w:r/>
      <w:r>
        <w:rPr>
          <w:lang w:bidi="hi-in"/>
        </w:rPr>
        <w:t>Die Alarme im Einzelnen:</w:t>
      </w:r>
      <w:r/>
      <w:bookmarkEnd w:id="41"/>
      <w:r/>
      <w:r>
        <w:rPr>
          <w:lang w:bidi="hi-in"/>
        </w:rPr>
      </w:r>
      <w:bookmarkEnd w:id="40"/>
      <w:r>
        <w:rPr>
          <w:lang w:bidi="hi-in"/>
        </w:rPr>
      </w:r>
    </w:p>
    <w:p>
      <w:pPr>
        <w:rPr>
          <w:rFonts w:eastAsia="SimSun" w:cs="Arial"/>
          <w:b/>
          <w:lang w:bidi="hi-in"/>
        </w:rPr>
      </w:pPr>
      <w:r>
        <w:rPr>
          <w:rFonts w:eastAsia="SimSun" w:cs="Arial"/>
          <w:b/>
          <w:lang w:bidi="hi-in"/>
        </w:rPr>
      </w:r>
    </w:p>
    <w:p>
      <w:pPr>
        <w:rPr>
          <w:rFonts w:eastAsia="SimSun" w:cs="Arial"/>
          <w:lang w:bidi="hi-in"/>
        </w:rPr>
      </w:pPr>
      <w:r>
        <w:rPr>
          <w:rFonts w:eastAsia="SimSun" w:cs="Arial"/>
          <w:lang w:bidi="hi-in"/>
        </w:rPr>
        <w:t>Erklärung Tabellenspalte Quit:</w:t>
      </w:r>
    </w:p>
    <w:p>
      <w:pPr>
        <w:rPr>
          <w:rFonts w:eastAsia="SimSun" w:cs="Arial"/>
          <w:lang w:bidi="hi-in"/>
        </w:rPr>
      </w:pPr>
      <w:r>
        <w:rPr>
          <w:rFonts w:eastAsia="SimSun" w:cs="Arial"/>
          <w:b/>
          <w:lang w:bidi="hi-in"/>
        </w:rPr>
        <w:t>H</w:t>
      </w:r>
      <w:r>
        <w:rPr>
          <w:rFonts w:eastAsia="SimSun" w:cs="Arial"/>
          <w:lang w:bidi="hi-in"/>
        </w:rPr>
        <w:t xml:space="preserve"> bedeutet: Wenn die Ursache des Alarms beseitigt ist, bleibt dieser trotzdem aktiv, und die ehemals gestörten Anlagenteile bleiben abgeschaltet, bis der Alarm quittiert wurde. </w:t>
      </w:r>
    </w:p>
    <w:p>
      <w:pPr>
        <w:rPr>
          <w:rFonts w:eastAsia="SimSun" w:cs="Arial"/>
          <w:lang w:bidi="hi-in"/>
        </w:rPr>
      </w:pPr>
      <w:r>
        <w:rPr>
          <w:rFonts w:eastAsia="SimSun" w:cs="Arial"/>
          <w:b/>
          <w:lang w:bidi="hi-in"/>
        </w:rPr>
        <w:t>A</w:t>
      </w:r>
      <w:r>
        <w:rPr>
          <w:rFonts w:eastAsia="SimSun" w:cs="Arial"/>
          <w:lang w:bidi="hi-in"/>
        </w:rPr>
        <w:t xml:space="preserve"> heißt: Der Alarm wird automatisch gelöscht, wenn er nicht mehr anliegt, und die abgeschalteten Anlagenteile werden wieder zugeschaltet. Unabhängig davon werden alle auftretenden Alarme in der Alarmliste angezeigt und lösen jeweils bei Auftreten die Hupe aus.</w:t>
      </w:r>
    </w:p>
    <w:p>
      <w:pPr>
        <w:rPr>
          <w:rFonts w:eastAsia="SimSun" w:cs="Arial"/>
          <w:lang w:bidi="hi-in"/>
        </w:rPr>
      </w:pPr>
      <w:r>
        <w:rPr>
          <w:rFonts w:eastAsia="SimSun" w:cs="Arial"/>
          <w:lang w:bidi="hi-in"/>
        </w:rPr>
      </w:r>
    </w:p>
    <w:p>
      <w:pPr>
        <w:rPr>
          <w:rFonts w:eastAsia="SimSun" w:cs="Arial"/>
          <w:lang w:bidi="hi-in"/>
        </w:rPr>
      </w:pPr>
      <w:r>
        <w:rPr>
          <w:rFonts w:eastAsia="SimSun" w:cs="Arial"/>
          <w:lang w:bidi="hi-in"/>
        </w:rPr>
        <w:t>Die Quittierung der Alarme erfolgt am Bediengerät im rechten Bereich oder mit der Taste „Reset“.</w:t>
      </w:r>
    </w:p>
    <w:p>
      <w:pPr>
        <w:pStyle w:val="para3"/>
        <w:numPr>
          <w:ilvl w:val="2"/>
          <w:numId w:val="9"/>
        </w:numPr>
        <w:ind w:left="720" w:hanging="720"/>
        <w:rPr>
          <w:lang w:bidi="hi-in"/>
        </w:rPr>
      </w:pPr>
      <w:r>
        <w:br w:type="page"/>
      </w:r>
      <w:bookmarkStart w:id="42" w:name="_TOC000039"/>
      <w:r>
        <w:rPr>
          <w:lang w:bidi="hi-in"/>
        </w:rPr>
      </w:r>
      <w:r/>
      <w:bookmarkStart w:id="43" w:name="_TOC000023"/>
      <w:r/>
      <w:r>
        <w:rPr>
          <w:lang w:bidi="hi-in"/>
        </w:rPr>
        <w:t>Anlage</w:t>
      </w:r>
      <w:r/>
      <w:bookmarkEnd w:id="43"/>
      <w:r/>
      <w:r>
        <w:rPr>
          <w:lang w:bidi="hi-in"/>
        </w:rPr>
      </w:r>
      <w:bookmarkEnd w:id="42"/>
      <w:r>
        <w:rPr>
          <w:lang w:bidi="hi-in"/>
        </w:rPr>
      </w:r>
    </w:p>
    <w:tbl>
      <w:tblPr>
        <w:tblStyle w:val="NormalTable"/>
        <w:name w:val="Tabelle12"/>
        <w:tabOrder w:val="0"/>
        <w:jc w:val="left"/>
        <w:tblInd w:w="55" w:type="dxa"/>
        <w:tblW w:w="9861" w:type="dxa"/>
        <w:tblLook w:val="04A0" w:firstRow="1" w:lastRow="0" w:firstColumn="1" w:lastColumn="0" w:noHBand="0" w:noVBand="1"/>
      </w:tblPr>
      <w:tblGrid>
        <w:gridCol w:w="638"/>
        <w:gridCol w:w="3028"/>
        <w:gridCol w:w="3049"/>
        <w:gridCol w:w="2583"/>
        <w:gridCol w:w="563"/>
      </w:tblGrid>
      <w:tr>
        <w:trPr>
          <w:tblHeader w:val="0"/>
          <w:cantSplit w:val="0"/>
          <w:trHeight w:val="0" w:hRule="auto"/>
        </w:trPr>
        <w:tc>
          <w:tcPr>
            <w:tcW w:w="638" w:type="dxa"/>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SimSun" w:cs="Arial"/>
                <w:sz w:val="20"/>
                <w:szCs w:val="20"/>
                <w:lang w:bidi="hi-in"/>
              </w:rPr>
            </w:pPr>
            <w:r>
              <w:rPr>
                <w:rFonts w:ascii="Arial" w:hAnsi="Arial" w:eastAsia="SimSun" w:cs="Arial"/>
                <w:sz w:val="20"/>
                <w:szCs w:val="20"/>
                <w:lang w:bidi="hi-in"/>
              </w:rPr>
              <w:t>Nr.</w:t>
            </w:r>
          </w:p>
        </w:tc>
        <w:tc>
          <w:tcPr>
            <w:tcW w:w="3028"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SimSun" w:cs="Arial"/>
                <w:sz w:val="20"/>
                <w:szCs w:val="20"/>
                <w:lang w:bidi="hi-in"/>
              </w:rPr>
            </w:pPr>
            <w:r>
              <w:rPr>
                <w:rFonts w:ascii="Arial" w:hAnsi="Arial" w:eastAsia="SimSun" w:cs="Arial"/>
                <w:sz w:val="20"/>
                <w:szCs w:val="20"/>
                <w:lang w:bidi="hi-in"/>
              </w:rPr>
              <w:t>Alarmmeldung</w:t>
            </w:r>
          </w:p>
        </w:tc>
        <w:tc>
          <w:tcPr>
            <w:tcW w:w="3049"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SimSun" w:cs="Arial"/>
                <w:sz w:val="20"/>
                <w:szCs w:val="20"/>
                <w:lang w:bidi="hi-in"/>
              </w:rPr>
            </w:pPr>
            <w:r>
              <w:rPr>
                <w:rFonts w:ascii="Arial" w:hAnsi="Arial" w:eastAsia="SimSun" w:cs="Arial"/>
                <w:sz w:val="20"/>
                <w:szCs w:val="20"/>
                <w:lang w:bidi="hi-in"/>
              </w:rPr>
              <w:t>Beschreibung</w:t>
            </w:r>
          </w:p>
        </w:tc>
        <w:tc>
          <w:tcPr>
            <w:tcW w:w="258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SimSun" w:cs="Arial"/>
                <w:sz w:val="20"/>
                <w:szCs w:val="20"/>
                <w:lang w:bidi="hi-in"/>
              </w:rPr>
            </w:pPr>
            <w:r>
              <w:rPr>
                <w:rFonts w:ascii="Arial" w:hAnsi="Arial" w:eastAsia="SimSun" w:cs="Arial"/>
                <w:sz w:val="20"/>
                <w:szCs w:val="20"/>
                <w:lang w:bidi="hi-in"/>
              </w:rPr>
              <w:t>Abhilfe</w:t>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Pr>
                <w:rFonts w:ascii="Arial" w:hAnsi="Arial" w:eastAsia="SimSun" w:cs="Arial"/>
                <w:sz w:val="20"/>
                <w:szCs w:val="20"/>
                <w:lang w:bidi="hi-in"/>
              </w:rPr>
            </w:pPr>
            <w:r>
              <w:rPr>
                <w:rFonts w:ascii="Arial" w:hAnsi="Arial" w:eastAsia="SimSun" w:cs="Arial"/>
                <w:sz w:val="20"/>
                <w:szCs w:val="20"/>
                <w:lang w:bidi="hi-in"/>
              </w:rPr>
              <w:t>Quit</w:t>
            </w:r>
          </w:p>
        </w:tc>
      </w:tr>
      <w:tr>
        <w:trPr>
          <w:tblHeader w:val="0"/>
          <w:cantSplit w:val="0"/>
          <w:trHeight w:val="0" w:hRule="auto"/>
        </w:trPr>
        <w:tc>
          <w:tcPr>
            <w:tcW w:w="638"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nil" w:sz="0" w:space="0" w:color="000000" tmln="20, 20, 20, 0, 0"/>
              <w:tl2br w:val="nil" w:sz="0" w:space="0" w:color="000000" tmln="20, 20, 20, 0, 0"/>
              <w:tr2bl w:val="nil" w:sz="0" w:space="0" w:color="000000" tmln="20,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01</w:t>
            </w:r>
          </w:p>
        </w:tc>
        <w:tc>
          <w:tcPr>
            <w:tcW w:w="3028"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nil" w:sz="0" w:space="0" w:color="000000" tmln="20, 20, 20, 0, 0"/>
              <w:tl2br w:val="nil" w:sz="0" w:space="0" w:color="000000" tmln="20, 20, 20, 0, 0"/>
              <w:tr2bl w:val="nil" w:sz="0" w:space="0" w:color="000000" tmln="20, 20, 20, 0, 0"/>
            </w:tcBorders>
            <w:tmTcPr id="1634634931" protected="0"/>
          </w:tcPr>
          <w:p>
            <w:pPr>
              <w:rPr>
                <w:rFonts w:ascii="Arial" w:hAnsi="Arial" w:eastAsia="Arial" w:cs="Arial"/>
                <w:sz w:val="20"/>
                <w:szCs w:val="20"/>
              </w:rPr>
            </w:pPr>
            <w:r>
              <w:rPr>
                <w:rFonts w:ascii="Arial" w:hAnsi="Arial" w:eastAsia="Arial" w:cs="Arial"/>
                <w:sz w:val="20"/>
                <w:szCs w:val="20"/>
              </w:rPr>
              <w:t>Temperaturbereich Kammer überschritten.</w:t>
            </w:r>
          </w:p>
        </w:tc>
        <w:tc>
          <w:tcPr>
            <w:tcW w:w="3049"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nil" w:sz="0" w:space="0" w:color="000000" tmln="20, 20, 20, 0, 0"/>
              <w:tl2br w:val="nil" w:sz="0" w:space="0" w:color="000000" tmln="20, 20, 20, 0, 0"/>
              <w:tr2bl w:val="nil" w:sz="0" w:space="0" w:color="000000" tmln="20,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Die unter Visu/Service festgelegten Temperaturgrenzen wurden unter-/überschritten, oder die Fühlerleitung ist unterbrochen.</w:t>
            </w:r>
          </w:p>
          <w:p>
            <w:pPr>
              <w:rPr>
                <w:rFonts w:ascii="Arial" w:hAnsi="Arial" w:eastAsia="Arial" w:cs="Arial"/>
                <w:sz w:val="20"/>
                <w:szCs w:val="20"/>
                <w:lang w:bidi="hi-in"/>
              </w:rPr>
            </w:pPr>
            <w:r>
              <w:rPr>
                <w:rFonts w:ascii="Arial" w:hAnsi="Arial" w:eastAsia="Arial" w:cs="Arial"/>
                <w:sz w:val="20"/>
                <w:szCs w:val="20"/>
                <w:lang w:bidi="hi-in"/>
              </w:rPr>
            </w:r>
          </w:p>
        </w:tc>
        <w:tc>
          <w:tcPr>
            <w:tcW w:w="258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nil" w:sz="0" w:space="0" w:color="000000" tmln="20, 20, 20, 0, 0"/>
              <w:tl2br w:val="nil" w:sz="0" w:space="0" w:color="000000" tmln="20, 20, 20, 0, 0"/>
              <w:tr2bl w:val="nil" w:sz="0" w:space="0" w:color="000000" tmln="20,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Kontrollieren, ob die Einstellung zum Sollwert passt (sollte einige K darüber liegen). Halbleiterschütze der Heizungen auf Funktion kontrollieren. Regelung beobachten (Überschwingen über den Sollwert)</w:t>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l2br w:val="nil" w:sz="0" w:space="0" w:color="000000" tmln="20, 20, 20, 0, 0"/>
              <w:tr2bl w:val="nil" w:sz="0" w:space="0" w:color="000000" tmln="20,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A</w:t>
            </w:r>
          </w:p>
          <w:p>
            <w:pPr>
              <w:rPr>
                <w:rFonts w:ascii="Arial" w:hAnsi="Arial" w:eastAsia="Arial" w:cs="Arial"/>
                <w:sz w:val="20"/>
                <w:szCs w:val="20"/>
                <w:lang w:bidi="hi-in"/>
              </w:rPr>
            </w:pPr>
            <w:r>
              <w:rPr>
                <w:rFonts w:ascii="Arial" w:hAnsi="Arial" w:eastAsia="Arial" w:cs="Arial"/>
                <w:sz w:val="20"/>
                <w:szCs w:val="20"/>
                <w:lang w:bidi="hi-in"/>
              </w:rPr>
            </w:r>
          </w:p>
          <w:p>
            <w:pPr>
              <w:rPr>
                <w:rFonts w:ascii="Arial" w:hAnsi="Arial" w:eastAsia="Arial" w:cs="Arial"/>
                <w:sz w:val="20"/>
                <w:szCs w:val="20"/>
                <w:lang w:bidi="hi-in"/>
              </w:rPr>
            </w:pPr>
            <w:r>
              <w:rPr>
                <w:rFonts w:ascii="Arial" w:hAnsi="Arial" w:eastAsia="Arial" w:cs="Arial"/>
                <w:sz w:val="20"/>
                <w:szCs w:val="20"/>
                <w:lang w:bidi="hi-in"/>
              </w:rPr>
            </w:r>
          </w:p>
        </w:tc>
      </w:tr>
      <w:tr>
        <w:trPr>
          <w:tblHeader w:val="0"/>
          <w:cantSplit w:val="0"/>
          <w:trHeight w:val="0" w:hRule="auto"/>
        </w:trPr>
        <w:tc>
          <w:tcPr>
            <w:tcW w:w="638"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nil" w:sz="0" w:space="0" w:color="000000" tmln="20, 20, 20, 0, 0"/>
              <w:tl2br w:val="nil" w:sz="0" w:space="0" w:color="000000" tmln="20, 20, 20, 0, 0"/>
              <w:tr2bl w:val="nil" w:sz="0" w:space="0" w:color="000000" tmln="20, 20, 20, 0, 0"/>
            </w:tcBorders>
            <w:tmTcPr id="1634634931" protected="0"/>
          </w:tcPr>
          <w:p>
            <w:pPr/>
            <w:r>
              <w:t>03</w:t>
            </w:r>
          </w:p>
        </w:tc>
        <w:tc>
          <w:tcPr>
            <w:tcW w:w="3028"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nil" w:sz="0" w:space="0" w:color="000000" tmln="20, 20, 20, 0, 0"/>
              <w:tl2br w:val="nil" w:sz="0" w:space="0" w:color="000000" tmln="20, 20, 20, 0, 0"/>
              <w:tr2bl w:val="nil" w:sz="0" w:space="0" w:color="000000" tmln="20, 20, 20, 0, 0"/>
            </w:tcBorders>
            <w:tmTcPr id="1634634931" protected="0"/>
          </w:tcPr>
          <w:p>
            <w:pPr/>
            <w:r>
              <w:t>Spannungsversorgung</w:t>
            </w:r>
          </w:p>
          <w:p>
            <w:pPr/>
            <w:r>
              <w:t>(00-F2/F5-F8;06-F1;09-F1/F2)</w:t>
            </w:r>
          </w:p>
        </w:tc>
        <w:tc>
          <w:tcPr>
            <w:tcW w:w="3049"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nil" w:sz="0" w:space="0" w:color="000000" tmln="20, 20, 20, 0, 0"/>
              <w:tl2br w:val="nil" w:sz="0" w:space="0" w:color="000000" tmln="20, 20, 20, 0, 0"/>
              <w:tr2bl w:val="nil" w:sz="0" w:space="0" w:color="000000" tmln="20, 20, 20, 0, 0"/>
            </w:tcBorders>
            <w:tmTcPr id="1634634931" protected="0"/>
          </w:tcPr>
          <w:p>
            <w:pPr/>
            <w:r>
              <w:t>Überwachung Spannungsversorgung</w:t>
            </w:r>
          </w:p>
        </w:tc>
        <w:tc>
          <w:tcPr>
            <w:tcW w:w="258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nil" w:sz="0" w:space="0" w:color="000000" tmln="20, 20, 20, 0, 0"/>
              <w:tl2br w:val="nil" w:sz="0" w:space="0" w:color="000000" tmln="20, 20, 20, 0, 0"/>
              <w:tr2bl w:val="nil" w:sz="0" w:space="0" w:color="000000" tmln="20,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Ursache muss gefunden und behoben werden.</w:t>
            </w:r>
          </w:p>
          <w:p>
            <w:pPr>
              <w:rPr>
                <w:rFonts w:ascii="Arial" w:hAnsi="Arial" w:eastAsia="Arial" w:cs="Arial"/>
                <w:sz w:val="20"/>
                <w:szCs w:val="20"/>
                <w:lang w:bidi="hi-in"/>
              </w:rPr>
            </w:pPr>
            <w:r>
              <w:rPr>
                <w:rFonts w:ascii="Arial" w:hAnsi="Arial" w:eastAsia="Arial" w:cs="Arial"/>
                <w:sz w:val="20"/>
                <w:szCs w:val="20"/>
                <w:lang w:bidi="hi-in"/>
              </w:rPr>
              <w:t>Entriegelung am Gerät notwendig.</w:t>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l2br w:val="nil" w:sz="0" w:space="0" w:color="000000" tmln="20, 20, 20, 0, 0"/>
              <w:tr2bl w:val="nil" w:sz="0" w:space="0" w:color="000000" tmln="20,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A</w:t>
            </w:r>
          </w:p>
        </w:tc>
      </w:tr>
      <w:tr>
        <w:trPr>
          <w:tblHeader w:val="0"/>
          <w:cantSplit w:val="0"/>
          <w:trHeight w:val="0" w:hRule="auto"/>
        </w:trPr>
        <w:tc>
          <w:tcPr>
            <w:tcW w:w="638" w:type="dxa"/>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SimSun" w:cs="Arial"/>
                <w:sz w:val="20"/>
                <w:szCs w:val="20"/>
                <w:lang w:bidi="hi-in"/>
              </w:rPr>
            </w:pPr>
            <w:r>
              <w:rPr>
                <w:rFonts w:ascii="Arial" w:hAnsi="Arial" w:eastAsia="SimSun" w:cs="Arial"/>
                <w:sz w:val="20"/>
                <w:szCs w:val="20"/>
                <w:lang w:bidi="hi-in"/>
              </w:rPr>
              <w:t>09</w:t>
            </w:r>
          </w:p>
        </w:tc>
        <w:tc>
          <w:tcPr>
            <w:tcW w:w="3028"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SimSun" w:cs="Arial"/>
                <w:sz w:val="20"/>
                <w:szCs w:val="20"/>
                <w:lang w:bidi="hi-in"/>
              </w:rPr>
            </w:pPr>
            <w:r>
              <w:rPr>
                <w:rFonts w:ascii="Arial" w:hAnsi="Arial" w:eastAsia="SimSun" w:cs="Arial"/>
                <w:sz w:val="20"/>
                <w:szCs w:val="20"/>
                <w:lang w:bidi="hi-in"/>
              </w:rPr>
              <w:t>Not-HALT (=01-A100)</w:t>
            </w:r>
          </w:p>
        </w:tc>
        <w:tc>
          <w:tcPr>
            <w:tcW w:w="3049"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SimSun" w:cs="Arial"/>
                <w:sz w:val="20"/>
                <w:szCs w:val="20"/>
                <w:lang w:bidi="hi-in"/>
              </w:rPr>
            </w:pPr>
            <w:r>
              <w:rPr>
                <w:rFonts w:ascii="Arial" w:hAnsi="Arial" w:eastAsia="SimSun" w:cs="Arial"/>
                <w:sz w:val="20"/>
                <w:szCs w:val="20"/>
                <w:lang w:bidi="hi-in"/>
              </w:rPr>
              <w:t>Not-Aus-Schalter wurde gedrückt.</w:t>
            </w:r>
          </w:p>
        </w:tc>
        <w:tc>
          <w:tcPr>
            <w:tcW w:w="258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SimSun" w:cs="Arial"/>
                <w:sz w:val="20"/>
                <w:szCs w:val="20"/>
                <w:lang w:bidi="hi-in"/>
              </w:rPr>
            </w:pPr>
            <w:r>
              <w:rPr>
                <w:rFonts w:ascii="Arial" w:hAnsi="Arial" w:eastAsia="SimSun" w:cs="Arial"/>
                <w:sz w:val="20"/>
                <w:szCs w:val="20"/>
                <w:lang w:bidi="hi-in"/>
              </w:rPr>
              <w:t>Not-Aus-Schalter entriegeln und Quittieren „Reset“</w:t>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Pr>
                <w:rFonts w:ascii="Arial" w:hAnsi="Arial" w:eastAsia="SimSun" w:cs="Arial"/>
                <w:sz w:val="20"/>
                <w:szCs w:val="20"/>
                <w:lang w:bidi="hi-in"/>
              </w:rPr>
            </w:pPr>
            <w:r>
              <w:rPr>
                <w:rFonts w:ascii="Arial" w:hAnsi="Arial" w:eastAsia="SimSun" w:cs="Arial"/>
                <w:sz w:val="20"/>
                <w:szCs w:val="20"/>
                <w:lang w:bidi="hi-in"/>
              </w:rPr>
              <w:t>A</w:t>
            </w:r>
          </w:p>
        </w:tc>
      </w:tr>
    </w:tbl>
    <w:p>
      <w:pPr>
        <w:pStyle w:val="para3"/>
        <w:numPr>
          <w:ilvl w:val="2"/>
          <w:numId w:val="9"/>
        </w:numPr>
        <w:ind w:left="720" w:hanging="720"/>
        <w:rPr>
          <w:lang w:bidi="hi-in"/>
        </w:rPr>
      </w:pPr>
      <w:bookmarkStart w:id="44" w:name="_TOC000040"/>
      <w:r>
        <w:rPr>
          <w:lang w:bidi="hi-in"/>
        </w:rPr>
      </w:r>
      <w:r/>
      <w:bookmarkStart w:id="45" w:name="_TOC000024"/>
      <w:r/>
      <w:r>
        <w:rPr>
          <w:lang w:bidi="hi-in"/>
        </w:rPr>
        <w:t>Lüftung</w:t>
      </w:r>
      <w:r/>
      <w:bookmarkEnd w:id="45"/>
      <w:r/>
      <w:r>
        <w:rPr>
          <w:lang w:bidi="hi-in"/>
        </w:rPr>
      </w:r>
      <w:bookmarkEnd w:id="44"/>
      <w:r>
        <w:rPr>
          <w:lang w:bidi="hi-in"/>
        </w:rPr>
      </w:r>
    </w:p>
    <w:tbl>
      <w:tblPr>
        <w:tblStyle w:val="NormalTable"/>
        <w:name w:val="Tabelle23"/>
        <w:tabOrder w:val="0"/>
        <w:jc w:val="left"/>
        <w:tblInd w:w="0" w:type="dxa"/>
        <w:tblW w:w="9861" w:type="dxa"/>
        <w:tblLook w:val="04A0" w:firstRow="1" w:lastRow="0" w:firstColumn="1" w:lastColumn="0" w:noHBand="0" w:noVBand="1"/>
      </w:tblPr>
      <w:tblGrid>
        <w:gridCol w:w="612"/>
        <w:gridCol w:w="3106"/>
        <w:gridCol w:w="2796"/>
        <w:gridCol w:w="2784"/>
        <w:gridCol w:w="563"/>
      </w:tblGrid>
      <w:tr>
        <w:trPr>
          <w:tblHeader w:val="0"/>
          <w:cantSplit w:val="0"/>
          <w:trHeight w:val="0" w:hRule="auto"/>
        </w:trPr>
        <w:tc>
          <w:tcPr>
            <w:tcW w:w="612" w:type="dxa"/>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12</w:t>
            </w:r>
          </w:p>
        </w:tc>
        <w:tc>
          <w:tcPr>
            <w:tcW w:w="3106"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
              <w:t>Lüfter 1 MSS/Motor</w:t>
            </w:r>
          </w:p>
          <w:p>
            <w:pPr/>
            <w:r>
              <w:t>(=02-Q1.1/-M1.1)</w:t>
            </w:r>
          </w:p>
        </w:tc>
        <w:tc>
          <w:tcPr>
            <w:tcW w:w="2796"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nil" w:sz="0" w:space="0" w:color="000000" tmln="20, 20, 20, 0, 0"/>
              <w:tl2br w:val="nil" w:sz="0" w:space="0" w:color="000000" tmln="20, 20, 20, 0, 0"/>
              <w:tr2bl w:val="nil" w:sz="0" w:space="0" w:color="000000" tmln="20,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Der Leitungsschutzschalter des Ventilators hat ausgelöst. Oder Störmeldung aus Motor.</w:t>
            </w:r>
          </w:p>
        </w:tc>
        <w:tc>
          <w:tcPr>
            <w:tcW w:w="2784"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nil" w:sz="0" w:space="0" w:color="000000" tmln="20, 20, 20, 0, 0"/>
              <w:tl2br w:val="nil" w:sz="0" w:space="0" w:color="000000" tmln="20, 20, 20, 0, 0"/>
              <w:tr2bl w:val="nil" w:sz="0" w:space="0" w:color="000000" tmln="20,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Ursache muss gefunden und behoben werden</w:t>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l2br w:val="nil" w:sz="0" w:space="0" w:color="000000" tmln="20, 20, 20, 0, 0"/>
              <w:tr2bl w:val="nil" w:sz="0" w:space="0" w:color="000000" tmln="20,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H</w:t>
            </w:r>
          </w:p>
        </w:tc>
      </w:tr>
      <w:tr>
        <w:trPr>
          <w:tblHeader w:val="0"/>
          <w:cantSplit w:val="0"/>
          <w:trHeight w:val="0" w:hRule="auto"/>
        </w:trPr>
        <w:tc>
          <w:tcPr>
            <w:tcW w:w="612" w:type="dxa"/>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15</w:t>
            </w:r>
          </w:p>
        </w:tc>
        <w:tc>
          <w:tcPr>
            <w:tcW w:w="3106"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
              <w:t>Lüfter 2 MSS/Motor</w:t>
            </w:r>
          </w:p>
          <w:p>
            <w:pPr/>
            <w:r>
              <w:t>(=02-Q1.2/-M1.2)</w:t>
            </w:r>
          </w:p>
        </w:tc>
        <w:tc>
          <w:tcPr>
            <w:tcW w:w="2796"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nil" w:sz="0" w:space="0" w:color="000000" tmln="20, 20, 20, 0, 0"/>
              <w:tl2br w:val="nil" w:sz="0" w:space="0" w:color="000000" tmln="20, 20, 20, 0, 0"/>
              <w:tr2bl w:val="nil" w:sz="0" w:space="0" w:color="000000" tmln="20,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Der Leitungsschutzschalter des Ventilators hat ausgelöst. Oder Störmeldung aus Motor.</w:t>
            </w:r>
          </w:p>
        </w:tc>
        <w:tc>
          <w:tcPr>
            <w:tcW w:w="2784"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nil" w:sz="0" w:space="0" w:color="000000" tmln="20, 20, 20, 0, 0"/>
              <w:tl2br w:val="nil" w:sz="0" w:space="0" w:color="000000" tmln="20, 20, 20, 0, 0"/>
              <w:tr2bl w:val="nil" w:sz="0" w:space="0" w:color="000000" tmln="20,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Ursache muss gefunden und behoben werden</w:t>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l2br w:val="nil" w:sz="0" w:space="0" w:color="000000" tmln="20, 20, 20, 0, 0"/>
              <w:tr2bl w:val="nil" w:sz="0" w:space="0" w:color="000000" tmln="20,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H</w:t>
            </w:r>
          </w:p>
        </w:tc>
      </w:tr>
    </w:tbl>
    <w:p>
      <w:pPr>
        <w:pStyle w:val="para3"/>
        <w:numPr>
          <w:ilvl w:val="2"/>
          <w:numId w:val="9"/>
        </w:numPr>
        <w:ind w:left="720" w:hanging="720"/>
        <w:rPr>
          <w:lang w:bidi="hi-in"/>
        </w:rPr>
      </w:pPr>
      <w:bookmarkStart w:id="46" w:name="_TOC000041"/>
      <w:r>
        <w:rPr>
          <w:lang w:bidi="hi-in"/>
        </w:rPr>
      </w:r>
      <w:r/>
      <w:bookmarkStart w:id="47" w:name="_TOC000025"/>
      <w:r/>
      <w:r>
        <w:rPr>
          <w:lang w:bidi="hi-in"/>
        </w:rPr>
        <w:t>Heizung</w:t>
      </w:r>
      <w:r/>
      <w:bookmarkEnd w:id="47"/>
      <w:r/>
      <w:r>
        <w:rPr>
          <w:lang w:bidi="hi-in"/>
        </w:rPr>
      </w:r>
      <w:bookmarkEnd w:id="46"/>
      <w:r>
        <w:rPr>
          <w:lang w:bidi="hi-in"/>
        </w:rPr>
      </w:r>
    </w:p>
    <w:tbl>
      <w:tblPr>
        <w:tblStyle w:val="NormalTable"/>
        <w:name w:val="Tabelle13"/>
        <w:tabOrder w:val="0"/>
        <w:jc w:val="left"/>
        <w:tblInd w:w="55" w:type="dxa"/>
        <w:tblW w:w="9861" w:type="dxa"/>
        <w:tblLook w:val="04A0" w:firstRow="1" w:lastRow="0" w:firstColumn="1" w:lastColumn="0" w:noHBand="0" w:noVBand="1"/>
      </w:tblPr>
      <w:tblGrid>
        <w:gridCol w:w="612"/>
        <w:gridCol w:w="3015"/>
        <w:gridCol w:w="2887"/>
        <w:gridCol w:w="2784"/>
        <w:gridCol w:w="563"/>
      </w:tblGrid>
      <w:tr>
        <w:trPr>
          <w:tblHeader w:val="0"/>
          <w:cantSplit w:val="0"/>
          <w:trHeight w:val="0" w:hRule="auto"/>
        </w:trPr>
        <w:tc>
          <w:tcPr>
            <w:tcW w:w="612" w:type="dxa"/>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Nr.</w:t>
            </w:r>
          </w:p>
        </w:tc>
        <w:tc>
          <w:tcPr>
            <w:tcW w:w="3015"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Alarmmeldung</w:t>
            </w:r>
          </w:p>
        </w:tc>
        <w:tc>
          <w:tcPr>
            <w:tcW w:w="2887"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Beschreibung</w:t>
            </w:r>
          </w:p>
        </w:tc>
        <w:tc>
          <w:tcPr>
            <w:tcW w:w="2784"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Abhilfe</w:t>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Quit</w:t>
            </w:r>
          </w:p>
        </w:tc>
      </w:tr>
      <w:tr>
        <w:trPr>
          <w:tblHeader w:val="0"/>
          <w:cantSplit w:val="0"/>
          <w:trHeight w:val="0" w:hRule="auto"/>
        </w:trPr>
        <w:tc>
          <w:tcPr>
            <w:tcW w:w="612"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nil" w:sz="0" w:space="0" w:color="000000" tmln="20, 20, 20, 0, 0"/>
              <w:tl2br w:val="nil" w:sz="0" w:space="0" w:color="000000" tmln="20, 20, 20, 0, 0"/>
              <w:tr2bl w:val="nil" w:sz="0" w:space="0" w:color="000000" tmln="20,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05</w:t>
            </w:r>
          </w:p>
        </w:tc>
        <w:tc>
          <w:tcPr>
            <w:tcW w:w="3015"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nil" w:sz="0" w:space="0" w:color="000000" tmln="20, 20, 20, 0, 0"/>
              <w:tl2br w:val="nil" w:sz="0" w:space="0" w:color="000000" tmln="20, 20, 20, 0, 0"/>
              <w:tr2bl w:val="nil" w:sz="0" w:space="0" w:color="000000" tmln="20,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Heizen Temp.-Begrenzer Prüfraum links Max (=01-F5.1)</w:t>
            </w:r>
          </w:p>
        </w:tc>
        <w:tc>
          <w:tcPr>
            <w:tcW w:w="2887"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nil" w:sz="0" w:space="0" w:color="000000" tmln="20, 20, 20, 0, 0"/>
              <w:tl2br w:val="nil" w:sz="0" w:space="0" w:color="000000" tmln="20, 20, 20, 0, 0"/>
              <w:tr2bl w:val="nil" w:sz="0" w:space="0" w:color="000000" tmln="20,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Überhitzung der Heizungen</w:t>
            </w:r>
          </w:p>
        </w:tc>
        <w:tc>
          <w:tcPr>
            <w:tcW w:w="2784"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nil" w:sz="0" w:space="0" w:color="000000" tmln="20, 20, 20, 0, 0"/>
              <w:tl2br w:val="nil" w:sz="0" w:space="0" w:color="000000" tmln="20, 20, 20, 0, 0"/>
              <w:tr2bl w:val="nil" w:sz="0" w:space="0" w:color="000000" tmln="20,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Ursache muss gefunden und behoben werden.</w:t>
            </w:r>
          </w:p>
          <w:p>
            <w:pPr>
              <w:rPr>
                <w:rFonts w:ascii="Arial" w:hAnsi="Arial" w:eastAsia="Arial" w:cs="Arial"/>
                <w:sz w:val="20"/>
                <w:szCs w:val="20"/>
                <w:lang w:bidi="hi-in"/>
              </w:rPr>
            </w:pPr>
            <w:r>
              <w:rPr>
                <w:rFonts w:ascii="Arial" w:hAnsi="Arial" w:eastAsia="Arial" w:cs="Arial"/>
                <w:sz w:val="20"/>
                <w:szCs w:val="20"/>
                <w:lang w:bidi="hi-in"/>
              </w:rPr>
              <w:t>Entriegelung am Gerät notwendig.</w:t>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l2br w:val="nil" w:sz="0" w:space="0" w:color="000000" tmln="20, 20, 20, 0, 0"/>
              <w:tr2bl w:val="nil" w:sz="0" w:space="0" w:color="000000" tmln="20,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A</w:t>
            </w:r>
          </w:p>
        </w:tc>
      </w:tr>
      <w:tr>
        <w:trPr>
          <w:tblHeader w:val="0"/>
          <w:cantSplit w:val="0"/>
          <w:trHeight w:val="0" w:hRule="auto"/>
        </w:trPr>
        <w:tc>
          <w:tcPr>
            <w:tcW w:w="612"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nil" w:sz="0" w:space="0" w:color="000000" tmln="20, 20, 20, 0, 0"/>
              <w:tl2br w:val="nil" w:sz="0" w:space="0" w:color="000000" tmln="20, 20, 20, 0, 0"/>
              <w:tr2bl w:val="nil" w:sz="0" w:space="0" w:color="000000" tmln="20,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06</w:t>
            </w:r>
          </w:p>
        </w:tc>
        <w:tc>
          <w:tcPr>
            <w:tcW w:w="3015"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nil" w:sz="0" w:space="0" w:color="000000" tmln="20, 20, 20, 0, 0"/>
              <w:tl2br w:val="nil" w:sz="0" w:space="0" w:color="000000" tmln="20, 20, 20, 0, 0"/>
              <w:tr2bl w:val="nil" w:sz="0" w:space="0" w:color="000000" tmln="20, 20, 20, 0, 0"/>
            </w:tcBorders>
            <w:tmTcPr id="1634634931" protected="0"/>
          </w:tcPr>
          <w:p>
            <w:pPr>
              <w:rPr>
                <w:rFonts w:ascii="Arial" w:hAnsi="Arial" w:eastAsia="Arial" w:cs="Arial"/>
                <w:sz w:val="20"/>
                <w:szCs w:val="20"/>
              </w:rPr>
            </w:pPr>
            <w:r>
              <w:rPr>
                <w:rFonts w:ascii="Arial" w:hAnsi="Arial" w:eastAsia="Arial" w:cs="Arial"/>
                <w:sz w:val="20"/>
                <w:szCs w:val="20"/>
              </w:rPr>
              <w:t>Heizen Temp.-Begrenzer Prüfraum rechts Max (=01-F5.2)</w:t>
            </w:r>
          </w:p>
        </w:tc>
        <w:tc>
          <w:tcPr>
            <w:tcW w:w="2887"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nil" w:sz="0" w:space="0" w:color="000000" tmln="20, 20, 20, 0, 0"/>
              <w:tl2br w:val="nil" w:sz="0" w:space="0" w:color="000000" tmln="20, 20, 20, 0, 0"/>
              <w:tr2bl w:val="nil" w:sz="0" w:space="0" w:color="000000" tmln="20,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Überhitzung der Heizungen</w:t>
            </w:r>
          </w:p>
        </w:tc>
        <w:tc>
          <w:tcPr>
            <w:tcW w:w="2784"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nil" w:sz="0" w:space="0" w:color="000000" tmln="20, 20, 20, 0, 0"/>
              <w:tl2br w:val="nil" w:sz="0" w:space="0" w:color="000000" tmln="20, 20, 20, 0, 0"/>
              <w:tr2bl w:val="nil" w:sz="0" w:space="0" w:color="000000" tmln="20,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Ursache muss gefunden und behoben werden.</w:t>
              <w:br w:type="textWrapping"/>
              <w:t>Entriegelung am Gerät notwendig.</w:t>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l2br w:val="nil" w:sz="0" w:space="0" w:color="000000" tmln="20, 20, 20, 0, 0"/>
              <w:tr2bl w:val="nil" w:sz="0" w:space="0" w:color="000000" tmln="20,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A</w:t>
            </w:r>
          </w:p>
        </w:tc>
      </w:tr>
      <w:tr>
        <w:trPr>
          <w:tblHeader w:val="0"/>
          <w:cantSplit w:val="0"/>
          <w:trHeight w:val="0" w:hRule="auto"/>
        </w:trPr>
        <w:tc>
          <w:tcPr>
            <w:tcW w:w="612"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nil" w:sz="0" w:space="0" w:color="000000" tmln="20, 20, 20, 0, 0"/>
              <w:tl2br w:val="nil" w:sz="0" w:space="0" w:color="000000" tmln="20, 20, 20, 0, 0"/>
              <w:tr2bl w:val="nil" w:sz="0" w:space="0" w:color="000000" tmln="20,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25</w:t>
            </w:r>
          </w:p>
        </w:tc>
        <w:tc>
          <w:tcPr>
            <w:tcW w:w="3015"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nil" w:sz="0" w:space="0" w:color="000000" tmln="20, 20, 20, 0, 0"/>
              <w:tl2br w:val="nil" w:sz="0" w:space="0" w:color="000000" tmln="20, 20, 20, 0, 0"/>
              <w:tr2bl w:val="nil" w:sz="0" w:space="0" w:color="000000" tmln="20,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Heizung =04-E2.1...-E2.6</w:t>
            </w:r>
          </w:p>
          <w:p>
            <w:pPr>
              <w:rPr>
                <w:rFonts w:ascii="Arial" w:hAnsi="Arial" w:eastAsia="Arial" w:cs="Arial"/>
                <w:sz w:val="20"/>
                <w:szCs w:val="20"/>
                <w:lang w:bidi="hi-in"/>
              </w:rPr>
            </w:pPr>
            <w:r>
              <w:rPr>
                <w:rFonts w:ascii="Arial" w:hAnsi="Arial" w:eastAsia="Arial" w:cs="Arial"/>
                <w:sz w:val="20"/>
                <w:szCs w:val="20"/>
                <w:lang w:bidi="hi-in"/>
              </w:rPr>
              <w:t>MSS (04-Q1/05-Q1)</w:t>
            </w:r>
          </w:p>
        </w:tc>
        <w:tc>
          <w:tcPr>
            <w:tcW w:w="2887"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nil" w:sz="0" w:space="0" w:color="000000" tmln="20, 20, 20, 0, 0"/>
              <w:tl2br w:val="nil" w:sz="0" w:space="0" w:color="000000" tmln="20, 20, 20, 0, 0"/>
              <w:tr2bl w:val="nil" w:sz="0" w:space="0" w:color="000000" tmln="20, 20, 20, 0, 0"/>
            </w:tcBorders>
            <w:tmTcPr id="1634634931" protected="0"/>
          </w:tcPr>
          <w:p>
            <w:pPr/>
            <w:r>
              <w:t>Motorschutzschalter hat ausgelöst</w:t>
            </w:r>
          </w:p>
        </w:tc>
        <w:tc>
          <w:tcPr>
            <w:tcW w:w="2784"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nil" w:sz="0" w:space="0" w:color="000000" tmln="20, 20, 20, 0, 0"/>
              <w:tl2br w:val="nil" w:sz="0" w:space="0" w:color="000000" tmln="20, 20, 20, 0, 0"/>
              <w:tr2bl w:val="nil" w:sz="0" w:space="0" w:color="000000" tmln="20,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Ursache muss gefunden und behoben werden.</w:t>
            </w:r>
          </w:p>
          <w:p>
            <w:pPr>
              <w:rPr>
                <w:rFonts w:ascii="Arial" w:hAnsi="Arial" w:eastAsia="Arial" w:cs="Arial"/>
                <w:sz w:val="20"/>
                <w:szCs w:val="20"/>
                <w:lang w:bidi="hi-in"/>
              </w:rPr>
            </w:pPr>
            <w:r>
              <w:rPr>
                <w:rFonts w:ascii="Arial" w:hAnsi="Arial" w:eastAsia="Arial" w:cs="Arial"/>
                <w:sz w:val="20"/>
                <w:szCs w:val="20"/>
                <w:lang w:bidi="hi-in"/>
              </w:rPr>
              <w:t>Entriegelung am Gerät notwendig.</w:t>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l2br w:val="nil" w:sz="0" w:space="0" w:color="000000" tmln="20, 20, 20, 0, 0"/>
              <w:tr2bl w:val="nil" w:sz="0" w:space="0" w:color="000000" tmln="20, 20, 20, 0, 0"/>
            </w:tcBorders>
            <w:tmTcPr id="1634634931" protected="0"/>
          </w:tcPr>
          <w:p>
            <w:pPr/>
            <w:r>
              <w:t>H</w:t>
            </w:r>
          </w:p>
        </w:tc>
      </w:tr>
      <w:tr>
        <w:trPr>
          <w:tblHeader w:val="0"/>
          <w:cantSplit w:val="0"/>
          <w:trHeight w:val="0" w:hRule="auto"/>
        </w:trPr>
        <w:tc>
          <w:tcPr>
            <w:tcW w:w="612" w:type="dxa"/>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42</w:t>
            </w:r>
          </w:p>
        </w:tc>
        <w:tc>
          <w:tcPr>
            <w:tcW w:w="3015"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Heizen Prüfgutschutz Max (=18-N1)</w:t>
            </w:r>
          </w:p>
        </w:tc>
        <w:tc>
          <w:tcPr>
            <w:tcW w:w="2887"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Am Regler „Prüfgutschutz“ wurde der eingestellte Maximalwert überschritten.</w:t>
            </w:r>
          </w:p>
        </w:tc>
        <w:tc>
          <w:tcPr>
            <w:tcW w:w="2784"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Kontrollieren, ob die Einstellung zum Sollwert passt (sollte einige K darüber liegen). Halbleiterschütze der Heizungen auf Funktion kontrollieren. Regelung beobachten (Überschwingen über den Sollwert). Idealerweise sollte der Prüfgutschutz erst dann abschalten, wenn die Maximalgrenze überschritten ist.</w:t>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A</w:t>
            </w:r>
          </w:p>
        </w:tc>
      </w:tr>
    </w:tbl>
    <w:p>
      <w:pPr>
        <w:pStyle w:val="para3"/>
        <w:numPr>
          <w:ilvl w:val="2"/>
          <w:numId w:val="9"/>
        </w:numPr>
        <w:ind w:left="720" w:hanging="720"/>
        <w:rPr>
          <w:lang w:bidi="hi-in"/>
        </w:rPr>
      </w:pPr>
      <w:bookmarkStart w:id="48" w:name="_TOC000042"/>
      <w:r>
        <w:rPr>
          <w:lang w:bidi="hi-in"/>
        </w:rPr>
      </w:r>
      <w:r/>
      <w:bookmarkStart w:id="49" w:name="_TOC000026"/>
      <w:r/>
      <w:r>
        <w:rPr>
          <w:lang w:bidi="hi-in"/>
        </w:rPr>
        <w:t>Kühlung</w:t>
      </w:r>
      <w:r/>
      <w:bookmarkEnd w:id="49"/>
      <w:r/>
      <w:r>
        <w:rPr>
          <w:lang w:bidi="hi-in"/>
        </w:rPr>
      </w:r>
      <w:bookmarkEnd w:id="48"/>
      <w:r>
        <w:rPr>
          <w:lang w:bidi="hi-in"/>
        </w:rPr>
      </w:r>
    </w:p>
    <w:tbl>
      <w:tblPr>
        <w:tblStyle w:val="NormalTable"/>
        <w:name w:val="Tabelle14"/>
        <w:tabOrder w:val="0"/>
        <w:jc w:val="left"/>
        <w:tblInd w:w="55" w:type="dxa"/>
        <w:tblW w:w="9861" w:type="dxa"/>
        <w:tblLook w:val="04A0" w:firstRow="1" w:lastRow="0" w:firstColumn="1" w:lastColumn="0" w:noHBand="0" w:noVBand="1"/>
      </w:tblPr>
      <w:tblGrid>
        <w:gridCol w:w="651"/>
        <w:gridCol w:w="3119"/>
        <w:gridCol w:w="2795"/>
        <w:gridCol w:w="2733"/>
        <w:gridCol w:w="563"/>
      </w:tblGrid>
      <w:tr>
        <w:trPr>
          <w:tblHeader w:val="0"/>
          <w:cantSplit w:val="0"/>
          <w:trHeight w:val="0" w:hRule="auto"/>
        </w:trPr>
        <w:tc>
          <w:tcPr>
            <w:tcW w:w="651" w:type="dxa"/>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Nr.</w:t>
            </w:r>
          </w:p>
        </w:tc>
        <w:tc>
          <w:tcPr>
            <w:tcW w:w="3119"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Alarmmeldung</w:t>
            </w:r>
          </w:p>
        </w:tc>
        <w:tc>
          <w:tcPr>
            <w:tcW w:w="2795"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Beschreibung</w:t>
            </w:r>
          </w:p>
        </w:tc>
        <w:tc>
          <w:tcPr>
            <w:tcW w:w="273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Abhilfe</w:t>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Quit</w:t>
            </w:r>
          </w:p>
        </w:tc>
      </w:tr>
      <w:tr>
        <w:trPr>
          <w:tblHeader w:val="0"/>
          <w:cantSplit w:val="0"/>
          <w:trHeight w:val="0" w:hRule="auto"/>
        </w:trPr>
        <w:tc>
          <w:tcPr>
            <w:tcW w:w="651" w:type="dxa"/>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43</w:t>
            </w:r>
          </w:p>
        </w:tc>
        <w:tc>
          <w:tcPr>
            <w:tcW w:w="3119"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Kühlen Prüfgutschutz Min (=18-N1)</w:t>
            </w:r>
          </w:p>
        </w:tc>
        <w:tc>
          <w:tcPr>
            <w:tcW w:w="2795"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Am Regler „Prüfgutschutz“ wurde der eingestellte Minimalwert unterschritten.</w:t>
            </w:r>
          </w:p>
        </w:tc>
        <w:tc>
          <w:tcPr>
            <w:tcW w:w="273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Kontrollieren, ob die Einstellung zum Sollwert passt (sollte einige K darunter liegen). Ursache kann auch ein nicht mehr schließendes Magnetventil der Kälteanlage sein (von Kältefachfirma prüfen lassen). Regelung beobachten (Überschwingen unter den Sollwert) Idealerweise sollte der Prüfgutschutz erst dann abschalten, wenn die Minimalgrenze unterschritten ist.</w:t>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A</w:t>
            </w:r>
          </w:p>
        </w:tc>
      </w:tr>
      <w:tr>
        <w:trPr>
          <w:tblHeader w:val="0"/>
          <w:cantSplit w:val="0"/>
          <w:trHeight w:val="0" w:hRule="auto"/>
        </w:trPr>
        <w:tc>
          <w:tcPr>
            <w:tcW w:w="651" w:type="dxa"/>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29</w:t>
            </w:r>
          </w:p>
        </w:tc>
        <w:tc>
          <w:tcPr>
            <w:tcW w:w="3119"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
              <w:t>Temperierung 05-M8 Pumpe MSS (04-Q1/05-Q1)</w:t>
            </w:r>
          </w:p>
        </w:tc>
        <w:tc>
          <w:tcPr>
            <w:tcW w:w="2795"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nil" w:sz="0" w:space="0" w:color="000000" tmln="20, 20, 20, 0, 0"/>
              <w:tl2br w:val="nil" w:sz="0" w:space="0" w:color="000000" tmln="20, 20, 20, 0, 0"/>
              <w:tr2bl w:val="nil" w:sz="0" w:space="0" w:color="000000" tmln="20,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Der Motorschutzschalter Pumpe hat abgeschaltet. Mögliche Ursachen: Überlastung oder Defekt der Pumpe.</w:t>
            </w:r>
          </w:p>
        </w:tc>
        <w:tc>
          <w:tcPr>
            <w:tcW w:w="273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nil" w:sz="0" w:space="0" w:color="000000" tmln="20, 20, 20, 0, 0"/>
              <w:tl2br w:val="nil" w:sz="0" w:space="0" w:color="000000" tmln="20, 20, 20, 0, 0"/>
              <w:tr2bl w:val="nil" w:sz="0" w:space="0" w:color="000000" tmln="20,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Ursache muss von einer Kältefachfirma geklärt und behoben werden.</w:t>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l2br w:val="nil" w:sz="0" w:space="0" w:color="000000" tmln="20, 20, 20, 0, 0"/>
              <w:tr2bl w:val="nil" w:sz="0" w:space="0" w:color="000000" tmln="20,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H</w:t>
            </w:r>
          </w:p>
        </w:tc>
      </w:tr>
    </w:tbl>
    <w:p>
      <w:pPr>
        <w:ind w:left="55"/>
        <w:suppressAutoHyphens/>
        <w:hyphenationLines w:val="0"/>
        <w:widowControl w:val="0"/>
      </w:pPr>
      <w:r/>
    </w:p>
    <w:p>
      <w:pPr>
        <w:pStyle w:val="para3"/>
        <w:numPr>
          <w:ilvl w:val="2"/>
          <w:numId w:val="9"/>
        </w:numPr>
        <w:ind w:left="720" w:hanging="720"/>
      </w:pPr>
      <w:bookmarkStart w:id="50" w:name="_TOC000027"/>
      <w:r>
        <w:t>analoge Messungen</w:t>
      </w:r>
      <w:bookmarkEnd w:id="50"/>
      <w:r/>
    </w:p>
    <w:tbl>
      <w:tblPr>
        <w:tblStyle w:val="NormalTable"/>
        <w:name w:val="Tabelle20"/>
        <w:tabOrder w:val="0"/>
        <w:jc w:val="left"/>
        <w:tblInd w:w="0" w:type="dxa"/>
        <w:tblW w:w="9861" w:type="dxa"/>
        <w:tblLook w:val="04A0" w:firstRow="1" w:lastRow="0" w:firstColumn="1" w:lastColumn="0" w:noHBand="0" w:noVBand="1"/>
      </w:tblPr>
      <w:tblGrid>
        <w:gridCol w:w="793"/>
        <w:gridCol w:w="3027"/>
        <w:gridCol w:w="2926"/>
        <w:gridCol w:w="2552"/>
        <w:gridCol w:w="563"/>
      </w:tblGrid>
      <w:tr>
        <w:trPr>
          <w:tblHeader w:val="0"/>
          <w:cantSplit w:val="0"/>
          <w:trHeight w:val="0" w:hRule="auto"/>
        </w:trPr>
        <w:tc>
          <w:tcPr>
            <w:tcW w:w="793" w:type="dxa"/>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Nr.</w:t>
            </w:r>
          </w:p>
        </w:tc>
        <w:tc>
          <w:tcPr>
            <w:tcW w:w="3027"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Meldung</w:t>
            </w:r>
          </w:p>
        </w:tc>
        <w:tc>
          <w:tcPr>
            <w:tcW w:w="2926"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Beschreibung</w:t>
            </w:r>
          </w:p>
        </w:tc>
        <w:tc>
          <w:tcPr>
            <w:tcW w:w="2552"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Abhilfe</w:t>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Quit</w:t>
            </w:r>
          </w:p>
        </w:tc>
      </w:tr>
      <w:tr>
        <w:trPr>
          <w:tblHeader w:val="0"/>
          <w:cantSplit w:val="0"/>
          <w:trHeight w:val="0" w:hRule="auto"/>
        </w:trPr>
        <w:tc>
          <w:tcPr>
            <w:tcW w:w="793" w:type="dxa"/>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t>54</w:t>
            </w:r>
          </w:p>
        </w:tc>
        <w:tc>
          <w:tcPr>
            <w:tcW w:w="3027"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t>Temperaturmessung</w:t>
            </w:r>
          </w:p>
          <w:p>
            <w:pPr/>
            <w:r>
              <w:t>Prüfraum (=19-B1) gest.</w:t>
            </w:r>
          </w:p>
        </w:tc>
        <w:tc>
          <w:tcPr>
            <w:tcW w:w="2926"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l2br w:val="nil" w:sz="0" w:space="0" w:color="000000" tmln="20, 20, 20, 0, 0"/>
              <w:tr2bl w:val="nil" w:sz="0" w:space="0" w:color="000000" tmln="20, 20, 20, 0, 0"/>
            </w:tcBorders>
            <w:tmTcPr id="1634634931" protected="0"/>
          </w:tcPr>
          <w:p>
            <w:pPr/>
            <w:r>
              <w:t>Messung gestört</w:t>
            </w:r>
          </w:p>
        </w:tc>
        <w:tc>
          <w:tcPr>
            <w:tcW w:w="2552"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l2br w:val="nil" w:sz="0" w:space="0" w:color="000000" tmln="20, 20, 20, 0, 0"/>
              <w:tr2bl w:val="nil" w:sz="0" w:space="0" w:color="000000" tmln="20, 20, 20, 0, 0"/>
            </w:tcBorders>
            <w:tmTcPr id="1634634931" protected="0"/>
          </w:tcPr>
          <w:p>
            <w:pPr>
              <w:rPr>
                <w:rFonts w:ascii="Arial" w:hAnsi="Arial" w:eastAsia="Arial" w:cs="Arial"/>
                <w:color w:val="000000"/>
                <w:sz w:val="20"/>
                <w:szCs w:val="20"/>
                <w:lang w:bidi="hi-in"/>
              </w:rPr>
            </w:pPr>
            <w:r>
              <w:rPr>
                <w:rFonts w:ascii="Arial" w:hAnsi="Arial" w:eastAsia="Arial" w:cs="Arial"/>
                <w:color w:val="000000"/>
                <w:sz w:val="20"/>
                <w:szCs w:val="20"/>
                <w:lang w:bidi="hi-in"/>
              </w:rPr>
              <w:t>Die Ursache muss gefunden und beseitigt werden.</w:t>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l2br w:val="nil" w:sz="0" w:space="0" w:color="000000" tmln="20, 20, 20, 0, 0"/>
              <w:tr2bl w:val="nil" w:sz="0" w:space="0" w:color="000000" tmln="20, 20, 20, 0, 0"/>
            </w:tcBorders>
            <w:tmTcPr id="1634634931" protected="0"/>
          </w:tcPr>
          <w:p>
            <w:pPr/>
            <w:r>
              <w:t>A</w:t>
            </w:r>
          </w:p>
        </w:tc>
      </w:tr>
      <w:tr>
        <w:trPr>
          <w:tblHeader w:val="0"/>
          <w:cantSplit w:val="0"/>
          <w:trHeight w:val="0" w:hRule="auto"/>
        </w:trPr>
        <w:tc>
          <w:tcPr>
            <w:tcW w:w="793" w:type="dxa"/>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t>55</w:t>
            </w:r>
          </w:p>
        </w:tc>
        <w:tc>
          <w:tcPr>
            <w:tcW w:w="3027"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t>Feuchtemessung</w:t>
            </w:r>
          </w:p>
          <w:p>
            <w:pPr/>
            <w:r>
              <w:t>Prüfraum (=19-B2) gest.</w:t>
            </w:r>
          </w:p>
        </w:tc>
        <w:tc>
          <w:tcPr>
            <w:tcW w:w="2926"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l2br w:val="nil" w:sz="0" w:space="0" w:color="000000" tmln="20, 20, 20, 0, 0"/>
              <w:tr2bl w:val="nil" w:sz="0" w:space="0" w:color="000000" tmln="20, 20, 20, 0, 0"/>
            </w:tcBorders>
            <w:tmTcPr id="1634634931" protected="0"/>
          </w:tcPr>
          <w:p>
            <w:pPr/>
            <w:r>
              <w:t>Messung gestört</w:t>
            </w:r>
          </w:p>
        </w:tc>
        <w:tc>
          <w:tcPr>
            <w:tcW w:w="2552"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l2br w:val="nil" w:sz="0" w:space="0" w:color="000000" tmln="20, 20, 20, 0, 0"/>
              <w:tr2bl w:val="nil" w:sz="0" w:space="0" w:color="000000" tmln="20, 20, 20, 0, 0"/>
            </w:tcBorders>
            <w:tmTcPr id="1634634931" protected="0"/>
          </w:tcPr>
          <w:p>
            <w:pPr>
              <w:rPr>
                <w:rFonts w:ascii="Arial" w:hAnsi="Arial" w:eastAsia="Arial" w:cs="Arial"/>
                <w:color w:val="000000"/>
                <w:sz w:val="20"/>
                <w:szCs w:val="20"/>
                <w:lang w:bidi="hi-in"/>
              </w:rPr>
            </w:pPr>
            <w:r>
              <w:rPr>
                <w:rFonts w:ascii="Arial" w:hAnsi="Arial" w:eastAsia="Arial" w:cs="Arial"/>
                <w:color w:val="000000"/>
                <w:sz w:val="20"/>
                <w:szCs w:val="20"/>
                <w:lang w:bidi="hi-in"/>
              </w:rPr>
              <w:t>Die Ursache muss gefunden und beseitigt werden.</w:t>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l2br w:val="nil" w:sz="0" w:space="0" w:color="000000" tmln="20, 20, 20, 0, 0"/>
              <w:tr2bl w:val="nil" w:sz="0" w:space="0" w:color="000000" tmln="20, 20, 20, 0, 0"/>
            </w:tcBorders>
            <w:tmTcPr id="1634634931" protected="0"/>
          </w:tcPr>
          <w:p>
            <w:pPr/>
            <w:r>
              <w:t>A</w:t>
            </w:r>
          </w:p>
        </w:tc>
      </w:tr>
      <w:tr>
        <w:trPr>
          <w:tblHeader w:val="0"/>
          <w:cantSplit w:val="0"/>
          <w:trHeight w:val="0" w:hRule="auto"/>
        </w:trPr>
        <w:tc>
          <w:tcPr>
            <w:tcW w:w="793" w:type="dxa"/>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t>56</w:t>
            </w:r>
          </w:p>
        </w:tc>
        <w:tc>
          <w:tcPr>
            <w:tcW w:w="3027"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t>Temperaturmessung</w:t>
            </w:r>
          </w:p>
          <w:p>
            <w:pPr/>
            <w:r>
              <w:t>Prüfraum (=19-B2) gest.</w:t>
            </w:r>
          </w:p>
        </w:tc>
        <w:tc>
          <w:tcPr>
            <w:tcW w:w="2926"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l2br w:val="nil" w:sz="0" w:space="0" w:color="000000" tmln="20, 20, 20, 0, 0"/>
              <w:tr2bl w:val="nil" w:sz="0" w:space="0" w:color="000000" tmln="20, 20, 20, 0, 0"/>
            </w:tcBorders>
            <w:tmTcPr id="1634634931" protected="0"/>
          </w:tcPr>
          <w:p>
            <w:pPr/>
            <w:r>
              <w:t>Messung gestört</w:t>
            </w:r>
          </w:p>
        </w:tc>
        <w:tc>
          <w:tcPr>
            <w:tcW w:w="2552"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l2br w:val="nil" w:sz="0" w:space="0" w:color="000000" tmln="20, 20, 20, 0, 0"/>
              <w:tr2bl w:val="nil" w:sz="0" w:space="0" w:color="000000" tmln="20, 20, 20, 0, 0"/>
            </w:tcBorders>
            <w:tmTcPr id="1634634931" protected="0"/>
          </w:tcPr>
          <w:p>
            <w:pPr>
              <w:rPr>
                <w:rFonts w:ascii="Arial" w:hAnsi="Arial" w:eastAsia="Arial" w:cs="Arial"/>
                <w:color w:val="000000"/>
                <w:sz w:val="20"/>
                <w:szCs w:val="20"/>
                <w:lang w:bidi="hi-in"/>
              </w:rPr>
            </w:pPr>
            <w:r>
              <w:rPr>
                <w:rFonts w:ascii="Arial" w:hAnsi="Arial" w:eastAsia="Arial" w:cs="Arial"/>
                <w:color w:val="000000"/>
                <w:sz w:val="20"/>
                <w:szCs w:val="20"/>
                <w:lang w:bidi="hi-in"/>
              </w:rPr>
              <w:t>Die Ursache muss gefunden und beseitigt werden.</w:t>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l2br w:val="nil" w:sz="0" w:space="0" w:color="000000" tmln="20, 20, 20, 0, 0"/>
              <w:tr2bl w:val="nil" w:sz="0" w:space="0" w:color="000000" tmln="20, 20, 20, 0, 0"/>
            </w:tcBorders>
            <w:tmTcPr id="1634634931" protected="0"/>
          </w:tcPr>
          <w:p>
            <w:pPr/>
            <w:r>
              <w:t>A</w:t>
            </w:r>
          </w:p>
        </w:tc>
      </w:tr>
      <w:tr>
        <w:trPr>
          <w:tblHeader w:val="0"/>
          <w:cantSplit w:val="0"/>
          <w:trHeight w:val="0" w:hRule="auto"/>
        </w:trPr>
        <w:tc>
          <w:tcPr>
            <w:tcW w:w="793" w:type="dxa"/>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
              <w:t>209</w:t>
            </w:r>
          </w:p>
        </w:tc>
        <w:tc>
          <w:tcPr>
            <w:tcW w:w="3027"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
              <w:t>Istwert- Fehler</w:t>
            </w:r>
          </w:p>
        </w:tc>
        <w:tc>
          <w:tcPr>
            <w:tcW w:w="2926"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
              <w:t>analoge Messung Kurzschluss oder Unterbrechung</w:t>
            </w:r>
          </w:p>
        </w:tc>
        <w:tc>
          <w:tcPr>
            <w:tcW w:w="2552"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
              <w:t>Unter Betrieb-&gt;Prozessdaten die beeinträchtigte Messung finden und weiter suchen</w:t>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t>A</w:t>
            </w:r>
          </w:p>
        </w:tc>
      </w:tr>
    </w:tbl>
    <w:p>
      <w:r/>
    </w:p>
    <w:p>
      <w:pPr>
        <w:pStyle w:val="para3"/>
        <w:numPr>
          <w:ilvl w:val="2"/>
          <w:numId w:val="9"/>
        </w:numPr>
        <w:ind w:left="720" w:hanging="720"/>
      </w:pPr>
      <w:r>
        <w:br w:type="page"/>
      </w:r>
      <w:bookmarkStart w:id="51" w:name="_TOC000028"/>
      <w:r>
        <w:t>Be-/Entfeuchtung</w:t>
      </w:r>
      <w:bookmarkEnd w:id="51"/>
      <w:r/>
    </w:p>
    <w:tbl>
      <w:tblPr>
        <w:tblStyle w:val="NormalTable"/>
        <w:name w:val="Tabelle19"/>
        <w:tabOrder w:val="0"/>
        <w:jc w:val="left"/>
        <w:tblInd w:w="0" w:type="dxa"/>
        <w:tblW w:w="9861" w:type="dxa"/>
        <w:tblLook w:val="04A0" w:firstRow="1" w:lastRow="0" w:firstColumn="1" w:lastColumn="0" w:noHBand="0" w:noVBand="1"/>
      </w:tblPr>
      <w:tblGrid>
        <w:gridCol w:w="793"/>
        <w:gridCol w:w="3027"/>
        <w:gridCol w:w="2926"/>
        <w:gridCol w:w="2552"/>
        <w:gridCol w:w="563"/>
      </w:tblGrid>
      <w:tr>
        <w:trPr>
          <w:tblHeader w:val="0"/>
          <w:cantSplit w:val="0"/>
          <w:trHeight w:val="0" w:hRule="auto"/>
        </w:trPr>
        <w:tc>
          <w:tcPr>
            <w:tcW w:w="793" w:type="dxa"/>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Nr.</w:t>
            </w:r>
          </w:p>
        </w:tc>
        <w:tc>
          <w:tcPr>
            <w:tcW w:w="3027"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Meldung</w:t>
            </w:r>
          </w:p>
        </w:tc>
        <w:tc>
          <w:tcPr>
            <w:tcW w:w="2926"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Beschreibung</w:t>
            </w:r>
          </w:p>
        </w:tc>
        <w:tc>
          <w:tcPr>
            <w:tcW w:w="2552"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Abhilfe</w:t>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Quit</w:t>
            </w:r>
          </w:p>
        </w:tc>
      </w:tr>
      <w:tr>
        <w:trPr>
          <w:tblHeader w:val="0"/>
          <w:cantSplit w:val="0"/>
          <w:trHeight w:val="0" w:hRule="auto"/>
        </w:trPr>
        <w:tc>
          <w:tcPr>
            <w:tcW w:w="793" w:type="dxa"/>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t>45</w:t>
            </w:r>
          </w:p>
        </w:tc>
        <w:tc>
          <w:tcPr>
            <w:tcW w:w="3027"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t>Befeuchtung</w:t>
            </w:r>
          </w:p>
          <w:p>
            <w:pPr/>
            <w:r>
              <w:t>LS(=21-F1)</w:t>
            </w:r>
          </w:p>
          <w:p>
            <w:pPr>
              <w:rPr>
                <w:rFonts w:ascii="Arial" w:hAnsi="Arial" w:eastAsia="Arial" w:cs="Arial"/>
                <w:color w:val="000000"/>
                <w:sz w:val="20"/>
                <w:szCs w:val="20"/>
                <w:lang w:bidi="hi-in"/>
              </w:rPr>
            </w:pPr>
            <w:r>
              <w:rPr>
                <w:rFonts w:ascii="Arial" w:hAnsi="Arial" w:eastAsia="Arial" w:cs="Arial"/>
                <w:color w:val="000000"/>
                <w:sz w:val="20"/>
                <w:szCs w:val="20"/>
                <w:lang w:bidi="hi-in"/>
              </w:rPr>
            </w:r>
          </w:p>
        </w:tc>
        <w:tc>
          <w:tcPr>
            <w:tcW w:w="2926"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Pr>
                <w:rFonts w:ascii="Arial" w:hAnsi="Arial" w:eastAsia="Arial" w:cs="Arial"/>
                <w:color w:val="000000"/>
                <w:sz w:val="20"/>
                <w:szCs w:val="20"/>
                <w:lang w:bidi="hi-in"/>
              </w:rPr>
            </w:pPr>
            <w:r>
              <w:rPr>
                <w:rFonts w:ascii="Arial" w:hAnsi="Arial" w:eastAsia="Arial" w:cs="Arial"/>
                <w:color w:val="000000"/>
                <w:sz w:val="20"/>
                <w:szCs w:val="20"/>
                <w:lang w:bidi="hi-in"/>
              </w:rPr>
              <w:t>Der Motorschutz-/Leitungsschutzschalter ausgelöst.</w:t>
            </w:r>
          </w:p>
        </w:tc>
        <w:tc>
          <w:tcPr>
            <w:tcW w:w="2552"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Pr>
                <w:rFonts w:ascii="Arial" w:hAnsi="Arial" w:eastAsia="Arial" w:cs="Arial"/>
                <w:color w:val="000000"/>
                <w:sz w:val="20"/>
                <w:szCs w:val="20"/>
                <w:lang w:bidi="hi-in"/>
              </w:rPr>
            </w:pPr>
            <w:r>
              <w:rPr>
                <w:rFonts w:ascii="Arial" w:hAnsi="Arial" w:eastAsia="Arial" w:cs="Arial"/>
                <w:color w:val="000000"/>
                <w:sz w:val="20"/>
                <w:szCs w:val="20"/>
                <w:lang w:bidi="hi-in"/>
              </w:rPr>
              <w:t>Die Ursache muss gefunden und beseitigt werden.</w:t>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Pr>
                <w:rFonts w:ascii="Arial" w:hAnsi="Arial" w:eastAsia="Arial" w:cs="Arial"/>
                <w:color w:val="000000"/>
                <w:sz w:val="20"/>
                <w:szCs w:val="20"/>
                <w:lang w:bidi="hi-in"/>
              </w:rPr>
            </w:pPr>
            <w:r>
              <w:rPr>
                <w:rFonts w:ascii="Arial" w:hAnsi="Arial" w:eastAsia="Arial" w:cs="Arial"/>
                <w:color w:val="000000"/>
                <w:sz w:val="20"/>
                <w:szCs w:val="20"/>
                <w:lang w:bidi="hi-in"/>
              </w:rPr>
              <w:t>H</w:t>
            </w:r>
          </w:p>
        </w:tc>
      </w:tr>
      <w:tr>
        <w:trPr>
          <w:tblHeader w:val="0"/>
          <w:cantSplit w:val="0"/>
          <w:trHeight w:val="0" w:hRule="auto"/>
        </w:trPr>
        <w:tc>
          <w:tcPr>
            <w:tcW w:w="793" w:type="dxa"/>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t>46</w:t>
            </w:r>
          </w:p>
        </w:tc>
        <w:tc>
          <w:tcPr>
            <w:tcW w:w="3027"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Pr>
                <w:rFonts w:ascii="Arial" w:hAnsi="Arial" w:eastAsia="Arial" w:cs="Arial"/>
                <w:color w:val="000000"/>
                <w:sz w:val="20"/>
                <w:szCs w:val="20"/>
              </w:rPr>
            </w:pPr>
            <w:r>
              <w:rPr>
                <w:rFonts w:ascii="Arial" w:hAnsi="Arial" w:eastAsia="Arial" w:cs="Arial"/>
                <w:color w:val="000000"/>
                <w:sz w:val="20"/>
                <w:szCs w:val="20"/>
              </w:rPr>
              <w:t>Befeuchtung</w:t>
            </w:r>
          </w:p>
          <w:p>
            <w:pPr>
              <w:rPr>
                <w:rFonts w:ascii="Arial" w:hAnsi="Arial" w:eastAsia="Arial" w:cs="Arial"/>
                <w:color w:val="000000"/>
                <w:sz w:val="20"/>
                <w:szCs w:val="20"/>
              </w:rPr>
            </w:pPr>
            <w:r>
              <w:rPr>
                <w:rFonts w:ascii="Arial" w:hAnsi="Arial" w:eastAsia="Arial" w:cs="Arial"/>
                <w:color w:val="000000"/>
                <w:sz w:val="20"/>
                <w:szCs w:val="20"/>
              </w:rPr>
              <w:t>Dampfbefeuchter</w:t>
            </w:r>
          </w:p>
          <w:p>
            <w:pPr>
              <w:rPr>
                <w:rFonts w:ascii="Arial" w:hAnsi="Arial" w:eastAsia="Arial" w:cs="Arial"/>
                <w:color w:val="000000"/>
                <w:sz w:val="20"/>
                <w:szCs w:val="20"/>
              </w:rPr>
            </w:pPr>
            <w:r>
              <w:rPr>
                <w:rFonts w:ascii="Arial" w:hAnsi="Arial" w:eastAsia="Arial" w:cs="Arial"/>
                <w:color w:val="000000"/>
                <w:sz w:val="20"/>
                <w:szCs w:val="20"/>
              </w:rPr>
              <w:t>(=21-A1/F1)</w:t>
            </w:r>
          </w:p>
        </w:tc>
        <w:tc>
          <w:tcPr>
            <w:tcW w:w="2926"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t>Fehlermeldung vom Gerät</w:t>
            </w:r>
          </w:p>
        </w:tc>
        <w:tc>
          <w:tcPr>
            <w:tcW w:w="2552"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Pr>
                <w:rFonts w:ascii="Arial" w:hAnsi="Arial" w:eastAsia="Arial" w:cs="Arial"/>
                <w:color w:val="000000"/>
                <w:sz w:val="20"/>
                <w:szCs w:val="20"/>
                <w:lang w:bidi="hi-in"/>
              </w:rPr>
            </w:pPr>
            <w:r>
              <w:rPr>
                <w:rFonts w:ascii="Arial" w:hAnsi="Arial" w:eastAsia="Arial" w:cs="Arial"/>
                <w:color w:val="000000"/>
                <w:sz w:val="20"/>
                <w:szCs w:val="20"/>
                <w:lang w:bidi="hi-in"/>
              </w:rPr>
              <w:t>Die Ursache muss gefunden und beseitigt werden.</w:t>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t>H</w:t>
            </w:r>
          </w:p>
        </w:tc>
      </w:tr>
      <w:tr>
        <w:trPr>
          <w:tblHeader w:val="0"/>
          <w:cantSplit w:val="0"/>
          <w:trHeight w:val="0" w:hRule="auto"/>
        </w:trPr>
        <w:tc>
          <w:tcPr>
            <w:tcW w:w="793" w:type="dxa"/>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t>47</w:t>
            </w:r>
          </w:p>
        </w:tc>
        <w:tc>
          <w:tcPr>
            <w:tcW w:w="3027"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t>Temperaturmessung</w:t>
            </w:r>
          </w:p>
          <w:p>
            <w:pPr/>
            <w:r>
              <w:t>Befeuchtung (=21-B15)</w:t>
            </w:r>
          </w:p>
          <w:p>
            <w:pPr/>
            <w:r>
              <w:t>gest.</w:t>
            </w:r>
          </w:p>
        </w:tc>
        <w:tc>
          <w:tcPr>
            <w:tcW w:w="2926"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t>Messung gestört</w:t>
            </w:r>
          </w:p>
        </w:tc>
        <w:tc>
          <w:tcPr>
            <w:tcW w:w="2552"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Pr>
                <w:rFonts w:ascii="Arial" w:hAnsi="Arial" w:eastAsia="Arial" w:cs="Arial"/>
                <w:color w:val="000000"/>
                <w:sz w:val="20"/>
                <w:szCs w:val="20"/>
                <w:lang w:bidi="hi-in"/>
              </w:rPr>
            </w:pPr>
            <w:r>
              <w:rPr>
                <w:rFonts w:ascii="Arial" w:hAnsi="Arial" w:eastAsia="Arial" w:cs="Arial"/>
                <w:color w:val="000000"/>
                <w:sz w:val="20"/>
                <w:szCs w:val="20"/>
                <w:lang w:bidi="hi-in"/>
              </w:rPr>
              <w:t>Die Ursache muss gefunden und beseitigt werden.</w:t>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t>A</w:t>
            </w:r>
          </w:p>
        </w:tc>
      </w:tr>
    </w:tbl>
    <w:p>
      <w:pPr>
        <w:pStyle w:val="para3"/>
        <w:numPr>
          <w:ilvl w:val="2"/>
          <w:numId w:val="9"/>
        </w:numPr>
        <w:ind w:left="720" w:hanging="720"/>
        <w:rPr>
          <w:lang w:bidi="hi-in"/>
        </w:rPr>
      </w:pPr>
      <w:bookmarkStart w:id="52" w:name="_TOC000043"/>
      <w:r>
        <w:rPr>
          <w:lang w:bidi="hi-in"/>
        </w:rPr>
      </w:r>
      <w:r/>
      <w:bookmarkStart w:id="53" w:name="_TOC000029"/>
      <w:r/>
      <w:r>
        <w:rPr>
          <w:lang w:bidi="hi-in"/>
        </w:rPr>
        <w:t>Beleuchtung</w:t>
      </w:r>
      <w:r/>
      <w:bookmarkEnd w:id="53"/>
      <w:r/>
      <w:r>
        <w:rPr>
          <w:lang w:bidi="hi-in"/>
        </w:rPr>
      </w:r>
      <w:bookmarkEnd w:id="52"/>
      <w:r>
        <w:rPr>
          <w:lang w:bidi="hi-in"/>
        </w:rPr>
      </w:r>
    </w:p>
    <w:tbl>
      <w:tblPr>
        <w:tblStyle w:val="NormalTable"/>
        <w:name w:val="Tabelle24"/>
        <w:tabOrder w:val="0"/>
        <w:jc w:val="left"/>
        <w:tblInd w:w="0" w:type="dxa"/>
        <w:tblW w:w="9861" w:type="dxa"/>
        <w:tblLook w:val="04A0" w:firstRow="1" w:lastRow="0" w:firstColumn="1" w:lastColumn="0" w:noHBand="0" w:noVBand="1"/>
      </w:tblPr>
      <w:tblGrid>
        <w:gridCol w:w="793"/>
        <w:gridCol w:w="3027"/>
        <w:gridCol w:w="2926"/>
        <w:gridCol w:w="2552"/>
        <w:gridCol w:w="563"/>
      </w:tblGrid>
      <w:tr>
        <w:trPr>
          <w:tblHeader w:val="0"/>
          <w:cantSplit w:val="0"/>
          <w:trHeight w:val="0" w:hRule="auto"/>
        </w:trPr>
        <w:tc>
          <w:tcPr>
            <w:tcW w:w="793" w:type="dxa"/>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Nr.</w:t>
            </w:r>
          </w:p>
        </w:tc>
        <w:tc>
          <w:tcPr>
            <w:tcW w:w="3027"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Meldung</w:t>
            </w:r>
          </w:p>
        </w:tc>
        <w:tc>
          <w:tcPr>
            <w:tcW w:w="2926"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Beschreibung</w:t>
            </w:r>
          </w:p>
        </w:tc>
        <w:tc>
          <w:tcPr>
            <w:tcW w:w="2552"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Abhilfe</w:t>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Quit</w:t>
            </w:r>
          </w:p>
        </w:tc>
      </w:tr>
      <w:tr>
        <w:trPr>
          <w:tblHeader w:val="0"/>
          <w:cantSplit w:val="0"/>
          <w:trHeight w:val="0" w:hRule="auto"/>
        </w:trPr>
        <w:tc>
          <w:tcPr>
            <w:tcW w:w="793" w:type="dxa"/>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t>60</w:t>
            </w:r>
          </w:p>
        </w:tc>
        <w:tc>
          <w:tcPr>
            <w:tcW w:w="3027"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t>Strahler Leitungsschutz</w:t>
            </w:r>
          </w:p>
          <w:p>
            <w:pPr/>
            <w:r>
              <w:t>(53_F1_F6)</w:t>
            </w:r>
          </w:p>
        </w:tc>
        <w:tc>
          <w:tcPr>
            <w:tcW w:w="2926"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Pr>
                <w:rFonts w:ascii="Arial" w:hAnsi="Arial" w:eastAsia="Arial" w:cs="Arial"/>
                <w:color w:val="000000"/>
                <w:sz w:val="20"/>
                <w:szCs w:val="20"/>
                <w:lang w:bidi="hi-in"/>
              </w:rPr>
            </w:pPr>
            <w:r>
              <w:rPr>
                <w:rFonts w:ascii="Arial" w:hAnsi="Arial" w:eastAsia="Arial" w:cs="Arial"/>
                <w:color w:val="000000"/>
                <w:sz w:val="20"/>
                <w:szCs w:val="20"/>
                <w:lang w:bidi="hi-in"/>
              </w:rPr>
              <w:t>Der Motorschutz-/Leitungsschutzschalter ausgelöst.</w:t>
            </w:r>
          </w:p>
        </w:tc>
        <w:tc>
          <w:tcPr>
            <w:tcW w:w="2552"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Pr>
                <w:rFonts w:ascii="Arial" w:hAnsi="Arial" w:eastAsia="Arial" w:cs="Arial"/>
                <w:color w:val="000000"/>
                <w:sz w:val="20"/>
                <w:szCs w:val="20"/>
                <w:lang w:bidi="hi-in"/>
              </w:rPr>
            </w:pPr>
            <w:r>
              <w:rPr>
                <w:rFonts w:ascii="Arial" w:hAnsi="Arial" w:eastAsia="Arial" w:cs="Arial"/>
                <w:color w:val="000000"/>
                <w:sz w:val="20"/>
                <w:szCs w:val="20"/>
                <w:lang w:bidi="hi-in"/>
              </w:rPr>
              <w:t>Die Ursache muss gefunden und beseitigt werden.</w:t>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Pr>
                <w:rFonts w:ascii="Arial" w:hAnsi="Arial" w:eastAsia="Arial" w:cs="Arial"/>
                <w:color w:val="000000"/>
                <w:sz w:val="20"/>
                <w:szCs w:val="20"/>
                <w:lang w:bidi="hi-in"/>
              </w:rPr>
            </w:pPr>
            <w:r>
              <w:rPr>
                <w:rFonts w:ascii="Arial" w:hAnsi="Arial" w:eastAsia="Arial" w:cs="Arial"/>
                <w:color w:val="000000"/>
                <w:sz w:val="20"/>
                <w:szCs w:val="20"/>
                <w:lang w:bidi="hi-in"/>
              </w:rPr>
              <w:t>A</w:t>
            </w:r>
          </w:p>
        </w:tc>
      </w:tr>
      <w:tr>
        <w:trPr>
          <w:tblHeader w:val="0"/>
          <w:cantSplit w:val="0"/>
          <w:trHeight w:val="0" w:hRule="auto"/>
        </w:trPr>
        <w:tc>
          <w:tcPr>
            <w:tcW w:w="793" w:type="dxa"/>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p>
        </w:tc>
        <w:tc>
          <w:tcPr>
            <w:tcW w:w="3027"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p>
        </w:tc>
        <w:tc>
          <w:tcPr>
            <w:tcW w:w="2926"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p>
        </w:tc>
        <w:tc>
          <w:tcPr>
            <w:tcW w:w="2552"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p>
        </w:tc>
      </w:tr>
    </w:tbl>
    <w:p>
      <w:r/>
    </w:p>
    <w:p>
      <w:pPr>
        <w:pStyle w:val="para3"/>
        <w:numPr>
          <w:ilvl w:val="2"/>
          <w:numId w:val="9"/>
        </w:numPr>
        <w:ind w:left="720" w:hanging="720"/>
        <w:rPr>
          <w:lang w:bidi="hi-in"/>
        </w:rPr>
      </w:pPr>
      <w:bookmarkStart w:id="54" w:name="_TOC000044"/>
      <w:r>
        <w:rPr>
          <w:lang w:bidi="hi-in"/>
        </w:rPr>
      </w:r>
      <w:r/>
      <w:bookmarkStart w:id="55" w:name="_TOC000030"/>
      <w:r/>
      <w:r>
        <w:rPr>
          <w:lang w:bidi="hi-in"/>
        </w:rPr>
        <w:t>Belüftung</w:t>
      </w:r>
      <w:r/>
      <w:bookmarkEnd w:id="55"/>
      <w:r/>
      <w:r>
        <w:rPr>
          <w:lang w:bidi="hi-in"/>
        </w:rPr>
        <w:t xml:space="preserve"> (Option)</w:t>
      </w:r>
      <w:r>
        <w:rPr>
          <w:lang w:bidi="hi-in"/>
        </w:rPr>
      </w:r>
      <w:bookmarkEnd w:id="54"/>
      <w:r>
        <w:rPr>
          <w:lang w:bidi="hi-in"/>
        </w:rPr>
      </w:r>
    </w:p>
    <w:tbl>
      <w:tblPr>
        <w:tblStyle w:val="NormalTable"/>
        <w:name w:val="Tabelle25"/>
        <w:tabOrder w:val="0"/>
        <w:jc w:val="left"/>
        <w:tblInd w:w="0" w:type="dxa"/>
        <w:tblW w:w="9861" w:type="dxa"/>
        <w:tblLook w:val="04A0" w:firstRow="1" w:lastRow="0" w:firstColumn="1" w:lastColumn="0" w:noHBand="0" w:noVBand="1"/>
      </w:tblPr>
      <w:tblGrid>
        <w:gridCol w:w="793"/>
        <w:gridCol w:w="3027"/>
        <w:gridCol w:w="2926"/>
        <w:gridCol w:w="2552"/>
        <w:gridCol w:w="563"/>
      </w:tblGrid>
      <w:tr>
        <w:trPr>
          <w:tblHeader w:val="0"/>
          <w:cantSplit w:val="0"/>
          <w:trHeight w:val="0" w:hRule="auto"/>
        </w:trPr>
        <w:tc>
          <w:tcPr>
            <w:tcW w:w="793" w:type="dxa"/>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Nr.</w:t>
            </w:r>
          </w:p>
        </w:tc>
        <w:tc>
          <w:tcPr>
            <w:tcW w:w="3027"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Meldung</w:t>
            </w:r>
          </w:p>
        </w:tc>
        <w:tc>
          <w:tcPr>
            <w:tcW w:w="2926"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Beschreibung</w:t>
            </w:r>
          </w:p>
        </w:tc>
        <w:tc>
          <w:tcPr>
            <w:tcW w:w="2552"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Abhilfe</w:t>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Pr>
                <w:rFonts w:ascii="Arial" w:hAnsi="Arial" w:eastAsia="Arial" w:cs="Arial"/>
                <w:sz w:val="20"/>
                <w:szCs w:val="20"/>
                <w:lang w:bidi="hi-in"/>
              </w:rPr>
            </w:pPr>
            <w:r>
              <w:rPr>
                <w:rFonts w:ascii="Arial" w:hAnsi="Arial" w:eastAsia="Arial" w:cs="Arial"/>
                <w:sz w:val="20"/>
                <w:szCs w:val="20"/>
                <w:lang w:bidi="hi-in"/>
              </w:rPr>
              <w:t>Quit</w:t>
            </w:r>
          </w:p>
        </w:tc>
      </w:tr>
      <w:tr>
        <w:trPr>
          <w:tblHeader w:val="0"/>
          <w:cantSplit w:val="0"/>
          <w:trHeight w:val="0" w:hRule="auto"/>
        </w:trPr>
        <w:tc>
          <w:tcPr>
            <w:tcW w:w="793" w:type="dxa"/>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
              <w:t>61</w:t>
            </w:r>
          </w:p>
        </w:tc>
        <w:tc>
          <w:tcPr>
            <w:tcW w:w="3027"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
              <w:t>Zuluft Klappe =67-M36.1</w:t>
            </w:r>
          </w:p>
        </w:tc>
        <w:tc>
          <w:tcPr>
            <w:tcW w:w="2926"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
              <w:t>Überwachung Laufzeit Klappe. Endlage Auf wird nicht in vorgegebener Zeit erreicht.</w:t>
            </w:r>
          </w:p>
        </w:tc>
        <w:tc>
          <w:tcPr>
            <w:tcW w:w="2552"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tcBorders>
            <w:tmTcPr id="1634634931" protected="0"/>
          </w:tcPr>
          <w:p>
            <w:pPr/>
            <w:r>
              <w:t>Die Ursache muss gefunden und beseitigt werden.</w:t>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t>H</w:t>
            </w:r>
          </w:p>
        </w:tc>
      </w:tr>
      <w:tr>
        <w:trPr>
          <w:tblHeader w:val="0"/>
          <w:cantSplit w:val="0"/>
          <w:trHeight w:val="0" w:hRule="auto"/>
        </w:trPr>
        <w:tc>
          <w:tcPr>
            <w:tcW w:w="793" w:type="dxa"/>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t>62</w:t>
            </w:r>
          </w:p>
        </w:tc>
        <w:tc>
          <w:tcPr>
            <w:tcW w:w="3027"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t>Abluft Klappe =67-M36.2</w:t>
            </w:r>
          </w:p>
        </w:tc>
        <w:tc>
          <w:tcPr>
            <w:tcW w:w="2926"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t>Überwachung Laufzeit Klappe. Endlage Auf wird nicht in vorgegebener Zeit erreicht.</w:t>
            </w:r>
          </w:p>
        </w:tc>
        <w:tc>
          <w:tcPr>
            <w:tcW w:w="2552"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t>Die Ursache muss gefunden und beseitigt werden.</w:t>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t>H</w:t>
            </w:r>
          </w:p>
        </w:tc>
      </w:tr>
      <w:tr>
        <w:trPr>
          <w:tblHeader w:val="0"/>
          <w:cantSplit w:val="0"/>
          <w:trHeight w:val="0" w:hRule="auto"/>
        </w:trPr>
        <w:tc>
          <w:tcPr>
            <w:tcW w:w="793" w:type="dxa"/>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p>
        </w:tc>
        <w:tc>
          <w:tcPr>
            <w:tcW w:w="3027"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p>
        </w:tc>
        <w:tc>
          <w:tcPr>
            <w:tcW w:w="2926"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p>
        </w:tc>
        <w:tc>
          <w:tcPr>
            <w:tcW w:w="2552"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p>
        </w:tc>
        <w:tc>
          <w:tcPr>
            <w:tcW w:w="563" w:type="dxa"/>
            <w:shd w:val="none"/>
            <w:tcMar>
              <w:top w:w="55" w:type="dxa"/>
              <w:left w:w="54" w:type="dxa"/>
              <w:bottom w:w="55" w:type="dxa"/>
              <w:right w:w="55" w:type="dxa"/>
            </w:tcMar>
            <w:tcBorders>
              <w:top w:val="single" w:sz="2" w:space="0" w:color="000000" tmln="5, 20, 20, 0, 0"/>
              <w:left w:val="single" w:sz="2" w:space="0" w:color="000000" tmln="5, 20, 20, 0, 0"/>
              <w:bottom w:val="single" w:sz="2" w:space="0" w:color="000000" tmln="5, 20, 20, 0, 0"/>
              <w:right w:val="single" w:sz="2" w:space="0" w:color="000000" tmln="5, 20, 20, 0, 0"/>
            </w:tcBorders>
            <w:tmTcPr id="1634634931" protected="0"/>
          </w:tcPr>
          <w:p>
            <w:pPr/>
            <w:r/>
          </w:p>
        </w:tc>
      </w:tr>
    </w:tbl>
    <w:p>
      <w:r/>
    </w:p>
    <w:p>
      <w:r/>
    </w:p>
    <w:p>
      <w:pPr>
        <w:pStyle w:val="para2"/>
        <w:numPr>
          <w:ilvl w:val="1"/>
          <w:numId w:val="9"/>
        </w:numPr>
        <w:ind w:left="576" w:hanging="576"/>
      </w:pPr>
      <w:r>
        <w:br w:type="page"/>
      </w:r>
      <w:bookmarkStart w:id="56" w:name="_TOC000031"/>
      <w:r>
        <w:t xml:space="preserve">Außerbetriebnahme </w:t>
        <w:tab/>
      </w:r>
      <w:bookmarkEnd w:id="56"/>
      <w:r/>
    </w:p>
    <w:p>
      <w:pPr>
        <w:pStyle w:val="para15"/>
      </w:pPr>
      <w:r/>
    </w:p>
    <w:p>
      <w:pPr>
        <w:pStyle w:val="para15"/>
      </w:pPr>
      <w:r/>
    </w:p>
    <w:p>
      <w:pPr>
        <w:pStyle w:val="para15"/>
        <w:numPr>
          <w:ilvl w:val="0"/>
          <w:numId w:val="2"/>
        </w:numPr>
        <w:ind w:left="2494" w:hanging="1097"/>
        <w:tabs defTabSz="708">
          <w:tab w:val="left" w:pos="1757" w:leader="none"/>
        </w:tabs>
      </w:pPr>
      <w:r>
        <w:rPr>
          <w:b/>
        </w:rPr>
        <w:t xml:space="preserve">              Programmbetrieb</w:t>
      </w:r>
      <w:r>
        <w:t xml:space="preserve">: Programm beenden </w:t>
        <w:br w:type="textWrapping"/>
      </w:r>
      <w:r>
        <w:rPr>
          <w:b/>
        </w:rPr>
        <w:t>Handbetrieb</w:t>
      </w:r>
      <w:r>
        <w:t>:  Heizen oder Kühlen ausschalten (Betrieb-&gt; Programmgeber-&gt;Tabelle(links))</w:t>
      </w:r>
    </w:p>
    <w:p>
      <w:pPr>
        <w:pStyle w:val="para15"/>
        <w:numPr>
          <w:ilvl w:val="0"/>
          <w:numId w:val="2"/>
        </w:numPr>
        <w:ind w:left="2494" w:hanging="1097"/>
        <w:tabs defTabSz="708">
          <w:tab w:val="left" w:pos="2494" w:leader="none"/>
        </w:tabs>
      </w:pPr>
      <w:r>
        <w:t>Knebelschalter „Anlager EIN“ ausschalten</w:t>
      </w:r>
    </w:p>
    <w:p>
      <w:pPr>
        <w:pStyle w:val="para15"/>
        <w:numPr>
          <w:ilvl w:val="0"/>
          <w:numId w:val="2"/>
        </w:numPr>
        <w:ind w:left="2494" w:hanging="1097"/>
      </w:pPr>
      <w:r>
        <w:t>Externe Systeme außer Betrieb nehmen</w:t>
      </w:r>
    </w:p>
    <w:p>
      <w:pPr>
        <w:pStyle w:val="para15"/>
        <w:numPr>
          <w:ilvl w:val="0"/>
          <w:numId w:val="2"/>
        </w:numPr>
        <w:ind w:left="2494" w:hanging="1097"/>
      </w:pPr>
      <w:r>
        <w:t>ca. 5 Minuten warten, Nachlauf Lüfter und Kompressor</w:t>
      </w:r>
    </w:p>
    <w:p>
      <w:pPr>
        <w:pStyle w:val="para15"/>
        <w:numPr>
          <w:ilvl w:val="0"/>
          <w:numId w:val="2"/>
        </w:numPr>
        <w:ind w:left="2494" w:hanging="1097"/>
      </w:pPr>
      <w:r>
        <w:t>Schalter „Anlage Ein“ Ausschalten</w:t>
      </w:r>
    </w:p>
    <w:p>
      <w:pPr>
        <w:pStyle w:val="para15"/>
        <w:numPr>
          <w:ilvl w:val="0"/>
          <w:numId w:val="2"/>
        </w:numPr>
        <w:ind w:left="2494" w:hanging="1097"/>
      </w:pPr>
      <w:r>
        <w:t>Hauptschalter ausschalten</w:t>
      </w:r>
    </w:p>
    <w:p>
      <w:pPr>
        <w:pStyle w:val="para15"/>
        <w:numPr>
          <w:ilvl w:val="0"/>
          <w:numId w:val="2"/>
        </w:numPr>
        <w:ind w:left="2494" w:hanging="1097"/>
      </w:pPr>
      <w:r>
        <w:t>Frischwasserventil schließen.</w:t>
      </w:r>
    </w:p>
    <w:p>
      <w:pPr>
        <w:pStyle w:val="para15"/>
      </w:pPr>
      <w:r>
        <w:t xml:space="preserve"> </w:t>
      </w:r>
    </w:p>
    <w:p>
      <w:pPr>
        <w:pStyle w:val="para15"/>
      </w:pPr>
      <w:r/>
    </w:p>
    <w:p>
      <w:pPr>
        <w:pStyle w:val="para15"/>
      </w:pPr>
      <w:r>
        <w:tab/>
        <w:tab/>
      </w:r>
    </w:p>
    <w:p>
      <w:pPr>
        <w:pStyle w:val="para15"/>
      </w:pPr>
      <w:r/>
    </w:p>
    <w:p>
      <w:pPr>
        <w:pStyle w:val="para15"/>
      </w:pPr>
      <w:r>
        <w:tab/>
        <w:tab/>
        <w:tab/>
        <w:tab/>
        <w:tab/>
        <w:tab/>
        <w:tab/>
        <w:tab/>
        <w:t xml:space="preserve">            </w:t>
      </w:r>
      <w:r>
        <w:rPr>
          <w:noProof/>
        </w:rPr>
        <w:drawing>
          <wp:inline distT="0" distB="0" distL="0" distR="0">
            <wp:extent cx="1104900" cy="352425"/>
            <wp:effectExtent l="0" t="0" r="0" b="0"/>
            <wp:docPr id="22" name="Grafik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Grafik 297"/>
                    <pic:cNvPicPr>
                      <a:picLocks noChangeAspect="1"/>
                      <a:extLst>
                        <a:ext uri="smNativeData">
                          <sm:smNativeData xmlns:sm="smNativeData" val="SMDATA_17_s4xuYR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rAQAAB6AAAAAAAAAAAAAAAAAAAAAAAAAAAAAAAAAAAAAAAAAAAAAAzAYAACsCAAAAAAAAAAAAAAAAAAAoAAAACAAAAAEAAAABAAAAMAAAABQAAAAAAAAAAAD//wAAAQAAAP//AAABAA=="/>
                        </a:ext>
                      </a:extLst>
                    </pic:cNvPicPr>
                  </pic:nvPicPr>
                  <pic:blipFill>
                    <a:blip r:embed="rId22"/>
                    <a:stretch>
                      <a:fillRect/>
                    </a:stretch>
                  </pic:blipFill>
                  <pic:spPr>
                    <a:xfrm>
                      <a:off x="0" y="0"/>
                      <a:ext cx="1104900" cy="352425"/>
                    </a:xfrm>
                    <a:prstGeom prst="rect">
                      <a:avLst/>
                    </a:prstGeom>
                    <a:noFill/>
                    <a:ln w="12700">
                      <a:noFill/>
                    </a:ln>
                  </pic:spPr>
                </pic:pic>
              </a:graphicData>
            </a:graphic>
          </wp:inline>
        </w:drawing>
      </w:r>
      <w:r/>
    </w:p>
    <w:p>
      <w:pPr>
        <w:pStyle w:val="para15"/>
      </w:pPr>
      <w:r/>
    </w:p>
    <w:p>
      <w:pPr>
        <w:pStyle w:val="para15"/>
      </w:pPr>
      <w:r>
        <w:rPr>
          <w:noProof/>
        </w:rPr>
        <w:drawing>
          <wp:anchor distT="0" distB="0" distL="114300" distR="114300" simplePos="0" relativeHeight="251658266" behindDoc="1" locked="0" layoutInCell="0" hidden="0" allowOverlap="1">
            <wp:simplePos x="0" y="0"/>
            <wp:positionH relativeFrom="column">
              <wp:posOffset>950595</wp:posOffset>
            </wp:positionH>
            <wp:positionV relativeFrom="paragraph">
              <wp:posOffset>29210</wp:posOffset>
            </wp:positionV>
            <wp:extent cx="676275" cy="504825"/>
            <wp:effectExtent l="0" t="0" r="0" b="0"/>
            <wp:wrapNone/>
            <wp:docPr id="26" name="Grafik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Grafik 95"/>
                    <pic:cNvPicPr>
                      <a:picLocks noChangeAspect="1"/>
                      <a:extLst>
                        <a:ext uri="smNativeData">
                          <sm:smNativeData xmlns:sm="smNativeData" val="SMDATA_17_s4xu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uAQAACCAAACAAAAAAAAAAAAAAAAIAAADZBQAAAAAAAAIAAAAuAAAAKQQAABsDAAAiAAAAugkAALAaAAAoAAAACAAAAAEAAAABAAAAMAAAABQAAAAAAAAAAAD//wAAAQAAAP//AAABAA=="/>
                        </a:ext>
                      </a:extLst>
                    </pic:cNvPicPr>
                  </pic:nvPicPr>
                  <pic:blipFill>
                    <a:blip r:embed="rId23"/>
                    <a:stretch>
                      <a:fillRect/>
                    </a:stretch>
                  </pic:blipFill>
                  <pic:spPr>
                    <a:xfrm>
                      <a:off x="0" y="0"/>
                      <a:ext cx="676275" cy="504825"/>
                    </a:xfrm>
                    <a:prstGeom prst="rect">
                      <a:avLst/>
                    </a:prstGeom>
                    <a:noFill/>
                    <a:ln w="12700">
                      <a:noFill/>
                    </a:ln>
                  </pic:spPr>
                </pic:pic>
              </a:graphicData>
            </a:graphic>
          </wp:anchor>
        </w:drawing>
      </w:r>
      <w:r>
        <w:tab/>
        <w:tab/>
        <w:tab/>
        <w:tab/>
        <w:tab/>
        <w:tab/>
        <w:tab/>
        <w:t>Beim Öffnen oder Betreten der Kammer muss beachtet</w:t>
      </w:r>
    </w:p>
    <w:p>
      <w:pPr>
        <w:pStyle w:val="para15"/>
      </w:pPr>
      <w:r>
        <w:tab/>
        <w:tab/>
        <w:tab/>
        <w:tab/>
        <w:tab/>
        <w:tab/>
        <w:tab/>
        <w:t>werden, daß im Prüfraum noch extreme Temperaturen</w:t>
      </w:r>
    </w:p>
    <w:p>
      <w:pPr>
        <w:pStyle w:val="para15"/>
      </w:pPr>
      <w:r>
        <w:tab/>
        <w:tab/>
        <w:tab/>
        <w:tab/>
        <w:tab/>
        <w:tab/>
        <w:tab/>
        <w:t>herrschen können !</w:t>
      </w:r>
    </w:p>
    <w:p>
      <w:pPr>
        <w:pStyle w:val="para15"/>
      </w:pPr>
      <w:r>
        <w:t xml:space="preserve">  </w:t>
      </w:r>
    </w:p>
    <w:p>
      <w:pPr>
        <w:pStyle w:val="para15"/>
      </w:pPr>
      <w:r>
        <w:tab/>
        <w:tab/>
        <w:tab/>
        <w:tab/>
        <w:tab/>
        <w:tab/>
        <w:tab/>
        <w:tab/>
        <w:tab/>
      </w:r>
      <w:r>
        <w:rPr>
          <w:noProof/>
        </w:rPr>
        <w:drawing>
          <wp:inline distT="0" distB="0" distL="0" distR="0">
            <wp:extent cx="1076325" cy="342900"/>
            <wp:effectExtent l="0" t="0" r="0" b="0"/>
            <wp:docPr id="23" name="Grafik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fik 298"/>
                    <pic:cNvPicPr>
                      <a:picLocks noChangeAspect="1"/>
                      <a:extLst>
                        <a:ext uri="smNativeData">
                          <sm:smNativeData xmlns:sm="smNativeData" val="SMDATA_17_s4xuYR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xAQAAB6AAAAAAAAAAAAAAAAAAAAAAAAAAAAAAAAAAAAAAAAAAAAAAnwYAABwCAAAAAAAAAAAAAAAAAAAoAAAACAAAAAEAAAABAAAAMAAAABQAAAAAAAAAAAD//wAAAQAAAP//AAABAA=="/>
                        </a:ext>
                      </a:extLst>
                    </pic:cNvPicPr>
                  </pic:nvPicPr>
                  <pic:blipFill>
                    <a:blip r:embed="rId24"/>
                    <a:stretch>
                      <a:fillRect/>
                    </a:stretch>
                  </pic:blipFill>
                  <pic:spPr>
                    <a:xfrm>
                      <a:off x="0" y="0"/>
                      <a:ext cx="1076325" cy="342900"/>
                    </a:xfrm>
                    <a:prstGeom prst="rect">
                      <a:avLst/>
                    </a:prstGeom>
                    <a:noFill/>
                    <a:ln w="12700">
                      <a:noFill/>
                    </a:ln>
                  </pic:spPr>
                </pic:pic>
              </a:graphicData>
            </a:graphic>
          </wp:inline>
        </w:drawing>
      </w:r>
      <w:r/>
    </w:p>
    <w:p>
      <w:pPr>
        <w:pStyle w:val="para15"/>
      </w:pPr>
      <w:r/>
    </w:p>
    <w:p>
      <w:pPr>
        <w:pStyle w:val="para15"/>
      </w:pPr>
      <w:r>
        <w:rPr>
          <w:noProof/>
        </w:rPr>
        <w:drawing>
          <wp:anchor distT="0" distB="0" distL="114300" distR="114300" simplePos="0" relativeHeight="251658267" behindDoc="0" locked="0" layoutInCell="0" hidden="0" allowOverlap="1">
            <wp:simplePos x="0" y="0"/>
            <wp:positionH relativeFrom="column">
              <wp:posOffset>931545</wp:posOffset>
            </wp:positionH>
            <wp:positionV relativeFrom="paragraph">
              <wp:posOffset>147955</wp:posOffset>
            </wp:positionV>
            <wp:extent cx="694690" cy="466090"/>
            <wp:effectExtent l="0" t="0" r="0" b="0"/>
            <wp:wrapNone/>
            <wp:docPr id="27" name="Grafik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Grafik 94"/>
                    <pic:cNvPicPr>
                      <a:picLocks noChangeAspect="1"/>
                      <a:extLst>
                        <a:ext uri="smNativeData">
                          <sm:smNativeData xmlns:sm="smNativeData" val="SMDATA_17_s4xu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0AQAACKAAACAAAAAAAAAAAAAAAAIAAAC7BQAAAAAAAAIAAADpAAAARgQAAN4CAAAiAAAAnAkAAMgiAAAoAAAACAAAAAEAAAABAAAAMAAAABQAAAAAAAAAAAD//wAAAQAAAP//AAABAA=="/>
                        </a:ext>
                      </a:extLst>
                    </pic:cNvPicPr>
                  </pic:nvPicPr>
                  <pic:blipFill>
                    <a:blip r:embed="rId25"/>
                    <a:stretch>
                      <a:fillRect/>
                    </a:stretch>
                  </pic:blipFill>
                  <pic:spPr>
                    <a:xfrm>
                      <a:off x="0" y="0"/>
                      <a:ext cx="694690" cy="466090"/>
                    </a:xfrm>
                    <a:prstGeom prst="rect">
                      <a:avLst/>
                    </a:prstGeom>
                    <a:noFill/>
                    <a:ln w="12700">
                      <a:noFill/>
                    </a:ln>
                  </pic:spPr>
                </pic:pic>
              </a:graphicData>
            </a:graphic>
          </wp:anchor>
        </w:drawing>
      </w:r>
      <w:r>
        <w:tab/>
        <w:tab/>
        <w:tab/>
        <w:tab/>
        <w:tab/>
        <w:tab/>
        <w:tab/>
        <w:t>Der Prüfraum ist nur bei eingeschalteter Anlage</w:t>
      </w:r>
    </w:p>
    <w:p>
      <w:pPr>
        <w:pStyle w:val="para15"/>
      </w:pPr>
      <w:r>
        <w:tab/>
        <w:tab/>
        <w:tab/>
        <w:tab/>
        <w:tab/>
        <w:tab/>
        <w:tab/>
        <w:t>gegen Übertemperatur gesichert. Deshalb darf im</w:t>
      </w:r>
    </w:p>
    <w:p>
      <w:pPr>
        <w:pStyle w:val="para15"/>
      </w:pPr>
      <w:r>
        <w:tab/>
        <w:tab/>
        <w:tab/>
        <w:tab/>
        <w:tab/>
        <w:tab/>
        <w:tab/>
        <w:t>ausgeschalteten Zustand nie Wärmeabgebendes</w:t>
      </w:r>
    </w:p>
    <w:p>
      <w:pPr>
        <w:pStyle w:val="para15"/>
      </w:pPr>
      <w:r>
        <w:tab/>
        <w:tab/>
        <w:tab/>
        <w:tab/>
        <w:tab/>
        <w:tab/>
        <w:tab/>
        <w:t>Prüfgut in den Prüfraum gegeben werden,</w:t>
      </w:r>
    </w:p>
    <w:p>
      <w:pPr>
        <w:pStyle w:val="para15"/>
        <w:rPr>
          <w:rFonts w:eastAsia="Calibri Light"/>
          <w:b/>
          <w:bCs/>
          <w:color w:val="000000"/>
          <w:szCs w:val="28"/>
        </w:rPr>
      </w:pPr>
      <w:r>
        <w:tab/>
        <w:tab/>
        <w:tab/>
        <w:tab/>
        <w:tab/>
        <w:tab/>
        <w:tab/>
        <w:t>sonst besteht Brandgefahr !</w:t>
      </w:r>
      <w:bookmarkStart w:id="57" w:name="_TOC000032"/>
      <w:r/>
      <w:bookmarkEnd w:id="57"/>
      <w:r/>
      <w:r>
        <w:rPr>
          <w:rFonts w:eastAsia="Calibri Light"/>
          <w:b/>
          <w:bCs/>
          <w:color w:val="000000"/>
          <w:szCs w:val="28"/>
        </w:rPr>
      </w:r>
    </w:p>
    <w:sectPr>
      <w:footnotePr>
        <w:pos w:val="pageBottom"/>
        <w:numFmt w:val="decimal"/>
        <w:numStart w:val="1"/>
        <w:numRestart w:val="continuous"/>
      </w:footnotePr>
      <w:endnotePr>
        <w:pos w:val="docEnd"/>
        <w:numFmt w:val="decimal"/>
        <w:numStart w:val="1"/>
        <w:numRestart w:val="continuous"/>
      </w:endnotePr>
      <w:footerReference w:type="default" r:id="rId26"/>
      <w:type w:val="nextPage"/>
      <w:pgSz w:h="16838" w:w="11906"/>
      <w:pgMar w:left="993" w:top="1276" w:right="991" w:bottom="1134" w:header="0" w:footer="0"/>
      <w:paperSrc w:first="0" w:other="0" a="0" b="0"/>
      <w:pgNumType w:fmt="decimal"/>
      <w:tmGutter w:val="3"/>
      <w:mirrorMargins w:val="0"/>
      <w:tmSection w:h="-2">
        <w:tmFooter w:id="0" w:h="0" edge="0"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alibri">
    <w:panose1 w:val="020F0502020204030204"/>
    <w:charset w:val="00"/>
    <w:family w:val="swiss"/>
    <w:pitch w:val="default"/>
  </w:font>
  <w:font w:name="Courier New">
    <w:panose1 w:val="02070309020205020404"/>
    <w:charset w:val="00"/>
    <w:family w:val="modern"/>
    <w:pitch w:val="default"/>
  </w:font>
  <w:font w:name="Wingdings">
    <w:panose1 w:val="05000000000000000000"/>
    <w:charset w:val="02"/>
    <w:family w:val="auto"/>
    <w:pitch w:val="default"/>
  </w:font>
  <w:font w:name="Symbol">
    <w:panose1 w:val="05050102010706020507"/>
    <w:charset w:val="02"/>
    <w:family w:val="roman"/>
    <w:pitch w:val="default"/>
  </w:font>
  <w:font w:name="Calibri Light">
    <w:panose1 w:val="020F0302020204030204"/>
    <w:charset w:val="00"/>
    <w:family w:val="swiss"/>
    <w:pitch w:val="default"/>
  </w:font>
  <w:font w:name="Liberation Sans">
    <w:panose1 w:val="02020603050405020304"/>
    <w:charset w:val="00"/>
    <w:family w:val="roman"/>
    <w:pitch w:val="default"/>
  </w:font>
  <w:font w:name="Microsoft YaHei">
    <w:panose1 w:val="020B0503020204020204"/>
    <w:charset w:val="86"/>
    <w:family w:val="swiss"/>
    <w:pitch w:val="default"/>
  </w:font>
  <w:font w:name="Mangal">
    <w:panose1 w:val="02020603050405020304"/>
    <w:charset w:val="01"/>
    <w:family w:val="roman"/>
    <w:pitch w:val="default"/>
  </w:font>
  <w:font w:name="Segoe UI">
    <w:panose1 w:val="020B0502040204020203"/>
    <w:charset w:val="00"/>
    <w:family w:val="swiss"/>
    <w:pitch w:val="default"/>
  </w:font>
  <w:font w:name="Liberation Mono;Courier New">
    <w:panose1 w:val="02020603050405020304"/>
    <w:charset w:val="00"/>
    <w:family w:val="roman"/>
    <w:pitch w:val="default"/>
  </w:font>
  <w:font w:name="NSimSun">
    <w:panose1 w:val="02010609030101010101"/>
    <w:charset w:val="86"/>
    <w:family w:val="modern"/>
    <w:pitch w:val="default"/>
  </w:font>
  <w:font w:name="OpenSymbol">
    <w:panose1 w:val="02020603050405020304"/>
    <w:charset w:val="00"/>
    <w:family w:val="roman"/>
    <w:pitch w:val="default"/>
  </w:font>
  <w:font w:name="Agency FB">
    <w:panose1 w:val="020B0604020202020204"/>
    <w:charset w:val="00"/>
    <w:family w:val="swiss"/>
    <w:pitch w:val="default"/>
  </w:font>
  <w:font w:name="Algerian">
    <w:panose1 w:val="020B0604020202020204"/>
    <w:charset w:val="00"/>
    <w:family w:val="decorative"/>
    <w:pitch w:val="default"/>
  </w:font>
  <w:font w:name="Arial Narrow">
    <w:panose1 w:val="020B0604020202020204"/>
    <w:charset w:val="00"/>
    <w:family w:val="swiss"/>
    <w:pitch w:val="default"/>
  </w:font>
  <w:font w:name="Arial Black">
    <w:panose1 w:val="020B0A04020102020204"/>
    <w:charset w:val="00"/>
    <w:family w:val="swiss"/>
    <w:pitch w:val="default"/>
  </w:font>
  <w:font w:name="Avignon Pro">
    <w:panose1 w:val="02000503040000020004"/>
    <w:charset w:val="00"/>
    <w:family w:val="auto"/>
    <w:pitch w:val="default"/>
  </w:font>
  <w:font w:name="Avignon Pro Demi">
    <w:panose1 w:val="02000703030000020004"/>
    <w:charset w:val="00"/>
    <w:family w:val="auto"/>
    <w:pitch w:val="default"/>
  </w:font>
  <w:font w:name="Avignon Pro Medium">
    <w:panose1 w:val="02000603040000020004"/>
    <w:charset w:val="00"/>
    <w:family w:val="auto"/>
    <w:pitch w:val="default"/>
  </w:font>
  <w:font w:name="Avignon Pro Xlight">
    <w:panose1 w:val="02000503030000020004"/>
    <w:charset w:val="00"/>
    <w:family w:val="auto"/>
    <w:pitch w:val="default"/>
  </w:font>
  <w:font w:name="Bahnschrift">
    <w:panose1 w:val="020B0502040204020203"/>
    <w:charset w:val="00"/>
    <w:family w:val="swiss"/>
    <w:pitch w:val="default"/>
  </w:font>
  <w:font w:name="Bahnschrift Condensed">
    <w:panose1 w:val="020B0502040204020203"/>
    <w:charset w:val="00"/>
    <w:family w:val="swiss"/>
    <w:pitch w:val="default"/>
  </w:font>
  <w:font w:name="Consolas">
    <w:panose1 w:val="020B0609020204030204"/>
    <w:charset w:val="00"/>
    <w:family w:val="modern"/>
    <w:pitch w:val="default"/>
  </w:font>
  <w:font w:name="Comic Sans MS">
    <w:panose1 w:val="030F0702030302020204"/>
    <w:charset w:val="00"/>
    <w:family w:val="script"/>
    <w:pitch w:val="default"/>
  </w:font>
  <w:font w:name="Candara Light">
    <w:panose1 w:val="020E0502030303020204"/>
    <w:charset w:val="00"/>
    <w:family w:val="swiss"/>
    <w:pitch w:val="default"/>
  </w:font>
  <w:font w:name="Sitka Subheading">
    <w:panose1 w:val="02000505000000020004"/>
    <w:charset w:val="00"/>
    <w:family w:val="auto"/>
    <w:pitch w:val="default"/>
  </w:font>
  <w:font w:name="Tahoma">
    <w:panose1 w:val="020B0604030504040204"/>
    <w:charset w:val="00"/>
    <w:family w:val="swiss"/>
    <w:pitch w:val="default"/>
  </w:font>
  <w:font w:name="Sylfaen">
    <w:panose1 w:val="010A0502050306030303"/>
    <w:charset w:val="00"/>
    <w:family w:val="roman"/>
    <w:pitch w:val="default"/>
  </w:font>
  <w:font w:name="Sitka Text">
    <w:panose1 w:val="02000505000000020004"/>
    <w:charset w:val="00"/>
    <w:family w:val="auto"/>
    <w:pitch w:val="default"/>
  </w:font>
  <w:font w:name="Toledo">
    <w:panose1 w:val="02000000000000000000"/>
    <w:charset w:val="00"/>
    <w:family w:val="auto"/>
    <w:pitch w:val="default"/>
  </w:font>
  <w:font w:name="Toledo Heavy">
    <w:panose1 w:val="00000000000000000000"/>
    <w:charset w:val="00"/>
    <w:family w:val="auto"/>
    <w:pitch w:val="default"/>
  </w:font>
  <w:font w:name="Toledo Light">
    <w:panose1 w:val="00000000000000000000"/>
    <w:charset w:val="00"/>
    <w:family w:val="auto"/>
    <w:pitch w:val="default"/>
  </w:font>
  <w:font w:name="Verdana">
    <w:panose1 w:val="020B0604030504040204"/>
    <w:charset w:val="00"/>
    <w:family w:val="swiss"/>
    <w:pitch w:val="default"/>
  </w:font>
  <w:font w:name="Webdings">
    <w:panose1 w:val="05030102010509060703"/>
    <w:charset w:val="02"/>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rPr>
        <w:rFonts w:cs="Arial"/>
        <w:sz w:val="20"/>
        <w:szCs w:val="20"/>
      </w:rPr>
    </w:pPr>
    <w:r>
      <w:rPr>
        <w:rFonts w:cs="Arial"/>
        <w:sz w:val="20"/>
        <w:szCs w:val="20"/>
      </w:rPr>
      <w:t>Kom.-Nr.:, Oktober</w:t>
    </w:r>
    <w:r>
      <w:t xml:space="preserve"> 202</w:t>
    </w:r>
    <w:r>
      <w:rPr>
        <w:rFonts w:cs="Arial"/>
      </w:rPr>
      <w:t>1</w:t>
    </w:r>
    <w:r>
      <w:rPr>
        <w:rFonts w:cs="Arial"/>
        <w:sz w:val="20"/>
        <w:szCs w:val="20"/>
      </w:rPr>
      <w:t xml:space="preserve"> </w:t>
    </w:r>
    <w:r>
      <w:rPr>
        <w:rFonts w:cs="Arial"/>
        <w:sz w:val="20"/>
        <w:szCs w:val="20"/>
      </w:rPr>
    </w:r>
  </w:p>
  <w:p>
    <w:pPr>
      <w:pStyle w:val="para22"/>
      <w:spacing/>
      <w:jc w:val="right"/>
    </w:pPr>
    <w:r>
      <w:fldChar w:fldCharType="begin"/>
      <w:instrText xml:space="preserve"> PAGE </w:instrText>
      <w:fldChar w:fldCharType="separate"/>
      <w:t>2</w:t>
      <w:fldChar w:fldCharType="end"/>
    </w:r>
  </w:p>
  <w:p>
    <w:pPr>
      <w:pStyle w:val="para22"/>
    </w:pPr>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merierungsliste 1"/>
    <w:lvl w:ilvl="0">
      <w:start w:val="4"/>
      <w:numFmt w:val="decimal"/>
      <w:suff w:val="tab"/>
      <w:lvlText w:val="%1"/>
      <w:lvlJc w:val="left"/>
      <w:pPr>
        <w:ind w:left="0" w:hanging="0"/>
      </w:pPr>
      <w:rPr>
        <w:b w:val="0"/>
        <w:smallCaps w:val="0"/>
        <w:spacing w:val="0" w:percent="100"/>
        <w:u w:color="auto" w:val="none"/>
        <w:vertAlign w:val="baseline"/>
      </w:rPr>
    </w:lvl>
    <w:lvl w:ilvl="1">
      <w:start w:val="5"/>
      <w:numFmt w:val="decimal"/>
      <w:suff w:val="tab"/>
      <w:lvlText w:val="%1.%2"/>
      <w:lvlJc w:val="left"/>
      <w:pPr>
        <w:ind w:left="0" w:hanging="0"/>
      </w:pPr>
    </w:lvl>
    <w:lvl w:ilvl="2">
      <w:start w:val="2"/>
      <w:numFmt w:val="decimal"/>
      <w:suff w:val="tab"/>
      <w:lvlText w:val="%1.%2.%3"/>
      <w:lvlJc w:val="left"/>
      <w:pPr>
        <w:ind w:left="0" w:hanging="0"/>
      </w:pPr>
    </w:lvl>
    <w:lvl w:ilvl="3">
      <w:start w:val="7"/>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2">
    <w:multiLevelType w:val="singleLevel"/>
    <w:name w:val="Bullet 6"/>
    <w:lvl w:ilvl="0">
      <w:start w:val="1"/>
      <w:numFmt w:val="decimal"/>
      <w:suff w:val="tab"/>
      <w:lvlText w:val="%1."/>
      <w:lvlJc w:val="left"/>
      <w:pPr>
        <w:ind w:left="0" w:hanging="0"/>
      </w:pPr>
    </w:lvl>
  </w:abstractNum>
  <w:abstractNum w:abstractNumId="3">
    <w:multiLevelType w:val="hybridMultilevel"/>
    <w:name w:val="Nummerierungsliste 2"/>
    <w:lvl w:ilvl="0">
      <w:numFmt w:val="bullet"/>
      <w:suff w:val="tab"/>
      <w:lvlText w:val="-"/>
      <w:lvlJc w:val="left"/>
      <w:pPr>
        <w:ind w:left="3544" w:hanging="0"/>
      </w:pPr>
      <w:rPr>
        <w:rFonts w:ascii="Calibri" w:hAnsi="Calibri" w:eastAsia="Calibri"/>
      </w:rPr>
    </w:lvl>
    <w:lvl w:ilvl="1">
      <w:numFmt w:val="bullet"/>
      <w:suff w:val="tab"/>
      <w:lvlText w:val="o"/>
      <w:lvlJc w:val="left"/>
      <w:pPr>
        <w:ind w:left="1080" w:hanging="0"/>
      </w:pPr>
      <w:rPr>
        <w:rFonts w:ascii="Courier New" w:hAnsi="Courier New" w:cs="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cs="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cs="Courier New"/>
      </w:rPr>
    </w:lvl>
    <w:lvl w:ilvl="8">
      <w:numFmt w:val="bullet"/>
      <w:suff w:val="tab"/>
      <w:lvlText w:val=""/>
      <w:lvlJc w:val="left"/>
      <w:pPr>
        <w:ind w:left="6120" w:hanging="0"/>
      </w:pPr>
      <w:rPr>
        <w:rFonts w:ascii="Wingdings" w:hAnsi="Wingdings" w:eastAsia="Wingdings" w:cs="Wingdings"/>
      </w:rPr>
    </w:lvl>
  </w:abstractNum>
  <w:abstractNum w:abstractNumId="4">
    <w:multiLevelType w:val="hybridMultilevel"/>
    <w:name w:val="Nummerierungsliste 3"/>
    <w:lvl w:ilvl="0">
      <w:start w:val="4"/>
      <w:numFmt w:val="decimal"/>
      <w:pStyle w:val="para1"/>
      <w:suff w:val="tab"/>
      <w:lvlText w:val="%1"/>
      <w:lvlJc w:val="left"/>
      <w:pPr>
        <w:ind w:left="0" w:hanging="0"/>
      </w:pPr>
      <w:rPr>
        <w:b w:val="0"/>
        <w:smallCaps w:val="0"/>
        <w:spacing w:val="0" w:percent="100"/>
        <w:u w:color="auto" w:val="none"/>
        <w:vertAlign w:val="baseline"/>
      </w:rPr>
    </w:lvl>
    <w:lvl w:ilvl="1">
      <w:start w:val="5"/>
      <w:numFmt w:val="decimal"/>
      <w:pStyle w:val="para2"/>
      <w:suff w:val="tab"/>
      <w:lvlText w:val="%1.%2"/>
      <w:lvlJc w:val="left"/>
      <w:pPr>
        <w:ind w:left="0" w:hanging="0"/>
      </w:pPr>
    </w:lvl>
    <w:lvl w:ilvl="2">
      <w:start w:val="2"/>
      <w:numFmt w:val="decimal"/>
      <w:pStyle w:val="para3"/>
      <w:suff w:val="tab"/>
      <w:lvlText w:val="%1.%2.%3"/>
      <w:lvlJc w:val="left"/>
      <w:pPr>
        <w:ind w:left="0" w:hanging="0"/>
      </w:pPr>
    </w:lvl>
    <w:lvl w:ilvl="3">
      <w:start w:val="7"/>
      <w:numFmt w:val="decimal"/>
      <w:pStyle w:val="para4"/>
      <w:suff w:val="tab"/>
      <w:lvlText w:val="%1.%2.%3.%4"/>
      <w:lvlJc w:val="left"/>
      <w:pPr>
        <w:ind w:left="0" w:hanging="0"/>
      </w:pPr>
    </w:lvl>
    <w:lvl w:ilvl="4">
      <w:start w:val="1"/>
      <w:numFmt w:val="decimal"/>
      <w:pStyle w:val="para5"/>
      <w:suff w:val="tab"/>
      <w:lvlText w:val="%1.%2.%3.%4.%5"/>
      <w:lvlJc w:val="left"/>
      <w:pPr>
        <w:ind w:left="0" w:hanging="0"/>
      </w:pPr>
    </w:lvl>
    <w:lvl w:ilvl="5">
      <w:start w:val="1"/>
      <w:numFmt w:val="decimal"/>
      <w:pStyle w:val="para6"/>
      <w:suff w:val="tab"/>
      <w:lvlText w:val="%1.%2.%3.%4.%5.%6"/>
      <w:lvlJc w:val="left"/>
      <w:pPr>
        <w:ind w:left="0" w:hanging="0"/>
      </w:pPr>
    </w:lvl>
    <w:lvl w:ilvl="6">
      <w:start w:val="1"/>
      <w:numFmt w:val="decimal"/>
      <w:pStyle w:val="para7"/>
      <w:suff w:val="tab"/>
      <w:lvlText w:val="%1.%2.%3.%4.%5.%6.%7"/>
      <w:lvlJc w:val="left"/>
      <w:pPr>
        <w:ind w:left="0" w:hanging="0"/>
      </w:pPr>
    </w:lvl>
    <w:lvl w:ilvl="7">
      <w:start w:val="1"/>
      <w:numFmt w:val="decimal"/>
      <w:pStyle w:val="para8"/>
      <w:suff w:val="tab"/>
      <w:lvlText w:val="%1.%2.%3.%4.%5.%6.%7.%8"/>
      <w:lvlJc w:val="left"/>
      <w:pPr>
        <w:ind w:left="0" w:hanging="0"/>
      </w:pPr>
    </w:lvl>
    <w:lvl w:ilvl="8">
      <w:start w:val="1"/>
      <w:numFmt w:val="decimal"/>
      <w:pStyle w:val="para9"/>
      <w:suff w:val="tab"/>
      <w:lvlText w:val="%1.%2.%3.%4.%5.%6.%7.%8.%9"/>
      <w:lvlJc w:val="left"/>
      <w:pPr>
        <w:ind w:left="0" w:hanging="0"/>
      </w:pPr>
    </w:lvl>
  </w:abstractNum>
  <w:abstractNum w:abstractNumId="5">
    <w:multiLevelType w:val="hybridMultilevel"/>
    <w:name w:val="Nummerierungsliste 4"/>
    <w:lvl w:ilvl="0">
      <w:start w:val="1"/>
      <w:numFmt w:val="decimal"/>
      <w:suff w:val="tab"/>
      <w:lvlText w:val="%1."/>
      <w:lvlJc w:val="left"/>
      <w:pPr>
        <w:ind w:left="4140" w:hanging="0"/>
      </w:pPr>
    </w:lvl>
    <w:lvl w:ilvl="1">
      <w:start w:val="1"/>
      <w:numFmt w:val="lowerLetter"/>
      <w:suff w:val="tab"/>
      <w:lvlText w:val="%2."/>
      <w:lvlJc w:val="left"/>
      <w:pPr>
        <w:ind w:left="4860" w:hanging="0"/>
      </w:pPr>
    </w:lvl>
    <w:lvl w:ilvl="2">
      <w:start w:val="1"/>
      <w:numFmt w:val="lowerRoman"/>
      <w:suff w:val="tab"/>
      <w:lvlText w:val="%3."/>
      <w:lvlJc w:val="left"/>
      <w:pPr>
        <w:ind w:left="5760" w:hanging="0"/>
      </w:pPr>
    </w:lvl>
    <w:lvl w:ilvl="3">
      <w:start w:val="1"/>
      <w:numFmt w:val="decimal"/>
      <w:suff w:val="tab"/>
      <w:lvlText w:val="%4."/>
      <w:lvlJc w:val="left"/>
      <w:pPr>
        <w:ind w:left="6300" w:hanging="0"/>
      </w:pPr>
    </w:lvl>
    <w:lvl w:ilvl="4">
      <w:start w:val="1"/>
      <w:numFmt w:val="lowerLetter"/>
      <w:suff w:val="tab"/>
      <w:lvlText w:val="%5."/>
      <w:lvlJc w:val="left"/>
      <w:pPr>
        <w:ind w:left="7020" w:hanging="0"/>
      </w:pPr>
    </w:lvl>
    <w:lvl w:ilvl="5">
      <w:start w:val="1"/>
      <w:numFmt w:val="lowerRoman"/>
      <w:suff w:val="tab"/>
      <w:lvlText w:val="%6."/>
      <w:lvlJc w:val="left"/>
      <w:pPr>
        <w:ind w:left="7920" w:hanging="0"/>
      </w:pPr>
    </w:lvl>
    <w:lvl w:ilvl="6">
      <w:start w:val="1"/>
      <w:numFmt w:val="decimal"/>
      <w:suff w:val="tab"/>
      <w:lvlText w:val="%7."/>
      <w:lvlJc w:val="left"/>
      <w:pPr>
        <w:ind w:left="8460" w:hanging="0"/>
      </w:pPr>
    </w:lvl>
    <w:lvl w:ilvl="7">
      <w:start w:val="1"/>
      <w:numFmt w:val="lowerLetter"/>
      <w:suff w:val="tab"/>
      <w:lvlText w:val="%8."/>
      <w:lvlJc w:val="left"/>
      <w:pPr>
        <w:ind w:left="9180" w:hanging="0"/>
      </w:pPr>
    </w:lvl>
    <w:lvl w:ilvl="8">
      <w:start w:val="1"/>
      <w:numFmt w:val="lowerRoman"/>
      <w:suff w:val="tab"/>
      <w:lvlText w:val="%9."/>
      <w:lvlJc w:val="left"/>
      <w:pPr>
        <w:ind w:left="10080" w:hanging="0"/>
      </w:pPr>
    </w:lvl>
  </w:abstractNum>
  <w:abstractNum w:abstractNumId="6">
    <w:multiLevelType w:val="hybridMultilevel"/>
    <w:name w:val="Nummerierungsliste 5"/>
    <w:lvl w:ilvl="0">
      <w:numFmt w:val="bullet"/>
      <w:suff w:val="tab"/>
      <w:lvlText w:val="-"/>
      <w:lvlJc w:val="left"/>
      <w:pPr>
        <w:ind w:left="0" w:hanging="0"/>
      </w:pPr>
      <w:rPr>
        <w:rFonts w:ascii="Calibri" w:hAnsi="Calibri" w:eastAsia="Calibri"/>
      </w:rPr>
    </w:lvl>
    <w:lvl w:ilvl="1">
      <w:numFmt w:val="bullet"/>
      <w:suff w:val="tab"/>
      <w:lvlText w:val="o"/>
      <w:lvlJc w:val="left"/>
      <w:pPr>
        <w:ind w:left="1080" w:hanging="0"/>
      </w:pPr>
      <w:rPr>
        <w:rFonts w:ascii="Courier New" w:hAnsi="Courier New" w:cs="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cs="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cs="Courier New"/>
      </w:rPr>
    </w:lvl>
    <w:lvl w:ilvl="8">
      <w:numFmt w:val="bullet"/>
      <w:suff w:val="tab"/>
      <w:lvlText w:val=""/>
      <w:lvlJc w:val="left"/>
      <w:pPr>
        <w:ind w:left="6120" w:hanging="0"/>
      </w:pPr>
      <w:rPr>
        <w:rFonts w:ascii="Wingdings" w:hAnsi="Wingdings" w:eastAsia="Wingdings" w:cs="Wingdings"/>
      </w:rPr>
    </w:lvl>
  </w:abstractNum>
  <w:abstractNum w:abstractNumId="7">
    <w:multiLevelType w:val="singleLevel"/>
    <w:name w:val="Bullet 8"/>
    <w:lvl w:ilvl="0">
      <w:numFmt w:val="bullet"/>
      <w:suff w:val="tab"/>
      <w:lvlText w:val=""/>
      <w:lvlJc w:val="left"/>
      <w:pPr>
        <w:ind w:left="0" w:hanging="0"/>
      </w:pPr>
      <w:rPr>
        <w:rFonts w:ascii="Wingdings" w:hAnsi="Wingdings" w:eastAsia="Wingdings" w:cs="Wingdings"/>
      </w:rPr>
    </w:lvl>
  </w:abstractNum>
  <w:abstractNum w:abstractNumId="8">
    <w:multiLevelType w:val="singleLevel"/>
    <w:name w:val="Bullet 8_1"/>
    <w:lvl w:ilvl="0">
      <w:numFmt w:val="bullet"/>
      <w:suff w:val="tab"/>
      <w:lvlText w:val=""/>
      <w:lvlJc w:val="left"/>
      <w:pPr>
        <w:ind w:left="0" w:hanging="0"/>
      </w:pPr>
      <w:rPr>
        <w:rFonts w:ascii="Wingdings" w:hAnsi="Wingdings" w:eastAsia="Wingdings" w:cs="Wingdings"/>
      </w:rPr>
    </w:lvl>
  </w:abstractNum>
  <w:abstractNum w:abstractNumId="9">
    <w:multiLevelType w:val="hybridMultilevel"/>
    <w:name w:val="Nummerierungsliste 6"/>
    <w:lvl w:ilvl="0">
      <w:start w:val="4"/>
      <w:numFmt w:val="decimal"/>
      <w:suff w:val="tab"/>
      <w:lvlText w:val="%1"/>
      <w:lvlJc w:val="left"/>
      <w:pPr>
        <w:ind w:left="0" w:hanging="0"/>
      </w:pPr>
      <w:rPr>
        <w:b w:val="0"/>
        <w:smallCaps w:val="0"/>
        <w:spacing w:val="0" w:percent="100"/>
        <w:u w:color="auto" w:val="none"/>
        <w:vertAlign w:val="baseline"/>
      </w:r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10">
    <w:multiLevelType w:val="singleLevel"/>
    <w:name w:val="Bullet 10"/>
    <w:lvl w:ilvl="0">
      <w:numFmt w:val="bullet"/>
      <w:suff w:val="tab"/>
      <w:lvlText w:val=""/>
      <w:lvlJc w:val="left"/>
      <w:pPr>
        <w:ind w:left="0" w:hanging="0"/>
      </w:pPr>
      <w:rPr>
        <w:rFonts w:ascii="Wingdings" w:hAnsi="Wingdings" w:eastAsia="Wingdings" w:cs="Wingding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view w:val="print"/>
  <w:defaultTabStop w:val="708"/>
  <w:autoHyphenation w:val="0"/>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compatSetting w:name="compatibilityMode" w:uri="http://schemas.microsoft.com/office/word" w:val="15"/>
  </w:compat>
  <w:shapeDefaults>
    <o:shapedefaults v:ext="edit" spidmax="2049"/>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25"/>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9"/>
      <w:tmLastPosIdx w:val="0"/>
    </w:tmLastPosCaret>
    <w:tmLastPosAnchor>
      <w:tmLastPosPgfIdx w:val="0"/>
      <w:tmLastPosIdx w:val="0"/>
    </w:tmLastPosAnchor>
    <w:tmLastPosTblRect w:left="0" w:top="0" w:right="0" w:bottom="0"/>
  </w:tmLastPos>
  <w:tmAppRevision w:date="1634634931" w:val="1034"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Times New Roman"/>
        <w:sz w:val="22"/>
        <w:szCs w:val="22"/>
        <w:lang w:val="de-de" w:eastAsia="zh-cn"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sz w:val="24"/>
      <w:szCs w:val="24"/>
    </w:rPr>
  </w:style>
  <w:style w:type="paragraph" w:styleId="para1">
    <w:name w:val="heading 1"/>
    <w:qFormat/>
    <w:basedOn w:val="para0"/>
    <w:next w:val="para0"/>
    <w:pPr>
      <w:numPr>
        <w:ilvl w:val="0"/>
        <w:numId w:val="4"/>
      </w:numPr>
      <w:ind w:left="432" w:hanging="432"/>
      <w:spacing w:before="360" w:after="160" w:line="259" w:lineRule="auto"/>
      <w:keepNext/>
      <w:outlineLvl w:val="0"/>
      <w:keepLines/>
    </w:pPr>
    <w:rPr>
      <w:rFonts w:ascii="Calibri" w:hAnsi="Calibri" w:eastAsia="Calibri Light"/>
      <w:b/>
      <w:bCs/>
      <w:color w:val="000000"/>
      <w:sz w:val="22"/>
      <w:szCs w:val="36"/>
    </w:rPr>
  </w:style>
  <w:style w:type="paragraph" w:styleId="para2">
    <w:name w:val="heading 2"/>
    <w:qFormat/>
    <w:basedOn w:val="para0"/>
    <w:next w:val="para0"/>
    <w:pPr>
      <w:numPr>
        <w:ilvl w:val="1"/>
        <w:numId w:val="4"/>
      </w:numPr>
      <w:ind w:left="576" w:hanging="576"/>
      <w:spacing w:before="360" w:line="259" w:lineRule="auto"/>
      <w:keepNext/>
      <w:outlineLvl w:val="1"/>
      <w:keepLines/>
    </w:pPr>
    <w:rPr>
      <w:rFonts w:ascii="Calibri" w:hAnsi="Calibri" w:eastAsia="Calibri Light"/>
      <w:b/>
      <w:bCs/>
      <w:color w:val="000000"/>
      <w:sz w:val="22"/>
      <w:szCs w:val="28"/>
    </w:rPr>
  </w:style>
  <w:style w:type="paragraph" w:styleId="para3">
    <w:name w:val="heading 3"/>
    <w:qFormat/>
    <w:basedOn w:val="para0"/>
    <w:next w:val="para0"/>
    <w:pPr>
      <w:numPr>
        <w:ilvl w:val="2"/>
        <w:numId w:val="4"/>
      </w:numPr>
      <w:ind w:left="720" w:hanging="720"/>
      <w:spacing w:before="200" w:line="259" w:lineRule="auto"/>
      <w:keepNext/>
      <w:outlineLvl w:val="2"/>
      <w:keepLines/>
    </w:pPr>
    <w:rPr>
      <w:rFonts w:ascii="Calibri" w:hAnsi="Calibri" w:eastAsia="Calibri Light"/>
      <w:b/>
      <w:bCs/>
      <w:color w:val="000000"/>
      <w:sz w:val="22"/>
      <w:szCs w:val="22"/>
    </w:rPr>
  </w:style>
  <w:style w:type="paragraph" w:styleId="para4">
    <w:name w:val="heading 4"/>
    <w:qFormat/>
    <w:basedOn w:val="para0"/>
    <w:next w:val="para0"/>
    <w:pPr>
      <w:numPr>
        <w:ilvl w:val="3"/>
        <w:numId w:val="4"/>
      </w:numPr>
      <w:ind w:left="864" w:hanging="864"/>
      <w:spacing w:before="200" w:line="259" w:lineRule="auto"/>
      <w:keepNext/>
      <w:outlineLvl w:val="3"/>
      <w:keepLines/>
    </w:pPr>
    <w:rPr>
      <w:rFonts w:ascii="Calibri Light" w:hAnsi="Calibri Light" w:eastAsia="Calibri Light"/>
      <w:b/>
      <w:bCs/>
      <w:i/>
      <w:iCs/>
      <w:color w:val="000000"/>
      <w:sz w:val="22"/>
      <w:szCs w:val="22"/>
    </w:rPr>
  </w:style>
  <w:style w:type="paragraph" w:styleId="para5">
    <w:name w:val="heading 5"/>
    <w:qFormat/>
    <w:basedOn w:val="para0"/>
    <w:next w:val="para0"/>
    <w:pPr>
      <w:numPr>
        <w:ilvl w:val="4"/>
        <w:numId w:val="4"/>
      </w:numPr>
      <w:ind w:left="1008" w:hanging="1008"/>
      <w:spacing w:before="200" w:line="259" w:lineRule="auto"/>
      <w:keepNext/>
      <w:outlineLvl w:val="4"/>
      <w:keepLines/>
    </w:pPr>
    <w:rPr>
      <w:rFonts w:ascii="Calibri Light" w:hAnsi="Calibri Light" w:eastAsia="Calibri Light"/>
      <w:color w:val="323e4f"/>
      <w:sz w:val="22"/>
      <w:szCs w:val="22"/>
    </w:rPr>
  </w:style>
  <w:style w:type="paragraph" w:styleId="para6">
    <w:name w:val="heading 6"/>
    <w:qFormat/>
    <w:basedOn w:val="para0"/>
    <w:next w:val="para0"/>
    <w:pPr>
      <w:numPr>
        <w:ilvl w:val="5"/>
        <w:numId w:val="4"/>
      </w:numPr>
      <w:ind w:left="1152" w:hanging="1152"/>
      <w:spacing w:before="200" w:line="259" w:lineRule="auto"/>
      <w:keepNext/>
      <w:outlineLvl w:val="5"/>
      <w:keepLines/>
    </w:pPr>
    <w:rPr>
      <w:rFonts w:ascii="Calibri Light" w:hAnsi="Calibri Light" w:eastAsia="Calibri Light"/>
      <w:i/>
      <w:iCs/>
      <w:color w:val="323e4f"/>
      <w:sz w:val="22"/>
      <w:szCs w:val="22"/>
    </w:rPr>
  </w:style>
  <w:style w:type="paragraph" w:styleId="para7">
    <w:name w:val="heading 7"/>
    <w:qFormat/>
    <w:basedOn w:val="para0"/>
    <w:next w:val="para0"/>
    <w:pPr>
      <w:numPr>
        <w:ilvl w:val="6"/>
        <w:numId w:val="4"/>
      </w:numPr>
      <w:ind w:left="1296" w:hanging="1296"/>
      <w:spacing w:before="200" w:line="259" w:lineRule="auto"/>
      <w:keepNext/>
      <w:outlineLvl w:val="6"/>
      <w:keepLines/>
    </w:pPr>
    <w:rPr>
      <w:rFonts w:ascii="Calibri Light" w:hAnsi="Calibri Light" w:eastAsia="Calibri Light"/>
      <w:i/>
      <w:iCs/>
      <w:color w:val="404040"/>
      <w:sz w:val="22"/>
      <w:szCs w:val="22"/>
    </w:rPr>
  </w:style>
  <w:style w:type="paragraph" w:styleId="para8">
    <w:name w:val="heading 8"/>
    <w:qFormat/>
    <w:basedOn w:val="para0"/>
    <w:next w:val="para0"/>
    <w:pPr>
      <w:numPr>
        <w:ilvl w:val="7"/>
        <w:numId w:val="4"/>
      </w:numPr>
      <w:ind w:left="1440" w:hanging="1440"/>
      <w:spacing w:before="200" w:line="259" w:lineRule="auto"/>
      <w:keepNext/>
      <w:outlineLvl w:val="7"/>
      <w:keepLines/>
    </w:pPr>
    <w:rPr>
      <w:rFonts w:ascii="Calibri Light" w:hAnsi="Calibri Light" w:eastAsia="Calibri Light"/>
      <w:color w:val="404040"/>
      <w:sz w:val="20"/>
      <w:szCs w:val="20"/>
    </w:rPr>
  </w:style>
  <w:style w:type="paragraph" w:styleId="para9">
    <w:name w:val="heading 9"/>
    <w:qFormat/>
    <w:basedOn w:val="para0"/>
    <w:next w:val="para0"/>
    <w:pPr>
      <w:numPr>
        <w:ilvl w:val="8"/>
        <w:numId w:val="4"/>
      </w:numPr>
      <w:ind w:left="1584" w:hanging="1584"/>
      <w:spacing w:before="200" w:line="259" w:lineRule="auto"/>
      <w:keepNext/>
      <w:outlineLvl w:val="8"/>
      <w:keepLines/>
    </w:pPr>
    <w:rPr>
      <w:rFonts w:ascii="Calibri Light" w:hAnsi="Calibri Light" w:eastAsia="Calibri Light"/>
      <w:i/>
      <w:iCs/>
      <w:color w:val="404040"/>
      <w:sz w:val="20"/>
      <w:szCs w:val="20"/>
    </w:rPr>
  </w:style>
  <w:style w:type="paragraph" w:styleId="para10" w:customStyle="1">
    <w:name w:val="Überschrift"/>
    <w:qFormat/>
    <w:basedOn w:val="para0"/>
    <w:next w:val="para11"/>
    <w:pPr>
      <w:spacing w:before="240" w:after="120" w:line="259" w:lineRule="auto"/>
      <w:keepNext/>
    </w:pPr>
    <w:rPr>
      <w:rFonts w:ascii="Liberation Sans" w:hAnsi="Liberation Sans" w:eastAsia="Microsoft YaHei" w:cs="Mangal"/>
      <w:sz w:val="28"/>
      <w:szCs w:val="28"/>
    </w:rPr>
  </w:style>
  <w:style w:type="paragraph" w:styleId="para11">
    <w:name w:val="Body Text"/>
    <w:qFormat/>
    <w:basedOn w:val="para0"/>
    <w:pPr>
      <w:spacing w:after="140" w:line="288" w:lineRule="auto"/>
    </w:pPr>
    <w:rPr>
      <w:rFonts w:ascii="Calibri" w:hAnsi="Calibri" w:eastAsia="Calibri"/>
      <w:sz w:val="22"/>
      <w:szCs w:val="22"/>
    </w:rPr>
  </w:style>
  <w:style w:type="paragraph" w:styleId="para12">
    <w:name w:val="List"/>
    <w:qFormat/>
    <w:basedOn w:val="para11"/>
    <w:rPr>
      <w:rFonts w:cs="Mangal"/>
    </w:rPr>
  </w:style>
  <w:style w:type="paragraph" w:styleId="para13">
    <w:name w:val="caption"/>
    <w:qFormat/>
    <w:basedOn w:val="para0"/>
    <w:next w:val="para0"/>
    <w:pPr>
      <w:spacing w:after="200"/>
    </w:pPr>
    <w:rPr>
      <w:rFonts w:ascii="Calibri" w:hAnsi="Calibri" w:eastAsia="Calibri"/>
      <w:i/>
      <w:iCs/>
      <w:color w:val="44546a"/>
      <w:sz w:val="18"/>
      <w:szCs w:val="18"/>
    </w:rPr>
  </w:style>
  <w:style w:type="paragraph" w:styleId="para14" w:customStyle="1">
    <w:name w:val="Verzeichnis"/>
    <w:qFormat/>
    <w:basedOn w:val="para0"/>
    <w:pPr>
      <w:spacing w:after="160" w:line="259" w:lineRule="auto"/>
      <w:suppressLineNumbers/>
    </w:pPr>
    <w:rPr>
      <w:rFonts w:ascii="Calibri" w:hAnsi="Calibri" w:eastAsia="Calibri" w:cs="Mangal"/>
      <w:sz w:val="22"/>
      <w:szCs w:val="22"/>
    </w:rPr>
  </w:style>
  <w:style w:type="paragraph" w:styleId="para15">
    <w:name w:val="No Spacing"/>
    <w:qFormat/>
    <w:rPr>
      <w:rFonts w:ascii="Calibri" w:hAnsi="Calibri" w:eastAsia="Calibri"/>
      <w:sz w:val="22"/>
      <w:szCs w:val="22"/>
      <w:lang w:val="de-de" w:eastAsia="zh-cn" w:bidi="ar-sa"/>
    </w:rPr>
  </w:style>
  <w:style w:type="paragraph" w:styleId="para16" w:customStyle="1">
    <w:name w:val="Quotations"/>
    <w:qFormat/>
    <w:basedOn w:val="para0"/>
    <w:pPr>
      <w:spacing w:after="160" w:line="259" w:lineRule="auto"/>
    </w:pPr>
    <w:rPr>
      <w:rFonts w:ascii="Calibri" w:hAnsi="Calibri" w:eastAsia="Calibri"/>
      <w:sz w:val="22"/>
      <w:szCs w:val="22"/>
    </w:rPr>
  </w:style>
  <w:style w:type="paragraph" w:styleId="para17">
    <w:name w:val="Title"/>
    <w:qFormat/>
    <w:basedOn w:val="para0"/>
    <w:next w:val="para0"/>
    <w:pPr>
      <w:contextualSpacing/>
    </w:pPr>
    <w:rPr>
      <w:rFonts w:ascii="Calibri Light" w:hAnsi="Calibri Light" w:eastAsia="Calibri Light"/>
      <w:color w:val="000000"/>
      <w:sz w:val="56"/>
      <w:szCs w:val="56"/>
    </w:rPr>
  </w:style>
  <w:style w:type="paragraph" w:styleId="para18">
    <w:name w:val="Subtitle"/>
    <w:qFormat/>
    <w:basedOn w:val="para0"/>
    <w:next w:val="para0"/>
    <w:pPr>
      <w:spacing w:after="160" w:line="259" w:lineRule="auto"/>
    </w:pPr>
    <w:rPr>
      <w:rFonts w:ascii="Calibri" w:hAnsi="Calibri" w:eastAsia="Calibri"/>
      <w:color w:val="5a5a5a"/>
      <w:spacing w:val="10" w:percent="109"/>
      <w:sz w:val="22"/>
      <w:szCs w:val="22"/>
    </w:rPr>
  </w:style>
  <w:style w:type="paragraph" w:styleId="para19" w:customStyle="1">
    <w:name w:val="Tabellen Inhalt"/>
    <w:qFormat/>
    <w:basedOn w:val="para0"/>
    <w:pPr>
      <w:spacing w:after="160" w:line="259" w:lineRule="auto"/>
    </w:pPr>
    <w:rPr>
      <w:rFonts w:ascii="Calibri" w:hAnsi="Calibri" w:eastAsia="Calibri"/>
      <w:sz w:val="22"/>
      <w:szCs w:val="22"/>
    </w:rPr>
  </w:style>
  <w:style w:type="paragraph" w:styleId="para20" w:customStyle="1">
    <w:name w:val="Tabellen Überschrift"/>
    <w:qFormat/>
    <w:basedOn w:val="para19"/>
  </w:style>
  <w:style w:type="paragraph" w:styleId="para21">
    <w:name w:val="Header"/>
    <w:qFormat/>
    <w:basedOn w:val="para0"/>
    <w:pPr>
      <w:tabs defTabSz="708">
        <w:tab w:val="center" w:pos="4536" w:leader="none"/>
        <w:tab w:val="right" w:pos="9072" w:leader="none"/>
      </w:tabs>
    </w:pPr>
    <w:rPr>
      <w:rFonts w:ascii="Calibri" w:hAnsi="Calibri" w:eastAsia="Calibri"/>
      <w:sz w:val="22"/>
      <w:szCs w:val="22"/>
    </w:rPr>
  </w:style>
  <w:style w:type="paragraph" w:styleId="para22">
    <w:name w:val="Footer"/>
    <w:qFormat/>
    <w:basedOn w:val="para0"/>
    <w:pPr>
      <w:tabs defTabSz="708">
        <w:tab w:val="center" w:pos="4536" w:leader="none"/>
        <w:tab w:val="right" w:pos="9072" w:leader="none"/>
      </w:tabs>
    </w:pPr>
    <w:rPr>
      <w:rFonts w:ascii="Calibri" w:hAnsi="Calibri" w:eastAsia="Calibri"/>
      <w:sz w:val="22"/>
      <w:szCs w:val="22"/>
    </w:rPr>
  </w:style>
  <w:style w:type="paragraph" w:styleId="para23">
    <w:name w:val="Balloon Text"/>
    <w:qFormat/>
    <w:basedOn w:val="para0"/>
    <w:rPr>
      <w:rFonts w:ascii="Segoe UI" w:hAnsi="Segoe UI" w:eastAsia="Calibri" w:cs="Segoe UI"/>
      <w:sz w:val="18"/>
      <w:szCs w:val="18"/>
    </w:rPr>
  </w:style>
  <w:style w:type="paragraph" w:styleId="para24" w:customStyle="1">
    <w:name w:val="Vorformatierter Text"/>
    <w:qFormat/>
    <w:basedOn w:val="para0"/>
    <w:rPr>
      <w:rFonts w:ascii="Liberation Mono;Courier New" w:hAnsi="Liberation Mono;Courier New" w:eastAsia="NSimSun" w:cs="Liberation Mono;Courier New"/>
      <w:sz w:val="20"/>
      <w:szCs w:val="20"/>
      <w:lang w:bidi="hi-in"/>
    </w:rPr>
  </w:style>
  <w:style w:type="paragraph" w:styleId="para25" w:customStyle="1">
    <w:name w:val="Kommentartext1"/>
    <w:qFormat/>
    <w:basedOn w:val="para0"/>
    <w:pPr>
      <w:spacing w:after="160"/>
    </w:pPr>
    <w:rPr>
      <w:rFonts w:ascii="Calibri" w:hAnsi="Calibri" w:eastAsia="Calibri"/>
      <w:sz w:val="20"/>
      <w:szCs w:val="20"/>
    </w:rPr>
  </w:style>
  <w:style w:type="paragraph" w:styleId="para26" w:customStyle="1">
    <w:name w:val="Kommentarthema1"/>
    <w:qFormat/>
    <w:basedOn w:val="para25"/>
    <w:next w:val="para25"/>
    <w:rPr>
      <w:b/>
      <w:bCs/>
    </w:rPr>
  </w:style>
  <w:style w:type="paragraph" w:styleId="para27">
    <w:name w:val="List Paragraph"/>
    <w:qFormat/>
    <w:basedOn w:val="para0"/>
    <w:pPr>
      <w:ind w:left="720"/>
      <w:spacing w:after="160" w:line="259" w:lineRule="auto"/>
      <w:contextualSpacing/>
    </w:pPr>
    <w:rPr>
      <w:rFonts w:ascii="Calibri" w:hAnsi="Calibri" w:eastAsia="Calibri"/>
      <w:sz w:val="22"/>
      <w:szCs w:val="22"/>
    </w:rPr>
  </w:style>
  <w:style w:type="paragraph" w:styleId="para28">
    <w:name w:val="Quote"/>
    <w:qFormat/>
    <w:basedOn w:val="para0"/>
    <w:next w:val="para0"/>
    <w:pPr>
      <w:ind w:left="720" w:right="720"/>
      <w:spacing w:before="160" w:after="160" w:line="259" w:lineRule="auto"/>
    </w:pPr>
    <w:rPr>
      <w:rFonts w:ascii="Calibri" w:hAnsi="Calibri" w:eastAsia="Calibri"/>
      <w:i/>
      <w:iCs/>
      <w:color w:val="000000"/>
      <w:sz w:val="22"/>
      <w:szCs w:val="22"/>
    </w:rPr>
  </w:style>
  <w:style w:type="paragraph" w:styleId="para29">
    <w:name w:val="Intense Quote"/>
    <w:qFormat/>
    <w:basedOn w:val="para0"/>
    <w:next w:val="para0"/>
    <w:pPr>
      <w:ind w:left="936" w:right="936"/>
      <w:spacing w:before="240" w:after="240" w:line="259" w:lineRule="auto"/>
      <w:jc w:val="center"/>
      <w:pBdr>
        <w:top w:val="single" w:sz="24" w:space="1" w:color="F2F2F2" tmln="60, 20, 20, 0, 20"/>
        <w:left w:val="nil" w:sz="0" w:space="3" w:color="000000" tmln="20, 20, 20, 0, 60"/>
        <w:bottom w:val="single" w:sz="24" w:space="1" w:color="F2F2F2" tmln="60, 20, 20, 0, 20"/>
        <w:right w:val="nil" w:sz="0" w:space="3" w:color="000000" tmln="20, 20, 20, 0, 60"/>
        <w:between w:val="nil" w:sz="0" w:space="0" w:color="000000" tmln="20, 20, 20, 0, 0"/>
      </w:pBdr>
      <w:shd w:val="solid" w:color="F2F2F2" tmshd="6553856, 15921906, 16777215"/>
    </w:pPr>
    <w:rPr>
      <w:rFonts w:ascii="Calibri" w:hAnsi="Calibri" w:eastAsia="Calibri"/>
      <w:color w:val="000000"/>
      <w:sz w:val="22"/>
      <w:szCs w:val="22"/>
    </w:rPr>
  </w:style>
  <w:style w:type="paragraph" w:styleId="para30">
    <w:name w:val="TOC Heading"/>
    <w:qFormat/>
    <w:basedOn w:val="para1"/>
    <w:next w:val="para0"/>
    <w:pPr>
      <w:numPr>
        <w:ilvl w:val="0"/>
        <w:numId w:val="0"/>
      </w:numPr>
      <w:ind w:left="432"/>
      <w:outlineLvl w:val="9"/>
    </w:pPr>
  </w:style>
  <w:style w:type="paragraph" w:styleId="para31">
    <w:name w:val="toc 1"/>
    <w:qFormat/>
    <w:basedOn w:val="para0"/>
    <w:next w:val="para0"/>
    <w:pPr>
      <w:spacing w:after="100" w:line="259" w:lineRule="auto"/>
    </w:pPr>
    <w:rPr>
      <w:rFonts w:ascii="Calibri" w:hAnsi="Calibri" w:eastAsia="Calibri"/>
      <w:sz w:val="22"/>
      <w:szCs w:val="22"/>
    </w:rPr>
  </w:style>
  <w:style w:type="paragraph" w:styleId="para32">
    <w:name w:val="toc 2"/>
    <w:qFormat/>
    <w:basedOn w:val="para0"/>
    <w:next w:val="para0"/>
    <w:pPr>
      <w:ind w:left="220"/>
      <w:spacing w:after="100" w:line="259" w:lineRule="auto"/>
    </w:pPr>
    <w:rPr>
      <w:rFonts w:ascii="Calibri" w:hAnsi="Calibri" w:eastAsia="Calibri"/>
      <w:sz w:val="22"/>
      <w:szCs w:val="22"/>
    </w:rPr>
  </w:style>
  <w:style w:type="paragraph" w:styleId="para33">
    <w:name w:val="Normal (Web)"/>
    <w:qFormat/>
    <w:basedOn w:val="para0"/>
    <w:pPr>
      <w:spacing w:before="100" w:after="100" w:beforeAutospacing="1" w:afterAutospacing="1"/>
    </w:pPr>
  </w:style>
  <w:style w:type="paragraph" w:styleId="para34">
    <w:name w:val="toc 3"/>
    <w:qFormat/>
    <w:basedOn w:val="para0"/>
    <w:next w:val="para0"/>
    <w:pPr>
      <w:ind w:left="440"/>
      <w:spacing w:after="100" w:line="259" w:lineRule="auto"/>
    </w:pPr>
    <w:rPr>
      <w:rFonts w:ascii="Calibri" w:hAnsi="Calibri" w:eastAsia="Calibri"/>
      <w:sz w:val="22"/>
      <w:szCs w:val="22"/>
    </w:rPr>
  </w:style>
  <w:style w:type="paragraph" w:styleId="para35" w:customStyle="1">
    <w:name w:val="Comment Text"/>
    <w:qFormat/>
    <w:basedOn w:val="para0"/>
    <w:rPr>
      <w:sz w:val="20"/>
      <w:szCs w:val="20"/>
    </w:rPr>
  </w:style>
  <w:style w:type="paragraph" w:styleId="para36" w:customStyle="1">
    <w:name w:val="Comment Subject"/>
    <w:qFormat/>
    <w:basedOn w:val="para35"/>
    <w:next w:val="para35"/>
    <w:rPr>
      <w:b/>
      <w:bCs/>
    </w:rPr>
  </w:style>
  <w:style w:type="paragraph" w:styleId="para37">
    <w:name w:val="toc 4"/>
    <w:qFormat/>
    <w:basedOn w:val="para0"/>
    <w:next w:val="para0"/>
    <w:pPr>
      <w:ind w:left="849"/>
    </w:pPr>
    <w:rPr>
      <w:rFonts w:ascii="Calibri" w:hAnsi="Calibri" w:eastAsia="Calibri" w:cs="Calibri"/>
      <w:sz w:val="22"/>
      <w:szCs w:val="22"/>
      <w:lang w:eastAsia="de-de" w:bidi="de-de"/>
    </w:rPr>
  </w:style>
  <w:style w:type="paragraph" w:styleId="para38">
    <w:name w:val="toc 5"/>
    <w:qFormat/>
    <w:basedOn w:val="para0"/>
    <w:next w:val="para0"/>
    <w:pPr>
      <w:ind w:left="1132"/>
    </w:pPr>
    <w:rPr>
      <w:rFonts w:ascii="Calibri" w:hAnsi="Calibri" w:eastAsia="Calibri" w:cs="Calibri"/>
      <w:sz w:val="22"/>
      <w:szCs w:val="22"/>
      <w:lang w:eastAsia="de-de" w:bidi="de-de"/>
    </w:rPr>
  </w:style>
  <w:style w:type="paragraph" w:styleId="para39" w:customStyle="1">
    <w:name w:val="Kommentartext2"/>
    <w:qFormat/>
    <w:basedOn w:val="para0"/>
    <w:rPr>
      <w:sz w:val="20"/>
      <w:szCs w:val="20"/>
    </w:rPr>
  </w:style>
  <w:style w:type="paragraph" w:styleId="para40" w:customStyle="1">
    <w:name w:val="annotation text"/>
    <w:qFormat/>
    <w:basedOn w:val="para0"/>
    <w:rPr>
      <w:sz w:val="20"/>
      <w:szCs w:val="20"/>
    </w:rPr>
  </w:style>
  <w:style w:type="paragraph" w:styleId="para41">
    <w:name w:val="Comment Text"/>
    <w:qFormat/>
    <w:basedOn w:val="para0"/>
    <w:rPr>
      <w:sz w:val="20"/>
      <w:szCs w:val="20"/>
    </w:rPr>
  </w:style>
  <w:style w:type="paragraph" w:styleId="para42">
    <w:name w:val="Comment Subject"/>
    <w:qFormat/>
    <w:basedOn w:val="para41"/>
    <w:next w:val="para41"/>
    <w:rPr>
      <w:b/>
      <w:bCs/>
    </w:rPr>
  </w:style>
  <w:style w:type="paragraph" w:styleId="para43" w:customStyle="1">
    <w:name w:val="[Normal]"/>
    <w:qFormat/>
    <w:pPr>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Arial" w:hAnsi="Arial" w:eastAsia="Arial" w:cs="Arial"/>
      <w:kern w:val="1"/>
      <w:sz w:val="24"/>
      <w:szCs w:val="24"/>
      <w:lang w:val="de-de" w:eastAsia="zh-cn" w:bidi="ar-sa"/>
    </w:rPr>
  </w:style>
  <w:style w:type="character" w:styleId="char0" w:default="1">
    <w:name w:val="Default Paragraph Font"/>
  </w:style>
  <w:style w:type="character" w:styleId="char1" w:customStyle="1">
    <w:name w:val="ListLabel 1"/>
    <w:rPr>
      <w:rFonts w:eastAsia="Arial" w:cs="Arial"/>
      <w:i w:val="0"/>
      <w:color w:val="000000"/>
      <w:sz w:val="20"/>
      <w:szCs w:val="20"/>
      <w:shd w:val="clear" w:fill="ffffff"/>
      <w:vertAlign w:val="baseline"/>
    </w:rPr>
  </w:style>
  <w:style w:type="character" w:styleId="char2" w:customStyle="1">
    <w:name w:val="ListLabel 2"/>
    <w:rPr>
      <w:rFonts w:eastAsia="Arial" w:cs="Arial"/>
      <w:i w:val="0"/>
      <w:color w:val="000000"/>
      <w:sz w:val="20"/>
      <w:szCs w:val="20"/>
      <w:shd w:val="clear" w:fill="ffffff"/>
      <w:vertAlign w:val="baseline"/>
    </w:rPr>
  </w:style>
  <w:style w:type="character" w:styleId="char3" w:customStyle="1">
    <w:name w:val="Aufzählungszeichen1"/>
    <w:rPr>
      <w:rFonts w:ascii="OpenSymbol" w:hAnsi="OpenSymbol" w:eastAsia="OpenSymbol" w:cs="OpenSymbol"/>
    </w:rPr>
  </w:style>
  <w:style w:type="character" w:styleId="char4" w:customStyle="1">
    <w:name w:val="Nummerierungszeichen"/>
  </w:style>
  <w:style w:type="character" w:styleId="char5" w:customStyle="1">
    <w:name w:val="ListLabel 3"/>
    <w:rPr>
      <w:rFonts w:cs="OpenSymbol"/>
      <w:b w:val="0"/>
    </w:rPr>
  </w:style>
  <w:style w:type="character" w:styleId="char6" w:customStyle="1">
    <w:name w:val="Kopfzeile Zchn"/>
    <w:basedOn w:val="char0"/>
    <w:rPr>
      <w:color w:val="00000a"/>
      <w:sz w:val="22"/>
    </w:rPr>
  </w:style>
  <w:style w:type="character" w:styleId="char7" w:customStyle="1">
    <w:name w:val="Fußzeile Zchn"/>
    <w:basedOn w:val="char0"/>
    <w:rPr>
      <w:color w:val="00000a"/>
      <w:sz w:val="22"/>
    </w:rPr>
  </w:style>
  <w:style w:type="character" w:styleId="char8" w:customStyle="1">
    <w:name w:val="Sprechblasentext Zchn"/>
    <w:basedOn w:val="char0"/>
    <w:rPr>
      <w:rFonts w:ascii="Segoe UI" w:hAnsi="Segoe UI" w:cs="Segoe UI"/>
      <w:color w:val="00000a"/>
      <w:sz w:val="18"/>
      <w:szCs w:val="18"/>
    </w:rPr>
  </w:style>
  <w:style w:type="character" w:styleId="char9" w:customStyle="1">
    <w:name w:val="Kommentarzeichen1"/>
    <w:basedOn w:val="char0"/>
    <w:rPr>
      <w:sz w:val="16"/>
      <w:szCs w:val="16"/>
    </w:rPr>
  </w:style>
  <w:style w:type="character" w:styleId="char10" w:customStyle="1">
    <w:name w:val="Kommentartext Zchn"/>
    <w:basedOn w:val="char0"/>
    <w:rPr>
      <w:color w:val="00000a"/>
      <w:szCs w:val="20"/>
    </w:rPr>
  </w:style>
  <w:style w:type="character" w:styleId="char11" w:customStyle="1">
    <w:name w:val="Kommentarthema Zchn"/>
    <w:basedOn w:val="char10"/>
    <w:rPr>
      <w:b/>
      <w:bCs/>
    </w:rPr>
  </w:style>
  <w:style w:type="character" w:styleId="char12" w:customStyle="1">
    <w:name w:val="Überschrift 1 Zchn"/>
    <w:basedOn w:val="char0"/>
    <w:rPr>
      <w:rFonts w:ascii="Calibri" w:hAnsi="Calibri" w:eastAsia="Calibri Light"/>
      <w:b/>
      <w:bCs/>
      <w:color w:val="000000"/>
      <w:szCs w:val="36"/>
    </w:rPr>
  </w:style>
  <w:style w:type="character" w:styleId="char13" w:customStyle="1">
    <w:name w:val="Überschrift 2 Zchn"/>
    <w:basedOn w:val="char0"/>
    <w:rPr>
      <w:rFonts w:ascii="Calibri" w:hAnsi="Calibri" w:eastAsia="Calibri Light"/>
      <w:b/>
      <w:bCs/>
      <w:color w:val="000000"/>
      <w:szCs w:val="28"/>
    </w:rPr>
  </w:style>
  <w:style w:type="character" w:styleId="char14" w:customStyle="1">
    <w:name w:val="Überschrift 3 Zchn"/>
    <w:basedOn w:val="char0"/>
    <w:rPr>
      <w:rFonts w:ascii="Calibri" w:hAnsi="Calibri" w:eastAsia="Calibri Light"/>
      <w:b/>
      <w:bCs/>
      <w:color w:val="000000"/>
    </w:rPr>
  </w:style>
  <w:style w:type="character" w:styleId="char15" w:customStyle="1">
    <w:name w:val="Überschrift 4 Zchn"/>
    <w:basedOn w:val="char0"/>
    <w:rPr>
      <w:rFonts w:ascii="Calibri Light" w:hAnsi="Calibri Light" w:eastAsia="Calibri Light"/>
      <w:b/>
      <w:bCs/>
      <w:i/>
      <w:iCs/>
      <w:color w:val="000000"/>
    </w:rPr>
  </w:style>
  <w:style w:type="character" w:styleId="char16" w:customStyle="1">
    <w:name w:val="Überschrift 5 Zchn"/>
    <w:basedOn w:val="char0"/>
    <w:rPr>
      <w:rFonts w:ascii="Calibri Light" w:hAnsi="Calibri Light" w:eastAsia="Calibri Light"/>
      <w:color w:val="323e4f"/>
    </w:rPr>
  </w:style>
  <w:style w:type="character" w:styleId="char17" w:customStyle="1">
    <w:name w:val="Überschrift 6 Zchn"/>
    <w:basedOn w:val="char0"/>
    <w:rPr>
      <w:rFonts w:ascii="Calibri Light" w:hAnsi="Calibri Light" w:eastAsia="Calibri Light"/>
      <w:i/>
      <w:iCs/>
      <w:color w:val="323e4f"/>
    </w:rPr>
  </w:style>
  <w:style w:type="character" w:styleId="char18" w:customStyle="1">
    <w:name w:val="Überschrift 7 Zchn"/>
    <w:basedOn w:val="char0"/>
    <w:rPr>
      <w:rFonts w:ascii="Calibri Light" w:hAnsi="Calibri Light" w:eastAsia="Calibri Light"/>
      <w:i/>
      <w:iCs/>
      <w:color w:val="404040"/>
    </w:rPr>
  </w:style>
  <w:style w:type="character" w:styleId="char19" w:customStyle="1">
    <w:name w:val="Überschrift 8 Zchn"/>
    <w:basedOn w:val="char0"/>
    <w:rPr>
      <w:rFonts w:ascii="Calibri Light" w:hAnsi="Calibri Light" w:eastAsia="Calibri Light"/>
      <w:color w:val="404040"/>
      <w:sz w:val="20"/>
      <w:szCs w:val="20"/>
    </w:rPr>
  </w:style>
  <w:style w:type="character" w:styleId="char20" w:customStyle="1">
    <w:name w:val="Überschrift 9 Zchn"/>
    <w:basedOn w:val="char0"/>
    <w:rPr>
      <w:rFonts w:ascii="Calibri Light" w:hAnsi="Calibri Light" w:eastAsia="Calibri Light"/>
      <w:i/>
      <w:iCs/>
      <w:color w:val="404040"/>
      <w:sz w:val="20"/>
      <w:szCs w:val="20"/>
    </w:rPr>
  </w:style>
  <w:style w:type="character" w:styleId="char21" w:customStyle="1">
    <w:name w:val="Titel Zchn"/>
    <w:basedOn w:val="char0"/>
    <w:rPr>
      <w:rFonts w:ascii="Calibri Light" w:hAnsi="Calibri Light" w:eastAsia="Calibri Light"/>
      <w:color w:val="000000"/>
      <w:sz w:val="56"/>
      <w:szCs w:val="56"/>
    </w:rPr>
  </w:style>
  <w:style w:type="character" w:styleId="char22" w:customStyle="1">
    <w:name w:val="Untertitel Zchn"/>
    <w:basedOn w:val="char0"/>
    <w:rPr>
      <w:color w:val="5a5a5a"/>
      <w:spacing w:val="0" w:percent="100"/>
    </w:rPr>
  </w:style>
  <w:style w:type="character" w:styleId="char23">
    <w:name w:val="Strong"/>
    <w:basedOn w:val="char0"/>
    <w:rPr>
      <w:b/>
      <w:bCs/>
      <w:color w:val="000000"/>
    </w:rPr>
  </w:style>
  <w:style w:type="character" w:styleId="char24">
    <w:name w:val="Emphasis"/>
    <w:basedOn w:val="char0"/>
    <w:rPr>
      <w:i/>
      <w:iCs/>
      <w:color w:val="auto"/>
    </w:rPr>
  </w:style>
  <w:style w:type="character" w:styleId="char25" w:customStyle="1">
    <w:name w:val="Zitat Zchn"/>
    <w:basedOn w:val="char0"/>
    <w:rPr>
      <w:i/>
      <w:iCs/>
      <w:color w:val="000000"/>
    </w:rPr>
  </w:style>
  <w:style w:type="character" w:styleId="char26" w:customStyle="1">
    <w:name w:val="Intensives Zitat Zchn"/>
    <w:basedOn w:val="char0"/>
    <w:rPr>
      <w:color w:val="000000"/>
      <w:shd w:val="clear" w:fill="f2f2f2"/>
    </w:rPr>
  </w:style>
  <w:style w:type="character" w:styleId="char27">
    <w:name w:val="Subtle Emphasis"/>
    <w:basedOn w:val="char0"/>
    <w:rPr>
      <w:i/>
      <w:iCs/>
      <w:color w:val="404040"/>
    </w:rPr>
  </w:style>
  <w:style w:type="character" w:styleId="char28">
    <w:name w:val="Intense Emphasis"/>
    <w:basedOn w:val="char0"/>
    <w:rPr>
      <w:b/>
      <w:bCs/>
      <w:i/>
      <w:iCs/>
      <w:caps/>
    </w:rPr>
  </w:style>
  <w:style w:type="character" w:styleId="char29">
    <w:name w:val="Subtle Reference"/>
    <w:basedOn w:val="char0"/>
    <w:rPr>
      <w:smallCaps/>
      <w:color w:val="404040"/>
      <w:u w:color="7f7f7f" w:val="single"/>
    </w:rPr>
  </w:style>
  <w:style w:type="character" w:styleId="char30">
    <w:name w:val="Intense Reference"/>
    <w:basedOn w:val="char0"/>
    <w:rPr>
      <w:b/>
      <w:bCs/>
      <w:smallCaps/>
      <w:u w:color="auto" w:val="single"/>
    </w:rPr>
  </w:style>
  <w:style w:type="character" w:styleId="char31">
    <w:name w:val="Book Title"/>
    <w:basedOn w:val="char0"/>
    <w:rPr>
      <w:b w:val="0"/>
      <w:bCs w:val="0"/>
      <w:smallCaps/>
      <w:spacing w:val="0" w:percent="100"/>
    </w:rPr>
  </w:style>
  <w:style w:type="character" w:styleId="char32">
    <w:name w:val="Hyperlink"/>
    <w:basedOn w:val="char0"/>
    <w:rPr>
      <w:color w:val="0563c1"/>
      <w:u w:color="auto" w:val="single"/>
    </w:rPr>
  </w:style>
  <w:style w:type="character" w:styleId="char33" w:customStyle="1">
    <w:name w:val="Kommentartext Zchn1"/>
    <w:basedOn w:val="char0"/>
    <w:rPr>
      <w:rFonts w:ascii="Times New Roman" w:hAnsi="Times New Roman" w:eastAsia="Times New Roman"/>
      <w:sz w:val="20"/>
      <w:szCs w:val="20"/>
    </w:rPr>
  </w:style>
  <w:style w:type="character" w:styleId="char34" w:customStyle="1">
    <w:name w:val="Kommentarzeichen2"/>
    <w:basedOn w:val="char0"/>
    <w:rPr>
      <w:sz w:val="16"/>
      <w:szCs w:val="16"/>
    </w:rPr>
  </w:style>
  <w:style w:type="character" w:styleId="char35" w:customStyle="1">
    <w:name w:val="Kommentartext Zchn2"/>
    <w:basedOn w:val="char0"/>
    <w:rPr>
      <w:rFonts w:ascii="Times New Roman" w:hAnsi="Times New Roman" w:eastAsia="Times New Roman"/>
      <w:sz w:val="20"/>
      <w:szCs w:val="20"/>
    </w:rPr>
  </w:style>
  <w:style w:type="character" w:styleId="char36" w:customStyle="1">
    <w:name w:val="annotation reference"/>
    <w:basedOn w:val="char0"/>
    <w:rPr>
      <w:sz w:val="16"/>
      <w:szCs w:val="16"/>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elle mit Gitter"/>
    <w:basedOn w:val="NormalTable"/>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 w:type="table" w:styleId="ListTable3">
    <w:name w:val="Listentabelle 3"/>
    <w:basedOn w:val="NormalTable"/>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tblBorders>
    </w:tblPr>
    <w:tblStylePr w:type="swCell">
      <w:tcPr>
        <w:tcBorders>
          <w:top w:val="double" w:sz="36" w:space="0" w:color="000000" tmln="30, 30, 30, 0, 0"/>
        </w:tcBorders>
      </w:tcPr>
    </w:tblStylePr>
    <w:tblStylePr w:type="seCell">
      <w:tcPr>
        <w:tcBorders>
          <w:top w:val="double" w:sz="36" w:space="0" w:color="000000" tmln="30, 30, 30, 0, 0"/>
        </w:tcBorders>
      </w:tcPr>
    </w:tblStylePr>
    <w:tblStylePr w:type="firstRow">
      <w:rPr>
        <w:b/>
        <w:bCs/>
        <w:color w:val="ffffff"/>
      </w:rPr>
      <w:tcPr>
        <w:shd w:val="solid" w:color="000000" tmshd="6553856, 0, 16777215"/>
      </w:tcPr>
    </w:tblStylePr>
    <w:tblStylePr w:type="lastRow">
      <w:rPr>
        <w:b/>
        <w:bCs/>
      </w:rPr>
      <w:tcPr>
        <w:tcBorders>
          <w:top w:val="double" w:sz="36" w:space="0" w:color="000000" tmln="30, 30, 30, 0, 0"/>
        </w:tcBorders>
        <w:shd w:val="solid" w:color="FFFFFF" tmshd="6553856, 16777215, 16777215"/>
      </w:tcPr>
    </w:tblStylePr>
    <w:tblStylePr w:type="firstCol">
      <w:rPr>
        <w:b/>
        <w:bCs/>
      </w:rPr>
      <w:tcPr>
        <w:shd w:val="solid" w:color="FFFFFF" tmshd="6553856, 16777215, 16777215"/>
      </w:tcPr>
    </w:tblStylePr>
    <w:tblStylePr w:type="lastCol">
      <w:rPr>
        <w:b/>
        <w:bCs/>
      </w:rPr>
      <w:tcPr>
        <w:shd w:val="solid" w:color="FFFFFF" tmshd="6553856, 16777215, 16777215"/>
      </w:tcPr>
    </w:tblStylePr>
    <w:tblStylePr w:type="band1Vert">
      <w:tcPr>
        <w:tcBorders>
          <w:left w:val="single" w:sz="4" w:space="0" w:color="000000" tmln="10, 0, 0, 0, 0"/>
          <w:right w:val="single" w:sz="4" w:space="0" w:color="000000" tmln="10, 0, 0, 0, 0"/>
        </w:tcBorders>
      </w:tcPr>
    </w:tblStylePr>
    <w:tblStylePr w:type="band1Horz">
      <w:tcPr>
        <w:tcBorders>
          <w:top w:val="single" w:sz="4" w:space="0" w:color="000000" tmln="10, 0, 0, 0, 0"/>
          <w:bottom w:val="single" w:sz="4" w:space="0" w:color="000000" tmln="10, 0, 0, 0, 0"/>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Times New Roman"/>
        <w:sz w:val="22"/>
        <w:szCs w:val="22"/>
        <w:lang w:val="de-de" w:eastAsia="zh-cn"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sz w:val="24"/>
      <w:szCs w:val="24"/>
    </w:rPr>
  </w:style>
  <w:style w:type="paragraph" w:styleId="para1">
    <w:name w:val="heading 1"/>
    <w:qFormat/>
    <w:basedOn w:val="para0"/>
    <w:next w:val="para0"/>
    <w:pPr>
      <w:numPr>
        <w:ilvl w:val="0"/>
        <w:numId w:val="4"/>
      </w:numPr>
      <w:ind w:left="432" w:hanging="432"/>
      <w:spacing w:before="360" w:after="160" w:line="259" w:lineRule="auto"/>
      <w:keepNext/>
      <w:outlineLvl w:val="0"/>
      <w:keepLines/>
    </w:pPr>
    <w:rPr>
      <w:rFonts w:ascii="Calibri" w:hAnsi="Calibri" w:eastAsia="Calibri Light"/>
      <w:b/>
      <w:bCs/>
      <w:color w:val="000000"/>
      <w:sz w:val="22"/>
      <w:szCs w:val="36"/>
    </w:rPr>
  </w:style>
  <w:style w:type="paragraph" w:styleId="para2">
    <w:name w:val="heading 2"/>
    <w:qFormat/>
    <w:basedOn w:val="para0"/>
    <w:next w:val="para0"/>
    <w:pPr>
      <w:numPr>
        <w:ilvl w:val="1"/>
        <w:numId w:val="4"/>
      </w:numPr>
      <w:ind w:left="576" w:hanging="576"/>
      <w:spacing w:before="360" w:line="259" w:lineRule="auto"/>
      <w:keepNext/>
      <w:outlineLvl w:val="1"/>
      <w:keepLines/>
    </w:pPr>
    <w:rPr>
      <w:rFonts w:ascii="Calibri" w:hAnsi="Calibri" w:eastAsia="Calibri Light"/>
      <w:b/>
      <w:bCs/>
      <w:color w:val="000000"/>
      <w:sz w:val="22"/>
      <w:szCs w:val="28"/>
    </w:rPr>
  </w:style>
  <w:style w:type="paragraph" w:styleId="para3">
    <w:name w:val="heading 3"/>
    <w:qFormat/>
    <w:basedOn w:val="para0"/>
    <w:next w:val="para0"/>
    <w:pPr>
      <w:numPr>
        <w:ilvl w:val="2"/>
        <w:numId w:val="4"/>
      </w:numPr>
      <w:ind w:left="720" w:hanging="720"/>
      <w:spacing w:before="200" w:line="259" w:lineRule="auto"/>
      <w:keepNext/>
      <w:outlineLvl w:val="2"/>
      <w:keepLines/>
    </w:pPr>
    <w:rPr>
      <w:rFonts w:ascii="Calibri" w:hAnsi="Calibri" w:eastAsia="Calibri Light"/>
      <w:b/>
      <w:bCs/>
      <w:color w:val="000000"/>
      <w:sz w:val="22"/>
      <w:szCs w:val="22"/>
    </w:rPr>
  </w:style>
  <w:style w:type="paragraph" w:styleId="para4">
    <w:name w:val="heading 4"/>
    <w:qFormat/>
    <w:basedOn w:val="para0"/>
    <w:next w:val="para0"/>
    <w:pPr>
      <w:numPr>
        <w:ilvl w:val="3"/>
        <w:numId w:val="4"/>
      </w:numPr>
      <w:ind w:left="864" w:hanging="864"/>
      <w:spacing w:before="200" w:line="259" w:lineRule="auto"/>
      <w:keepNext/>
      <w:outlineLvl w:val="3"/>
      <w:keepLines/>
    </w:pPr>
    <w:rPr>
      <w:rFonts w:ascii="Calibri Light" w:hAnsi="Calibri Light" w:eastAsia="Calibri Light"/>
      <w:b/>
      <w:bCs/>
      <w:i/>
      <w:iCs/>
      <w:color w:val="000000"/>
      <w:sz w:val="22"/>
      <w:szCs w:val="22"/>
    </w:rPr>
  </w:style>
  <w:style w:type="paragraph" w:styleId="para5">
    <w:name w:val="heading 5"/>
    <w:qFormat/>
    <w:basedOn w:val="para0"/>
    <w:next w:val="para0"/>
    <w:pPr>
      <w:numPr>
        <w:ilvl w:val="4"/>
        <w:numId w:val="4"/>
      </w:numPr>
      <w:ind w:left="1008" w:hanging="1008"/>
      <w:spacing w:before="200" w:line="259" w:lineRule="auto"/>
      <w:keepNext/>
      <w:outlineLvl w:val="4"/>
      <w:keepLines/>
    </w:pPr>
    <w:rPr>
      <w:rFonts w:ascii="Calibri Light" w:hAnsi="Calibri Light" w:eastAsia="Calibri Light"/>
      <w:color w:val="323e4f"/>
      <w:sz w:val="22"/>
      <w:szCs w:val="22"/>
    </w:rPr>
  </w:style>
  <w:style w:type="paragraph" w:styleId="para6">
    <w:name w:val="heading 6"/>
    <w:qFormat/>
    <w:basedOn w:val="para0"/>
    <w:next w:val="para0"/>
    <w:pPr>
      <w:numPr>
        <w:ilvl w:val="5"/>
        <w:numId w:val="4"/>
      </w:numPr>
      <w:ind w:left="1152" w:hanging="1152"/>
      <w:spacing w:before="200" w:line="259" w:lineRule="auto"/>
      <w:keepNext/>
      <w:outlineLvl w:val="5"/>
      <w:keepLines/>
    </w:pPr>
    <w:rPr>
      <w:rFonts w:ascii="Calibri Light" w:hAnsi="Calibri Light" w:eastAsia="Calibri Light"/>
      <w:i/>
      <w:iCs/>
      <w:color w:val="323e4f"/>
      <w:sz w:val="22"/>
      <w:szCs w:val="22"/>
    </w:rPr>
  </w:style>
  <w:style w:type="paragraph" w:styleId="para7">
    <w:name w:val="heading 7"/>
    <w:qFormat/>
    <w:basedOn w:val="para0"/>
    <w:next w:val="para0"/>
    <w:pPr>
      <w:numPr>
        <w:ilvl w:val="6"/>
        <w:numId w:val="4"/>
      </w:numPr>
      <w:ind w:left="1296" w:hanging="1296"/>
      <w:spacing w:before="200" w:line="259" w:lineRule="auto"/>
      <w:keepNext/>
      <w:outlineLvl w:val="6"/>
      <w:keepLines/>
    </w:pPr>
    <w:rPr>
      <w:rFonts w:ascii="Calibri Light" w:hAnsi="Calibri Light" w:eastAsia="Calibri Light"/>
      <w:i/>
      <w:iCs/>
      <w:color w:val="404040"/>
      <w:sz w:val="22"/>
      <w:szCs w:val="22"/>
    </w:rPr>
  </w:style>
  <w:style w:type="paragraph" w:styleId="para8">
    <w:name w:val="heading 8"/>
    <w:qFormat/>
    <w:basedOn w:val="para0"/>
    <w:next w:val="para0"/>
    <w:pPr>
      <w:numPr>
        <w:ilvl w:val="7"/>
        <w:numId w:val="4"/>
      </w:numPr>
      <w:ind w:left="1440" w:hanging="1440"/>
      <w:spacing w:before="200" w:line="259" w:lineRule="auto"/>
      <w:keepNext/>
      <w:outlineLvl w:val="7"/>
      <w:keepLines/>
    </w:pPr>
    <w:rPr>
      <w:rFonts w:ascii="Calibri Light" w:hAnsi="Calibri Light" w:eastAsia="Calibri Light"/>
      <w:color w:val="404040"/>
      <w:sz w:val="20"/>
      <w:szCs w:val="20"/>
    </w:rPr>
  </w:style>
  <w:style w:type="paragraph" w:styleId="para9">
    <w:name w:val="heading 9"/>
    <w:qFormat/>
    <w:basedOn w:val="para0"/>
    <w:next w:val="para0"/>
    <w:pPr>
      <w:numPr>
        <w:ilvl w:val="8"/>
        <w:numId w:val="4"/>
      </w:numPr>
      <w:ind w:left="1584" w:hanging="1584"/>
      <w:spacing w:before="200" w:line="259" w:lineRule="auto"/>
      <w:keepNext/>
      <w:outlineLvl w:val="8"/>
      <w:keepLines/>
    </w:pPr>
    <w:rPr>
      <w:rFonts w:ascii="Calibri Light" w:hAnsi="Calibri Light" w:eastAsia="Calibri Light"/>
      <w:i/>
      <w:iCs/>
      <w:color w:val="404040"/>
      <w:sz w:val="20"/>
      <w:szCs w:val="20"/>
    </w:rPr>
  </w:style>
  <w:style w:type="paragraph" w:styleId="para10" w:customStyle="1">
    <w:name w:val="Überschrift"/>
    <w:qFormat/>
    <w:basedOn w:val="para0"/>
    <w:next w:val="para11"/>
    <w:pPr>
      <w:spacing w:before="240" w:after="120" w:line="259" w:lineRule="auto"/>
      <w:keepNext/>
    </w:pPr>
    <w:rPr>
      <w:rFonts w:ascii="Liberation Sans" w:hAnsi="Liberation Sans" w:eastAsia="Microsoft YaHei" w:cs="Mangal"/>
      <w:sz w:val="28"/>
      <w:szCs w:val="28"/>
    </w:rPr>
  </w:style>
  <w:style w:type="paragraph" w:styleId="para11">
    <w:name w:val="Body Text"/>
    <w:qFormat/>
    <w:basedOn w:val="para0"/>
    <w:pPr>
      <w:spacing w:after="140" w:line="288" w:lineRule="auto"/>
    </w:pPr>
    <w:rPr>
      <w:rFonts w:ascii="Calibri" w:hAnsi="Calibri" w:eastAsia="Calibri"/>
      <w:sz w:val="22"/>
      <w:szCs w:val="22"/>
    </w:rPr>
  </w:style>
  <w:style w:type="paragraph" w:styleId="para12">
    <w:name w:val="List"/>
    <w:qFormat/>
    <w:basedOn w:val="para11"/>
    <w:rPr>
      <w:rFonts w:cs="Mangal"/>
    </w:rPr>
  </w:style>
  <w:style w:type="paragraph" w:styleId="para13">
    <w:name w:val="caption"/>
    <w:qFormat/>
    <w:basedOn w:val="para0"/>
    <w:next w:val="para0"/>
    <w:pPr>
      <w:spacing w:after="200"/>
    </w:pPr>
    <w:rPr>
      <w:rFonts w:ascii="Calibri" w:hAnsi="Calibri" w:eastAsia="Calibri"/>
      <w:i/>
      <w:iCs/>
      <w:color w:val="44546a"/>
      <w:sz w:val="18"/>
      <w:szCs w:val="18"/>
    </w:rPr>
  </w:style>
  <w:style w:type="paragraph" w:styleId="para14" w:customStyle="1">
    <w:name w:val="Verzeichnis"/>
    <w:qFormat/>
    <w:basedOn w:val="para0"/>
    <w:pPr>
      <w:spacing w:after="160" w:line="259" w:lineRule="auto"/>
      <w:suppressLineNumbers/>
    </w:pPr>
    <w:rPr>
      <w:rFonts w:ascii="Calibri" w:hAnsi="Calibri" w:eastAsia="Calibri" w:cs="Mangal"/>
      <w:sz w:val="22"/>
      <w:szCs w:val="22"/>
    </w:rPr>
  </w:style>
  <w:style w:type="paragraph" w:styleId="para15">
    <w:name w:val="No Spacing"/>
    <w:qFormat/>
    <w:rPr>
      <w:rFonts w:ascii="Calibri" w:hAnsi="Calibri" w:eastAsia="Calibri"/>
      <w:sz w:val="22"/>
      <w:szCs w:val="22"/>
      <w:lang w:val="de-de" w:eastAsia="zh-cn" w:bidi="ar-sa"/>
    </w:rPr>
  </w:style>
  <w:style w:type="paragraph" w:styleId="para16" w:customStyle="1">
    <w:name w:val="Quotations"/>
    <w:qFormat/>
    <w:basedOn w:val="para0"/>
    <w:pPr>
      <w:spacing w:after="160" w:line="259" w:lineRule="auto"/>
    </w:pPr>
    <w:rPr>
      <w:rFonts w:ascii="Calibri" w:hAnsi="Calibri" w:eastAsia="Calibri"/>
      <w:sz w:val="22"/>
      <w:szCs w:val="22"/>
    </w:rPr>
  </w:style>
  <w:style w:type="paragraph" w:styleId="para17">
    <w:name w:val="Title"/>
    <w:qFormat/>
    <w:basedOn w:val="para0"/>
    <w:next w:val="para0"/>
    <w:pPr>
      <w:contextualSpacing/>
    </w:pPr>
    <w:rPr>
      <w:rFonts w:ascii="Calibri Light" w:hAnsi="Calibri Light" w:eastAsia="Calibri Light"/>
      <w:color w:val="000000"/>
      <w:sz w:val="56"/>
      <w:szCs w:val="56"/>
    </w:rPr>
  </w:style>
  <w:style w:type="paragraph" w:styleId="para18">
    <w:name w:val="Subtitle"/>
    <w:qFormat/>
    <w:basedOn w:val="para0"/>
    <w:next w:val="para0"/>
    <w:pPr>
      <w:spacing w:after="160" w:line="259" w:lineRule="auto"/>
    </w:pPr>
    <w:rPr>
      <w:rFonts w:ascii="Calibri" w:hAnsi="Calibri" w:eastAsia="Calibri"/>
      <w:color w:val="5a5a5a"/>
      <w:spacing w:val="10" w:percent="109"/>
      <w:sz w:val="22"/>
      <w:szCs w:val="22"/>
    </w:rPr>
  </w:style>
  <w:style w:type="paragraph" w:styleId="para19" w:customStyle="1">
    <w:name w:val="Tabellen Inhalt"/>
    <w:qFormat/>
    <w:basedOn w:val="para0"/>
    <w:pPr>
      <w:spacing w:after="160" w:line="259" w:lineRule="auto"/>
    </w:pPr>
    <w:rPr>
      <w:rFonts w:ascii="Calibri" w:hAnsi="Calibri" w:eastAsia="Calibri"/>
      <w:sz w:val="22"/>
      <w:szCs w:val="22"/>
    </w:rPr>
  </w:style>
  <w:style w:type="paragraph" w:styleId="para20" w:customStyle="1">
    <w:name w:val="Tabellen Überschrift"/>
    <w:qFormat/>
    <w:basedOn w:val="para19"/>
  </w:style>
  <w:style w:type="paragraph" w:styleId="para21">
    <w:name w:val="Header"/>
    <w:qFormat/>
    <w:basedOn w:val="para0"/>
    <w:pPr>
      <w:tabs defTabSz="708">
        <w:tab w:val="center" w:pos="4536" w:leader="none"/>
        <w:tab w:val="right" w:pos="9072" w:leader="none"/>
      </w:tabs>
    </w:pPr>
    <w:rPr>
      <w:rFonts w:ascii="Calibri" w:hAnsi="Calibri" w:eastAsia="Calibri"/>
      <w:sz w:val="22"/>
      <w:szCs w:val="22"/>
    </w:rPr>
  </w:style>
  <w:style w:type="paragraph" w:styleId="para22">
    <w:name w:val="Footer"/>
    <w:qFormat/>
    <w:basedOn w:val="para0"/>
    <w:pPr>
      <w:tabs defTabSz="708">
        <w:tab w:val="center" w:pos="4536" w:leader="none"/>
        <w:tab w:val="right" w:pos="9072" w:leader="none"/>
      </w:tabs>
    </w:pPr>
    <w:rPr>
      <w:rFonts w:ascii="Calibri" w:hAnsi="Calibri" w:eastAsia="Calibri"/>
      <w:sz w:val="22"/>
      <w:szCs w:val="22"/>
    </w:rPr>
  </w:style>
  <w:style w:type="paragraph" w:styleId="para23">
    <w:name w:val="Balloon Text"/>
    <w:qFormat/>
    <w:basedOn w:val="para0"/>
    <w:rPr>
      <w:rFonts w:ascii="Segoe UI" w:hAnsi="Segoe UI" w:eastAsia="Calibri" w:cs="Segoe UI"/>
      <w:sz w:val="18"/>
      <w:szCs w:val="18"/>
    </w:rPr>
  </w:style>
  <w:style w:type="paragraph" w:styleId="para24" w:customStyle="1">
    <w:name w:val="Vorformatierter Text"/>
    <w:qFormat/>
    <w:basedOn w:val="para0"/>
    <w:rPr>
      <w:rFonts w:ascii="Liberation Mono;Courier New" w:hAnsi="Liberation Mono;Courier New" w:eastAsia="NSimSun" w:cs="Liberation Mono;Courier New"/>
      <w:sz w:val="20"/>
      <w:szCs w:val="20"/>
      <w:lang w:bidi="hi-in"/>
    </w:rPr>
  </w:style>
  <w:style w:type="paragraph" w:styleId="para25" w:customStyle="1">
    <w:name w:val="Kommentartext1"/>
    <w:qFormat/>
    <w:basedOn w:val="para0"/>
    <w:pPr>
      <w:spacing w:after="160"/>
    </w:pPr>
    <w:rPr>
      <w:rFonts w:ascii="Calibri" w:hAnsi="Calibri" w:eastAsia="Calibri"/>
      <w:sz w:val="20"/>
      <w:szCs w:val="20"/>
    </w:rPr>
  </w:style>
  <w:style w:type="paragraph" w:styleId="para26" w:customStyle="1">
    <w:name w:val="Kommentarthema1"/>
    <w:qFormat/>
    <w:basedOn w:val="para25"/>
    <w:next w:val="para25"/>
    <w:rPr>
      <w:b/>
      <w:bCs/>
    </w:rPr>
  </w:style>
  <w:style w:type="paragraph" w:styleId="para27">
    <w:name w:val="List Paragraph"/>
    <w:qFormat/>
    <w:basedOn w:val="para0"/>
    <w:pPr>
      <w:ind w:left="720"/>
      <w:spacing w:after="160" w:line="259" w:lineRule="auto"/>
      <w:contextualSpacing/>
    </w:pPr>
    <w:rPr>
      <w:rFonts w:ascii="Calibri" w:hAnsi="Calibri" w:eastAsia="Calibri"/>
      <w:sz w:val="22"/>
      <w:szCs w:val="22"/>
    </w:rPr>
  </w:style>
  <w:style w:type="paragraph" w:styleId="para28">
    <w:name w:val="Quote"/>
    <w:qFormat/>
    <w:basedOn w:val="para0"/>
    <w:next w:val="para0"/>
    <w:pPr>
      <w:ind w:left="720" w:right="720"/>
      <w:spacing w:before="160" w:after="160" w:line="259" w:lineRule="auto"/>
    </w:pPr>
    <w:rPr>
      <w:rFonts w:ascii="Calibri" w:hAnsi="Calibri" w:eastAsia="Calibri"/>
      <w:i/>
      <w:iCs/>
      <w:color w:val="000000"/>
      <w:sz w:val="22"/>
      <w:szCs w:val="22"/>
    </w:rPr>
  </w:style>
  <w:style w:type="paragraph" w:styleId="para29">
    <w:name w:val="Intense Quote"/>
    <w:qFormat/>
    <w:basedOn w:val="para0"/>
    <w:next w:val="para0"/>
    <w:pPr>
      <w:ind w:left="936" w:right="936"/>
      <w:spacing w:before="240" w:after="240" w:line="259" w:lineRule="auto"/>
      <w:jc w:val="center"/>
      <w:pBdr>
        <w:top w:val="single" w:sz="24" w:space="1" w:color="F2F2F2" tmln="60, 20, 20, 0, 20"/>
        <w:left w:val="nil" w:sz="0" w:space="3" w:color="000000" tmln="20, 20, 20, 0, 60"/>
        <w:bottom w:val="single" w:sz="24" w:space="1" w:color="F2F2F2" tmln="60, 20, 20, 0, 20"/>
        <w:right w:val="nil" w:sz="0" w:space="3" w:color="000000" tmln="20, 20, 20, 0, 60"/>
        <w:between w:val="nil" w:sz="0" w:space="0" w:color="000000" tmln="20, 20, 20, 0, 0"/>
      </w:pBdr>
      <w:shd w:val="solid" w:color="F2F2F2" tmshd="6553856, 15921906, 16777215"/>
    </w:pPr>
    <w:rPr>
      <w:rFonts w:ascii="Calibri" w:hAnsi="Calibri" w:eastAsia="Calibri"/>
      <w:color w:val="000000"/>
      <w:sz w:val="22"/>
      <w:szCs w:val="22"/>
    </w:rPr>
  </w:style>
  <w:style w:type="paragraph" w:styleId="para30">
    <w:name w:val="TOC Heading"/>
    <w:qFormat/>
    <w:basedOn w:val="para1"/>
    <w:next w:val="para0"/>
    <w:pPr>
      <w:numPr>
        <w:ilvl w:val="0"/>
        <w:numId w:val="0"/>
      </w:numPr>
      <w:ind w:left="432"/>
      <w:outlineLvl w:val="9"/>
    </w:pPr>
  </w:style>
  <w:style w:type="paragraph" w:styleId="para31">
    <w:name w:val="toc 1"/>
    <w:qFormat/>
    <w:basedOn w:val="para0"/>
    <w:next w:val="para0"/>
    <w:pPr>
      <w:spacing w:after="100" w:line="259" w:lineRule="auto"/>
    </w:pPr>
    <w:rPr>
      <w:rFonts w:ascii="Calibri" w:hAnsi="Calibri" w:eastAsia="Calibri"/>
      <w:sz w:val="22"/>
      <w:szCs w:val="22"/>
    </w:rPr>
  </w:style>
  <w:style w:type="paragraph" w:styleId="para32">
    <w:name w:val="toc 2"/>
    <w:qFormat/>
    <w:basedOn w:val="para0"/>
    <w:next w:val="para0"/>
    <w:pPr>
      <w:ind w:left="220"/>
      <w:spacing w:after="100" w:line="259" w:lineRule="auto"/>
    </w:pPr>
    <w:rPr>
      <w:rFonts w:ascii="Calibri" w:hAnsi="Calibri" w:eastAsia="Calibri"/>
      <w:sz w:val="22"/>
      <w:szCs w:val="22"/>
    </w:rPr>
  </w:style>
  <w:style w:type="paragraph" w:styleId="para33">
    <w:name w:val="Normal (Web)"/>
    <w:qFormat/>
    <w:basedOn w:val="para0"/>
    <w:pPr>
      <w:spacing w:before="100" w:after="100" w:beforeAutospacing="1" w:afterAutospacing="1"/>
    </w:pPr>
  </w:style>
  <w:style w:type="paragraph" w:styleId="para34">
    <w:name w:val="toc 3"/>
    <w:qFormat/>
    <w:basedOn w:val="para0"/>
    <w:next w:val="para0"/>
    <w:pPr>
      <w:ind w:left="440"/>
      <w:spacing w:after="100" w:line="259" w:lineRule="auto"/>
    </w:pPr>
    <w:rPr>
      <w:rFonts w:ascii="Calibri" w:hAnsi="Calibri" w:eastAsia="Calibri"/>
      <w:sz w:val="22"/>
      <w:szCs w:val="22"/>
    </w:rPr>
  </w:style>
  <w:style w:type="paragraph" w:styleId="para35" w:customStyle="1">
    <w:name w:val="Comment Text"/>
    <w:qFormat/>
    <w:basedOn w:val="para0"/>
    <w:rPr>
      <w:sz w:val="20"/>
      <w:szCs w:val="20"/>
    </w:rPr>
  </w:style>
  <w:style w:type="paragraph" w:styleId="para36" w:customStyle="1">
    <w:name w:val="Comment Subject"/>
    <w:qFormat/>
    <w:basedOn w:val="para35"/>
    <w:next w:val="para35"/>
    <w:rPr>
      <w:b/>
      <w:bCs/>
    </w:rPr>
  </w:style>
  <w:style w:type="paragraph" w:styleId="para37">
    <w:name w:val="toc 4"/>
    <w:qFormat/>
    <w:basedOn w:val="para0"/>
    <w:next w:val="para0"/>
    <w:pPr>
      <w:ind w:left="849"/>
    </w:pPr>
    <w:rPr>
      <w:rFonts w:ascii="Calibri" w:hAnsi="Calibri" w:eastAsia="Calibri" w:cs="Calibri"/>
      <w:sz w:val="22"/>
      <w:szCs w:val="22"/>
      <w:lang w:eastAsia="de-de" w:bidi="de-de"/>
    </w:rPr>
  </w:style>
  <w:style w:type="paragraph" w:styleId="para38">
    <w:name w:val="toc 5"/>
    <w:qFormat/>
    <w:basedOn w:val="para0"/>
    <w:next w:val="para0"/>
    <w:pPr>
      <w:ind w:left="1132"/>
    </w:pPr>
    <w:rPr>
      <w:rFonts w:ascii="Calibri" w:hAnsi="Calibri" w:eastAsia="Calibri" w:cs="Calibri"/>
      <w:sz w:val="22"/>
      <w:szCs w:val="22"/>
      <w:lang w:eastAsia="de-de" w:bidi="de-de"/>
    </w:rPr>
  </w:style>
  <w:style w:type="paragraph" w:styleId="para39" w:customStyle="1">
    <w:name w:val="Kommentartext2"/>
    <w:qFormat/>
    <w:basedOn w:val="para0"/>
    <w:rPr>
      <w:sz w:val="20"/>
      <w:szCs w:val="20"/>
    </w:rPr>
  </w:style>
  <w:style w:type="paragraph" w:styleId="para40" w:customStyle="1">
    <w:name w:val="annotation text"/>
    <w:qFormat/>
    <w:basedOn w:val="para0"/>
    <w:rPr>
      <w:sz w:val="20"/>
      <w:szCs w:val="20"/>
    </w:rPr>
  </w:style>
  <w:style w:type="paragraph" w:styleId="para41">
    <w:name w:val="Comment Text"/>
    <w:qFormat/>
    <w:basedOn w:val="para0"/>
    <w:rPr>
      <w:sz w:val="20"/>
      <w:szCs w:val="20"/>
    </w:rPr>
  </w:style>
  <w:style w:type="paragraph" w:styleId="para42">
    <w:name w:val="Comment Subject"/>
    <w:qFormat/>
    <w:basedOn w:val="para41"/>
    <w:next w:val="para41"/>
    <w:rPr>
      <w:b/>
      <w:bCs/>
    </w:rPr>
  </w:style>
  <w:style w:type="paragraph" w:styleId="para43" w:customStyle="1">
    <w:name w:val="[Normal]"/>
    <w:qFormat/>
    <w:pPr>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Arial" w:hAnsi="Arial" w:eastAsia="Arial" w:cs="Arial"/>
      <w:kern w:val="1"/>
      <w:sz w:val="24"/>
      <w:szCs w:val="24"/>
      <w:lang w:val="de-de" w:eastAsia="zh-cn" w:bidi="ar-sa"/>
    </w:rPr>
  </w:style>
  <w:style w:type="character" w:styleId="char0" w:default="1">
    <w:name w:val="Default Paragraph Font"/>
  </w:style>
  <w:style w:type="character" w:styleId="char1" w:customStyle="1">
    <w:name w:val="ListLabel 1"/>
    <w:rPr>
      <w:rFonts w:eastAsia="Arial" w:cs="Arial"/>
      <w:i w:val="0"/>
      <w:color w:val="000000"/>
      <w:sz w:val="20"/>
      <w:szCs w:val="20"/>
      <w:shd w:val="clear" w:fill="ffffff"/>
      <w:vertAlign w:val="baseline"/>
    </w:rPr>
  </w:style>
  <w:style w:type="character" w:styleId="char2" w:customStyle="1">
    <w:name w:val="ListLabel 2"/>
    <w:rPr>
      <w:rFonts w:eastAsia="Arial" w:cs="Arial"/>
      <w:i w:val="0"/>
      <w:color w:val="000000"/>
      <w:sz w:val="20"/>
      <w:szCs w:val="20"/>
      <w:shd w:val="clear" w:fill="ffffff"/>
      <w:vertAlign w:val="baseline"/>
    </w:rPr>
  </w:style>
  <w:style w:type="character" w:styleId="char3" w:customStyle="1">
    <w:name w:val="Aufzählungszeichen1"/>
    <w:rPr>
      <w:rFonts w:ascii="OpenSymbol" w:hAnsi="OpenSymbol" w:eastAsia="OpenSymbol" w:cs="OpenSymbol"/>
    </w:rPr>
  </w:style>
  <w:style w:type="character" w:styleId="char4" w:customStyle="1">
    <w:name w:val="Nummerierungszeichen"/>
  </w:style>
  <w:style w:type="character" w:styleId="char5" w:customStyle="1">
    <w:name w:val="ListLabel 3"/>
    <w:rPr>
      <w:rFonts w:cs="OpenSymbol"/>
      <w:b w:val="0"/>
    </w:rPr>
  </w:style>
  <w:style w:type="character" w:styleId="char6" w:customStyle="1">
    <w:name w:val="Kopfzeile Zchn"/>
    <w:basedOn w:val="char0"/>
    <w:rPr>
      <w:color w:val="00000a"/>
      <w:sz w:val="22"/>
    </w:rPr>
  </w:style>
  <w:style w:type="character" w:styleId="char7" w:customStyle="1">
    <w:name w:val="Fußzeile Zchn"/>
    <w:basedOn w:val="char0"/>
    <w:rPr>
      <w:color w:val="00000a"/>
      <w:sz w:val="22"/>
    </w:rPr>
  </w:style>
  <w:style w:type="character" w:styleId="char8" w:customStyle="1">
    <w:name w:val="Sprechblasentext Zchn"/>
    <w:basedOn w:val="char0"/>
    <w:rPr>
      <w:rFonts w:ascii="Segoe UI" w:hAnsi="Segoe UI" w:cs="Segoe UI"/>
      <w:color w:val="00000a"/>
      <w:sz w:val="18"/>
      <w:szCs w:val="18"/>
    </w:rPr>
  </w:style>
  <w:style w:type="character" w:styleId="char9" w:customStyle="1">
    <w:name w:val="Kommentarzeichen1"/>
    <w:basedOn w:val="char0"/>
    <w:rPr>
      <w:sz w:val="16"/>
      <w:szCs w:val="16"/>
    </w:rPr>
  </w:style>
  <w:style w:type="character" w:styleId="char10" w:customStyle="1">
    <w:name w:val="Kommentartext Zchn"/>
    <w:basedOn w:val="char0"/>
    <w:rPr>
      <w:color w:val="00000a"/>
      <w:szCs w:val="20"/>
    </w:rPr>
  </w:style>
  <w:style w:type="character" w:styleId="char11" w:customStyle="1">
    <w:name w:val="Kommentarthema Zchn"/>
    <w:basedOn w:val="char10"/>
    <w:rPr>
      <w:b/>
      <w:bCs/>
    </w:rPr>
  </w:style>
  <w:style w:type="character" w:styleId="char12" w:customStyle="1">
    <w:name w:val="Überschrift 1 Zchn"/>
    <w:basedOn w:val="char0"/>
    <w:rPr>
      <w:rFonts w:ascii="Calibri" w:hAnsi="Calibri" w:eastAsia="Calibri Light"/>
      <w:b/>
      <w:bCs/>
      <w:color w:val="000000"/>
      <w:szCs w:val="36"/>
    </w:rPr>
  </w:style>
  <w:style w:type="character" w:styleId="char13" w:customStyle="1">
    <w:name w:val="Überschrift 2 Zchn"/>
    <w:basedOn w:val="char0"/>
    <w:rPr>
      <w:rFonts w:ascii="Calibri" w:hAnsi="Calibri" w:eastAsia="Calibri Light"/>
      <w:b/>
      <w:bCs/>
      <w:color w:val="000000"/>
      <w:szCs w:val="28"/>
    </w:rPr>
  </w:style>
  <w:style w:type="character" w:styleId="char14" w:customStyle="1">
    <w:name w:val="Überschrift 3 Zchn"/>
    <w:basedOn w:val="char0"/>
    <w:rPr>
      <w:rFonts w:ascii="Calibri" w:hAnsi="Calibri" w:eastAsia="Calibri Light"/>
      <w:b/>
      <w:bCs/>
      <w:color w:val="000000"/>
    </w:rPr>
  </w:style>
  <w:style w:type="character" w:styleId="char15" w:customStyle="1">
    <w:name w:val="Überschrift 4 Zchn"/>
    <w:basedOn w:val="char0"/>
    <w:rPr>
      <w:rFonts w:ascii="Calibri Light" w:hAnsi="Calibri Light" w:eastAsia="Calibri Light"/>
      <w:b/>
      <w:bCs/>
      <w:i/>
      <w:iCs/>
      <w:color w:val="000000"/>
    </w:rPr>
  </w:style>
  <w:style w:type="character" w:styleId="char16" w:customStyle="1">
    <w:name w:val="Überschrift 5 Zchn"/>
    <w:basedOn w:val="char0"/>
    <w:rPr>
      <w:rFonts w:ascii="Calibri Light" w:hAnsi="Calibri Light" w:eastAsia="Calibri Light"/>
      <w:color w:val="323e4f"/>
    </w:rPr>
  </w:style>
  <w:style w:type="character" w:styleId="char17" w:customStyle="1">
    <w:name w:val="Überschrift 6 Zchn"/>
    <w:basedOn w:val="char0"/>
    <w:rPr>
      <w:rFonts w:ascii="Calibri Light" w:hAnsi="Calibri Light" w:eastAsia="Calibri Light"/>
      <w:i/>
      <w:iCs/>
      <w:color w:val="323e4f"/>
    </w:rPr>
  </w:style>
  <w:style w:type="character" w:styleId="char18" w:customStyle="1">
    <w:name w:val="Überschrift 7 Zchn"/>
    <w:basedOn w:val="char0"/>
    <w:rPr>
      <w:rFonts w:ascii="Calibri Light" w:hAnsi="Calibri Light" w:eastAsia="Calibri Light"/>
      <w:i/>
      <w:iCs/>
      <w:color w:val="404040"/>
    </w:rPr>
  </w:style>
  <w:style w:type="character" w:styleId="char19" w:customStyle="1">
    <w:name w:val="Überschrift 8 Zchn"/>
    <w:basedOn w:val="char0"/>
    <w:rPr>
      <w:rFonts w:ascii="Calibri Light" w:hAnsi="Calibri Light" w:eastAsia="Calibri Light"/>
      <w:color w:val="404040"/>
      <w:sz w:val="20"/>
      <w:szCs w:val="20"/>
    </w:rPr>
  </w:style>
  <w:style w:type="character" w:styleId="char20" w:customStyle="1">
    <w:name w:val="Überschrift 9 Zchn"/>
    <w:basedOn w:val="char0"/>
    <w:rPr>
      <w:rFonts w:ascii="Calibri Light" w:hAnsi="Calibri Light" w:eastAsia="Calibri Light"/>
      <w:i/>
      <w:iCs/>
      <w:color w:val="404040"/>
      <w:sz w:val="20"/>
      <w:szCs w:val="20"/>
    </w:rPr>
  </w:style>
  <w:style w:type="character" w:styleId="char21" w:customStyle="1">
    <w:name w:val="Titel Zchn"/>
    <w:basedOn w:val="char0"/>
    <w:rPr>
      <w:rFonts w:ascii="Calibri Light" w:hAnsi="Calibri Light" w:eastAsia="Calibri Light"/>
      <w:color w:val="000000"/>
      <w:sz w:val="56"/>
      <w:szCs w:val="56"/>
    </w:rPr>
  </w:style>
  <w:style w:type="character" w:styleId="char22" w:customStyle="1">
    <w:name w:val="Untertitel Zchn"/>
    <w:basedOn w:val="char0"/>
    <w:rPr>
      <w:color w:val="5a5a5a"/>
      <w:spacing w:val="0" w:percent="100"/>
    </w:rPr>
  </w:style>
  <w:style w:type="character" w:styleId="char23">
    <w:name w:val="Strong"/>
    <w:basedOn w:val="char0"/>
    <w:rPr>
      <w:b/>
      <w:bCs/>
      <w:color w:val="000000"/>
    </w:rPr>
  </w:style>
  <w:style w:type="character" w:styleId="char24">
    <w:name w:val="Emphasis"/>
    <w:basedOn w:val="char0"/>
    <w:rPr>
      <w:i/>
      <w:iCs/>
      <w:color w:val="auto"/>
    </w:rPr>
  </w:style>
  <w:style w:type="character" w:styleId="char25" w:customStyle="1">
    <w:name w:val="Zitat Zchn"/>
    <w:basedOn w:val="char0"/>
    <w:rPr>
      <w:i/>
      <w:iCs/>
      <w:color w:val="000000"/>
    </w:rPr>
  </w:style>
  <w:style w:type="character" w:styleId="char26" w:customStyle="1">
    <w:name w:val="Intensives Zitat Zchn"/>
    <w:basedOn w:val="char0"/>
    <w:rPr>
      <w:color w:val="000000"/>
      <w:shd w:val="clear" w:fill="f2f2f2"/>
    </w:rPr>
  </w:style>
  <w:style w:type="character" w:styleId="char27">
    <w:name w:val="Subtle Emphasis"/>
    <w:basedOn w:val="char0"/>
    <w:rPr>
      <w:i/>
      <w:iCs/>
      <w:color w:val="404040"/>
    </w:rPr>
  </w:style>
  <w:style w:type="character" w:styleId="char28">
    <w:name w:val="Intense Emphasis"/>
    <w:basedOn w:val="char0"/>
    <w:rPr>
      <w:b/>
      <w:bCs/>
      <w:i/>
      <w:iCs/>
      <w:caps/>
    </w:rPr>
  </w:style>
  <w:style w:type="character" w:styleId="char29">
    <w:name w:val="Subtle Reference"/>
    <w:basedOn w:val="char0"/>
    <w:rPr>
      <w:smallCaps/>
      <w:color w:val="404040"/>
      <w:u w:color="7f7f7f" w:val="single"/>
    </w:rPr>
  </w:style>
  <w:style w:type="character" w:styleId="char30">
    <w:name w:val="Intense Reference"/>
    <w:basedOn w:val="char0"/>
    <w:rPr>
      <w:b/>
      <w:bCs/>
      <w:smallCaps/>
      <w:u w:color="auto" w:val="single"/>
    </w:rPr>
  </w:style>
  <w:style w:type="character" w:styleId="char31">
    <w:name w:val="Book Title"/>
    <w:basedOn w:val="char0"/>
    <w:rPr>
      <w:b w:val="0"/>
      <w:bCs w:val="0"/>
      <w:smallCaps/>
      <w:spacing w:val="0" w:percent="100"/>
    </w:rPr>
  </w:style>
  <w:style w:type="character" w:styleId="char32">
    <w:name w:val="Hyperlink"/>
    <w:basedOn w:val="char0"/>
    <w:rPr>
      <w:color w:val="0563c1"/>
      <w:u w:color="auto" w:val="single"/>
    </w:rPr>
  </w:style>
  <w:style w:type="character" w:styleId="char33" w:customStyle="1">
    <w:name w:val="Kommentartext Zchn1"/>
    <w:basedOn w:val="char0"/>
    <w:rPr>
      <w:rFonts w:ascii="Times New Roman" w:hAnsi="Times New Roman" w:eastAsia="Times New Roman"/>
      <w:sz w:val="20"/>
      <w:szCs w:val="20"/>
    </w:rPr>
  </w:style>
  <w:style w:type="character" w:styleId="char34" w:customStyle="1">
    <w:name w:val="Kommentarzeichen2"/>
    <w:basedOn w:val="char0"/>
    <w:rPr>
      <w:sz w:val="16"/>
      <w:szCs w:val="16"/>
    </w:rPr>
  </w:style>
  <w:style w:type="character" w:styleId="char35" w:customStyle="1">
    <w:name w:val="Kommentartext Zchn2"/>
    <w:basedOn w:val="char0"/>
    <w:rPr>
      <w:rFonts w:ascii="Times New Roman" w:hAnsi="Times New Roman" w:eastAsia="Times New Roman"/>
      <w:sz w:val="20"/>
      <w:szCs w:val="20"/>
    </w:rPr>
  </w:style>
  <w:style w:type="character" w:styleId="char36" w:customStyle="1">
    <w:name w:val="annotation reference"/>
    <w:basedOn w:val="char0"/>
    <w:rPr>
      <w:sz w:val="16"/>
      <w:szCs w:val="16"/>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elle mit Gitter"/>
    <w:basedOn w:val="NormalTable"/>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 w:type="table" w:styleId="ListTable3">
    <w:name w:val="Listentabelle 3"/>
    <w:basedOn w:val="NormalTable"/>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tblBorders>
    </w:tblPr>
    <w:tblStylePr w:type="swCell">
      <w:tcPr>
        <w:tcBorders>
          <w:top w:val="double" w:sz="36" w:space="0" w:color="000000" tmln="30, 30, 30, 0, 0"/>
        </w:tcBorders>
      </w:tcPr>
    </w:tblStylePr>
    <w:tblStylePr w:type="seCell">
      <w:tcPr>
        <w:tcBorders>
          <w:top w:val="double" w:sz="36" w:space="0" w:color="000000" tmln="30, 30, 30, 0, 0"/>
        </w:tcBorders>
      </w:tcPr>
    </w:tblStylePr>
    <w:tblStylePr w:type="firstRow">
      <w:rPr>
        <w:b/>
        <w:bCs/>
        <w:color w:val="ffffff"/>
      </w:rPr>
      <w:tcPr>
        <w:shd w:val="solid" w:color="000000" tmshd="6553856, 0, 16777215"/>
      </w:tcPr>
    </w:tblStylePr>
    <w:tblStylePr w:type="lastRow">
      <w:rPr>
        <w:b/>
        <w:bCs/>
      </w:rPr>
      <w:tcPr>
        <w:tcBorders>
          <w:top w:val="double" w:sz="36" w:space="0" w:color="000000" tmln="30, 30, 30, 0, 0"/>
        </w:tcBorders>
        <w:shd w:val="solid" w:color="FFFFFF" tmshd="6553856, 16777215, 16777215"/>
      </w:tcPr>
    </w:tblStylePr>
    <w:tblStylePr w:type="firstCol">
      <w:rPr>
        <w:b/>
        <w:bCs/>
      </w:rPr>
      <w:tcPr>
        <w:shd w:val="solid" w:color="FFFFFF" tmshd="6553856, 16777215, 16777215"/>
      </w:tcPr>
    </w:tblStylePr>
    <w:tblStylePr w:type="lastCol">
      <w:rPr>
        <w:b/>
        <w:bCs/>
      </w:rPr>
      <w:tcPr>
        <w:shd w:val="solid" w:color="FFFFFF" tmshd="6553856, 16777215, 16777215"/>
      </w:tcPr>
    </w:tblStylePr>
    <w:tblStylePr w:type="band1Vert">
      <w:tcPr>
        <w:tcBorders>
          <w:left w:val="single" w:sz="4" w:space="0" w:color="000000" tmln="10, 0, 0, 0, 0"/>
          <w:right w:val="single" w:sz="4" w:space="0" w:color="000000" tmln="10, 0, 0, 0, 0"/>
        </w:tcBorders>
      </w:tcPr>
    </w:tblStylePr>
    <w:tblStylePr w:type="band1Horz">
      <w:tcPr>
        <w:tcBorders>
          <w:top w:val="single" w:sz="4" w:space="0" w:color="000000" tmln="10, 0, 0, 0, 0"/>
          <w:bottom w:val="single" w:sz="4" w:space="0" w:color="000000" tmln="10, 0, 0, 0, 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Calibri Light"/>
        <a:cs typeface="Times New Roman"/>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Berthel</cp:lastModifiedBy>
  <cp:revision>25</cp:revision>
  <cp:lastPrinted>2017-03-22T12:47:00Z</cp:lastPrinted>
  <dcterms:created xsi:type="dcterms:W3CDTF">2020-03-04T06:52:00Z</dcterms:created>
  <dcterms:modified xsi:type="dcterms:W3CDTF">2021-10-19T09:15:31Z</dcterms:modified>
</cp:coreProperties>
</file>