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Grid"/>
        <w:name w:val="Tabelle1"/>
        <w:tabOrder w:val="0"/>
        <w:jc w:val="left"/>
        <w:tblInd w:w="0" w:type="dxa"/>
        <w:tblW w:w="15648" w:type="dxa"/>
        <w:tblLook w:val="04A0" w:firstRow="1" w:lastRow="0" w:firstColumn="1" w:lastColumn="0" w:noHBand="0" w:noVBand="1"/>
      </w:tblPr>
      <w:tblGrid>
        <w:gridCol w:w="6860"/>
        <w:gridCol w:w="6860"/>
        <w:gridCol w:w="1928"/>
      </w:tblGrid>
      <w:tr>
        <w:trPr>
          <w:tblHeader w:val="0"/>
          <w:cantSplit w:val="0"/>
          <w:trHeight w:val="0" w:hRule="auto"/>
        </w:trPr>
        <w:tc>
          <w:tcPr>
            <w:tcW w:w="6860" w:type="dxa"/>
            <w:shd w:val="solid" w:color="DEDEDE" tmshd="1460470240, 0, 16777215"/>
            <w:tcMar>
              <w:top w:w="113" w:type="dxa"/>
              <w:left w:w="113" w:type="dxa"/>
              <w:bottom w:w="113" w:type="dxa"/>
              <w:right w:w="113" w:type="dxa"/>
            </w:tcMar>
            <w:tcBorders>
              <w:top w:val="single" w:sz="8" w:space="0" w:color="000000" tmln="20, 20, 20, 0, 0"/>
              <w:left w:val="single" w:sz="8" w:space="0" w:color="000000" tmln="20, 20, 20, 0, 0"/>
              <w:bottom w:val="single" w:sz="8" w:space="0" w:color="000000" tmln="20, 20, 20, 0, 0"/>
              <w:right w:val="single" w:sz="8" w:space="0" w:color="000000" tmln="20, 20, 20, 0, 0"/>
            </w:tcBorders>
            <w:tmTcPr id="1626363715" protected="0"/>
          </w:tcPr>
          <w:p>
            <w:pPr>
              <w:spacing/>
              <w:jc w:val="center"/>
              <w:rPr>
                <w:b/>
                <w:bCs/>
                <w:sz w:val="24"/>
                <w:szCs w:val="24"/>
              </w:rPr>
            </w:pPr>
            <w:r>
              <w:rPr>
                <w:b/>
                <w:bCs/>
                <w:sz w:val="24"/>
                <w:szCs w:val="24"/>
              </w:rPr>
              <w:t>Integrationsvereinbarung (alt)</w:t>
            </w:r>
          </w:p>
        </w:tc>
        <w:tc>
          <w:tcPr>
            <w:tcW w:w="6860" w:type="dxa"/>
            <w:shd w:val="solid" w:color="DEDEDE" tmshd="1460470240, 0, 16777215"/>
            <w:tcMar>
              <w:top w:w="113" w:type="dxa"/>
              <w:left w:w="113" w:type="dxa"/>
              <w:bottom w:w="113" w:type="dxa"/>
              <w:right w:w="113" w:type="dxa"/>
            </w:tcMar>
            <w:tcBorders>
              <w:top w:val="single" w:sz="8" w:space="0" w:color="000000" tmln="20, 20, 20, 0, 0"/>
              <w:left w:val="nil" w:sz="0" w:space="0" w:color="000000" tmln="20, 20, 20, 0, 0"/>
              <w:bottom w:val="single" w:sz="8" w:space="0" w:color="000000" tmln="20, 20, 20, 0, 0"/>
              <w:right w:val="nil" w:sz="0" w:space="0" w:color="000000" tmln="20, 20, 20, 0, 0"/>
            </w:tcBorders>
            <w:tmTcPr id="1626363715" protected="0"/>
          </w:tcPr>
          <w:p>
            <w:pPr>
              <w:spacing/>
              <w:jc w:val="center"/>
              <w:rPr>
                <w:b/>
                <w:bCs/>
                <w:sz w:val="24"/>
                <w:szCs w:val="24"/>
              </w:rPr>
            </w:pPr>
            <w:r>
              <w:rPr>
                <w:b/>
                <w:bCs/>
                <w:sz w:val="24"/>
                <w:szCs w:val="24"/>
              </w:rPr>
              <w:t>Inklusionsvereinbarung (neu)</w:t>
            </w:r>
          </w:p>
        </w:tc>
        <w:tc>
          <w:tcPr>
            <w:tcW w:w="1928" w:type="dxa"/>
            <w:shd w:val="solid" w:color="FFDEDE" tmshd="1460470240, 255, 16777215"/>
            <w:tcMar>
              <w:top w:w="113" w:type="dxa"/>
              <w:left w:w="113" w:type="dxa"/>
              <w:bottom w:w="113" w:type="dxa"/>
              <w:right w:w="113" w:type="dxa"/>
            </w:tcMar>
            <w:tcBorders>
              <w:top w:val="single" w:sz="8" w:space="0" w:color="000000" tmln="20, 20, 20, 0, 0"/>
              <w:left w:val="single" w:sz="8" w:space="0" w:color="000000" tmln="20, 20, 20, 0, 0"/>
              <w:bottom w:val="single" w:sz="8" w:space="0" w:color="000000" tmln="20, 20, 20, 0, 0"/>
              <w:right w:val="single" w:sz="8" w:space="0" w:color="000000" tmln="20, 20, 20, 0, 0"/>
            </w:tcBorders>
            <w:tmTcPr id="1626363715" protected="0"/>
          </w:tcPr>
          <w:p>
            <w:pPr>
              <w:spacing/>
              <w:jc w:val="center"/>
              <w:rPr>
                <w:b/>
                <w:bCs/>
                <w:sz w:val="24"/>
                <w:szCs w:val="24"/>
              </w:rPr>
            </w:pPr>
            <w:r>
              <w:rPr>
                <w:b/>
                <w:bCs/>
                <w:sz w:val="24"/>
                <w:szCs w:val="24"/>
              </w:rPr>
              <w:t>Anmerkungen</w:t>
            </w:r>
          </w:p>
        </w:tc>
      </w:tr>
      <w:tr>
        <w:trPr>
          <w:tblHeader w:val="0"/>
          <w:cantSplit w:val="0"/>
          <w:trHeight w:val="0" w:hRule="auto"/>
        </w:trPr>
        <w:tc>
          <w:tcPr>
            <w:tcW w:w="6860" w:type="dxa"/>
            <w:tcMar>
              <w:top w:w="113" w:type="dxa"/>
              <w:left w:w="113" w:type="dxa"/>
              <w:bottom w:w="113" w:type="dxa"/>
              <w:right w:w="113" w:type="dxa"/>
            </w:tcMar>
            <w:tcBorders>
              <w:top w:val="nil" w:sz="0" w:space="0" w:color="000000" tmln="20, 20, 20, 0, 0"/>
              <w:left w:val="single" w:sz="8" w:space="0" w:color="000000" tmln="20, 20, 20, 0, 0"/>
              <w:bottom w:val="single" w:sz="8" w:space="0" w:color="000000" tmln="20, 20, 20, 0, 0"/>
              <w:right w:val="single" w:sz="8" w:space="0" w:color="000000" tmln="20, 20, 20, 0, 0"/>
            </w:tcBorders>
            <w:tmTcPr id="1626363715"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t xml:space="preserve">Präambel </w:t>
            </w:r>
            <w:r>
              <w:rPr>
                <w:b/>
                <w:bCs/>
              </w:rPr>
              <w:t>– Absatz unterhalb 9 pt.</w:t>
            </w:r>
            <w:r>
              <w:rPr>
                <w:b/>
                <w:bCs/>
              </w:rP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Menschen mit Behinderungen und Menschen, die von Behinderung bedroht sind, sind in </w:t>
            </w:r>
            <w:r>
              <w:rPr>
                <w:rFonts w:ascii="Brush Script MT" w:hAnsi="Brush Script MT" w:eastAsia="Brush Script MT" w:cs="Brush Script MT"/>
                <w:color w:val="ff0000"/>
                <w:sz w:val="24"/>
                <w:szCs w:val="24"/>
              </w:rPr>
              <w:t>besonderem Maße auf den Schutz und die Solidarität der Gesellschaft ange</w:t>
            </w:r>
            <w:r>
              <w:t>wiesen. Ihre Eingliederung in Arbeit und Ausbildung ist ein wesentlicher Ausdruck und gleichzeitig Voraussetzung für eine gleichberechtigte und diskriminierungsfreie Teilhabe am gesellschaftlichen Leben.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Die öffentlichen Arbeitgeber h</w:t>
            </w:r>
            <w:r>
              <w:rPr>
                <w:rFonts w:ascii="Blackadder ITC" w:hAnsi="Blackadder ITC" w:eastAsia="Blackadder ITC" w:cs="Blackadder ITC"/>
                <w:u w:color="auto" w:val="single"/>
              </w:rPr>
              <w:t>aben gegenüber den behinderten und von Behinderung bedrohten Menschen e</w:t>
            </w:r>
            <w:r>
              <w:t xml:space="preserve">ine </w:t>
            </w:r>
            <w:r>
              <w:rPr>
                <w:strike w:val="1"/>
              </w:rPr>
              <w:t>gesteigerte</w:t>
            </w:r>
            <w:r>
              <w:t xml:space="preserve"> Fürsorge- </w:t>
            </w:r>
            <w:r>
              <w:rPr>
                <w:strike w:val="1"/>
              </w:rPr>
              <w:t>und Förderungs</w:t>
            </w:r>
            <w:r>
              <w:t>pflicht</w:t>
            </w:r>
            <w:r>
              <w:rPr>
                <w:strike w:val="1"/>
              </w:rPr>
              <w:t xml:space="preserve"> und damit auch eine</w:t>
            </w:r>
            <w:r>
              <w:t xml:space="preserve"> Vorbildfunktion </w:t>
            </w:r>
            <w:r>
              <w:rPr>
                <w:rStyle w:val="char3"/>
              </w:rPr>
              <w:t>gegenüber anderen Arbeitgebern. Es besteht insbesondere die Verpflichtung zur Berücksichtigung der behinderungsbedingten Bedürfnisse im Einzelfall. Hierbei ist den besonderen Bedürfnissen behinderter und von Behinderung bedrohter Frauen Rechnung zu tragen.</w:t>
            </w:r>
            <w:r/>
          </w:p>
        </w:tc>
        <w:tc>
          <w:tcPr>
            <w:tcW w:w="6860" w:type="dxa"/>
            <w:tcMar>
              <w:top w:w="113" w:type="dxa"/>
              <w:left w:w="113" w:type="dxa"/>
              <w:bottom w:w="113" w:type="dxa"/>
              <w:right w:w="113" w:type="dxa"/>
            </w:tcMar>
            <w:tcBorders>
              <w:top w:val="nil" w:sz="0" w:space="0" w:color="000000" tmln="20, 20, 20, 0, 0"/>
              <w:left w:val="nil" w:sz="0" w:space="0" w:color="000000" tmln="20, 20, 20, 0, 0"/>
              <w:bottom w:val="single" w:sz="8" w:space="0" w:color="000000" tmln="20, 20, 20, 0, 0"/>
              <w:right w:val="nil" w:sz="0" w:space="0" w:color="000000" tmln="20, 20, 20, 0, 0"/>
            </w:tcBorders>
            <w:tmTcPr id="1626363715"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t xml:space="preserve">1. Allgemeine Grundsätze </w:t>
            </w:r>
            <w:r>
              <w:rPr>
                <w:b/>
                <w:bCs/>
              </w:rPr>
              <w:t>– Absatz unterhalb 9 pt.</w:t>
            </w:r>
            <w:r>
              <w:rPr>
                <w:b/>
                <w:bCs/>
              </w:rP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Menschen mit Behinderungen und Menschen, die von Behinderung bedroht sind, sind i</w:t>
            </w:r>
            <w:r>
              <w:rPr>
                <w:rFonts w:ascii="Blackadder ITC" w:hAnsi="Blackadder ITC" w:eastAsia="Blackadder ITC" w:cs="Blackadder ITC"/>
              </w:rPr>
              <w:t>n besonderem Maße auf den Schutz und die Solidarität der Gesellschaft angewiesen. Ihre Eingliederung in Arbeit und Ausbildung ist ein wesentlicher Aus</w:t>
            </w:r>
            <w:r>
              <w:t>druck und gleichzeitig Voraussetzung für eine gleichberechtigte und diskriminierungsfrei</w:t>
            </w:r>
            <w:r>
              <w:rPr>
                <w:rFonts w:ascii="Britannic Bold" w:hAnsi="Britannic Bold" w:eastAsia="Britannic Bold" w:cs="Britannic Bold"/>
                <w:sz w:val="28"/>
                <w:szCs w:val="28"/>
              </w:rPr>
              <w:t>e Teilhabe am gesellschaftlichen Leben. Hierbei haben öffentliche Arbeitgeber i</w:t>
            </w:r>
            <w:r>
              <w:t>m Rahmen der besonderen Fürsorgepflicht für Menschen mit Behinderungen eine Vorbildfunktion.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Me</w:t>
            </w:r>
            <w:r>
              <w:rPr>
                <w:rFonts w:ascii="Bodoni MT Black" w:hAnsi="Bodoni MT Black" w:eastAsia="Bodoni MT Black" w:cs="Bodoni MT Black"/>
                <w:b/>
                <w:bCs/>
              </w:rPr>
              <w:t>nschen mit Behinderungen haben ein Recht auf Hilfe, um die Behinderung abzuwenden, zu beseitigen, zu mindern, ihre Verschlimmerung zu verhüten oder ihre Folgen zu mildern. Neben der Gewährung der gesetzlich vorgesehenen Nachteilsausgle</w:t>
            </w:r>
            <w:r>
              <w:t>iche gehören hierzu auch Hilfen, die den schwerbehinderten Menschen eine ihren Neigungen und Fähigkeiten entsprechenden Platz im Arbeitsleben sichern und die dem individuellen Hilfebedarf Rechnung tragen.</w:t>
            </w:r>
          </w:p>
          <w:p>
            <w:pPr>
              <w:numPr>
                <w:ilvl w:val="0"/>
                <w:numId w:val="6"/>
              </w:numPr>
              <w:ind w:left="360" w:hanging="360"/>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6"/>
              </w:rPr>
              <w:t>Prävention und Rehabilitation haben Vorrang vor vorzeitiger Berentung und Versetzung in den Ruhestand.</w:t>
            </w:r>
            <w:r/>
          </w:p>
          <w:p>
            <w:pPr>
              <w:numPr>
                <w:ilvl w:val="0"/>
                <w:numId w:val="6"/>
              </w:numPr>
              <w:ind w:left="360" w:hanging="360"/>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6"/>
              </w:rPr>
              <w:t>Von grundlegender Bedeutung für eine dauerhaft erfolgreiche Eingliederung sind eine aufgeschlossene Haltung und eine verständnisvolle Einstellung aller Vorgesetzten und Mitarbeiter des behinderten Menschen.</w:t>
            </w:r>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Die für die Menschen mit Behinderungen getroffenen Regelungen stellen keine Bevorzugung dar, sondern sind stets als Nachteilsausgleiche zu betrachten.</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Grundlage für eine erfolgreiche Umsetzung dieser Inklusionsvereinbarung ist die auf das Wohl der </w:t>
            </w:r>
            <w:r>
              <w:rPr>
                <w:rStyle w:val="char4"/>
                <w:u w:color="0000ff" w:val="thick"/>
              </w:rPr>
              <w:t>behinderten Beschäftigten</w:t>
            </w:r>
            <w:r>
              <w:t xml:space="preserve"> gerichtete ständige und zielgerichtete vertrauensvolle Zusammenarbeit. </w:t>
            </w:r>
          </w:p>
        </w:tc>
        <w:tc>
          <w:tcPr>
            <w:tcW w:w="1928" w:type="dxa"/>
            <w:tcMar>
              <w:top w:w="113" w:type="dxa"/>
              <w:left w:w="113" w:type="dxa"/>
              <w:bottom w:w="113" w:type="dxa"/>
              <w:right w:w="113" w:type="dxa"/>
            </w:tcMar>
            <w:tcBorders>
              <w:top w:val="nil" w:sz="0" w:space="0" w:color="000000" tmln="20, 20, 20, 0, 0"/>
              <w:left w:val="single" w:sz="8" w:space="0" w:color="000000" tmln="20, 20, 20, 0, 0"/>
              <w:bottom w:val="single" w:sz="8" w:space="0" w:color="000000" tmln="20, 20, 20, 0, 0"/>
              <w:right w:val="single" w:sz="8" w:space="0" w:color="000000" tmln="20, 20, 20, 0, 0"/>
            </w:tcBorders>
            <w:tmTcPr id="1626363715" protected="0"/>
          </w:tcPr>
          <w:p>
            <w:pPr>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 Absatz unterhalb 9 pt.</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 xml:space="preserve">Zusammenführen von Präambel </w:t>
              <w:br w:type="textWrapping"/>
              <w:t xml:space="preserve">(stark gekürzt) und altem Punkt 2 (Grundsätze) in neuen Punkt 1 </w:t>
              <w:br w:type="textWrapping"/>
              <w:t>„Allgemeine Grundsätze“</w:t>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br w:type="textWrapping"/>
              <w:br w:type="textWrapping"/>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br w:type="textWrapping"/>
              <w:br w:type="textWrapping"/>
            </w:r>
          </w:p>
          <w:p>
            <w:pPr>
              <w:spacing w:after="120"/>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rPr>
                <w:rStyle w:val="char4"/>
                <w:u w:color="0000ff" w:val="thick"/>
              </w:rPr>
              <w:t>Vorschlag:</w:t>
            </w:r>
            <w:r>
              <w:t xml:space="preserve"> </w:t>
              <w:br w:type="textWrapping"/>
              <w:t>Beschäftigten mit Behinderung</w:t>
            </w:r>
          </w:p>
        </w:tc>
      </w:tr>
    </w:tbl>
    <w:p>
      <w:bookmarkStart w:id="0" w:name="_GoBack"/>
      <w:r/>
      <w:bookmarkEnd w:id="0"/>
      <w:r/>
    </w:p>
    <w:sectPr>
      <w:footnotePr>
        <w:pos w:val="pageBottom"/>
        <w:numFmt w:val="decimal"/>
        <w:numStart w:val="1"/>
        <w:numRestart w:val="continuous"/>
      </w:footnotePr>
      <w:endnotePr>
        <w:pos w:val="docEnd"/>
        <w:numFmt w:val="lowerRoman"/>
        <w:numStart w:val="1"/>
        <w:numRestart w:val="continuous"/>
      </w:endnotePr>
      <w:headerReference w:type="default" r:id="rId8"/>
      <w:footerReference w:type="default" r:id="rId9"/>
      <w:type w:val="nextPage"/>
      <w:pgSz w:h="11906" w:w="16838" w:orient="landscape"/>
      <w:pgMar w:left="567" w:top="1701" w:right="567" w:bottom="851" w:header="1247" w:footer="454"/>
      <w:paperSrc w:first="0" w:other="0" a="0" b="0"/>
      <w:pgNumType w:fmt="decimal"/>
      <w:tmGutter w:val="3"/>
      <w:mirrorMargins w:val="0"/>
      <w:tmSection w:h="-2">
        <w:tmHeader w:id="0" w:h="0" edge="1247" text="0">
          <w:shd w:val="none"/>
        </w:tmHeader>
        <w:tmFooter w:id="0" w:h="0" edge="454"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libri Light">
    <w:panose1 w:val="020F0302020204030204"/>
    <w:charset w:val="00"/>
    <w:family w:val="swiss"/>
    <w:pitch w:val="default"/>
  </w:font>
  <w:font w:name="Times-Roman">
    <w:panose1 w:val="020B0604020202020204"/>
    <w:charset w:val="00"/>
    <w:family w:val="auto"/>
    <w:pitch w:val="default"/>
  </w:font>
  <w:font w:name="Wingdings">
    <w:panose1 w:val="05000000000000000000"/>
    <w:charset w:val="02"/>
    <w:family w:val="auto"/>
    <w:pitch w:val="default"/>
  </w:font>
  <w:font w:name="BIZ UDPGothic">
    <w:panose1 w:val="020B0400000000000000"/>
    <w:charset w:val="00"/>
    <w:family w:val="swiss"/>
    <w:pitch w:val="default"/>
  </w:font>
  <w:font w:name="BIZ UDPMincho Medium">
    <w:panose1 w:val="02020500000000000000"/>
    <w:charset w:val="00"/>
    <w:family w:val="roman"/>
    <w:pitch w:val="default"/>
  </w:font>
  <w:font w:name="Blackadder ITC">
    <w:panose1 w:val="04020505051007020D02"/>
    <w:charset w:val="00"/>
    <w:family w:val="decorative"/>
    <w:pitch w:val="default"/>
  </w:font>
  <w:font w:name="Bodoni MT">
    <w:panose1 w:val="02070603080606020203"/>
    <w:charset w:val="00"/>
    <w:family w:val="roman"/>
    <w:pitch w:val="default"/>
  </w:font>
  <w:font w:name="Bodoni MT Black">
    <w:panose1 w:val="02070A03080606020203"/>
    <w:charset w:val="00"/>
    <w:family w:val="roman"/>
    <w:pitch w:val="default"/>
  </w:font>
  <w:font w:name="Bodoni MT Condensed">
    <w:panose1 w:val="02070606080606020203"/>
    <w:charset w:val="00"/>
    <w:family w:val="roman"/>
    <w:pitch w:val="default"/>
  </w:font>
  <w:font w:name="Bodoni MT Poster Compressed">
    <w:panose1 w:val="02070706080601050204"/>
    <w:charset w:val="00"/>
    <w:family w:val="roman"/>
    <w:pitch w:val="default"/>
  </w:font>
  <w:font w:name="Book Antiqua">
    <w:panose1 w:val="02040602050305030304"/>
    <w:charset w:val="00"/>
    <w:family w:val="roman"/>
    <w:pitch w:val="default"/>
  </w:font>
  <w:font w:name="Bookman Old Style">
    <w:panose1 w:val="02050604050505020204"/>
    <w:charset w:val="00"/>
    <w:family w:val="roman"/>
    <w:pitch w:val="default"/>
  </w:font>
  <w:font w:name="Bookshelf Symbol 7">
    <w:panose1 w:val="05010101010101010101"/>
    <w:charset w:val="02"/>
    <w:family w:val="auto"/>
    <w:pitch w:val="default"/>
  </w:font>
  <w:font w:name="Bradley Hand ITC">
    <w:panose1 w:val="03070402050302030203"/>
    <w:charset w:val="00"/>
    <w:family w:val="script"/>
    <w:pitch w:val="default"/>
  </w:font>
  <w:font w:name="Britannic Bold">
    <w:panose1 w:val="020B0903060703020204"/>
    <w:charset w:val="00"/>
    <w:family w:val="swiss"/>
    <w:pitch w:val="default"/>
  </w:font>
  <w:font w:name="Broadway">
    <w:panose1 w:val="04040905080B02020502"/>
    <w:charset w:val="00"/>
    <w:family w:val="decorative"/>
    <w:pitch w:val="default"/>
  </w:font>
  <w:font w:name="Browallia New">
    <w:panose1 w:val="020B0604020202020204"/>
    <w:charset w:val="00"/>
    <w:family w:val="swiss"/>
    <w:pitch w:val="default"/>
  </w:font>
  <w:font w:name="BrowalliaUPC">
    <w:panose1 w:val="020B0604020202020204"/>
    <w:charset w:val="00"/>
    <w:family w:val="swiss"/>
    <w:pitch w:val="default"/>
  </w:font>
  <w:font w:name="Brush Script MT">
    <w:panose1 w:val="03060802040406070304"/>
    <w:charset w:val="00"/>
    <w:family w:val="script"/>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
    </w:pPr>
    <w:r>
      <w:rPr>
        <w:rStyle w:val="char2"/>
      </w:rPr>
    </w:r>
    <w:r>
      <w:rPr>
        <w:rStyle w:val="char2"/>
      </w:rPr>
      <w:fldChar w:fldCharType="begin"/>
      <w:instrText xml:space="preserve"> FILENAME </w:instrText>
      <w:fldChar w:fldCharType="separate"/>
      <w:t>Formatierungsfehler_in_Tabellen.docx</w:t>
      <w:fldChar w:fldCharType="end"/>
    </w:r>
    <w:r>
      <w:rPr>
        <w:rStyle w:val="char2"/>
      </w:rPr>
      <w:t xml:space="preserve"> </w:t>
      <w:tab/>
      <w:t xml:space="preserve">Seite </w:t>
    </w:r>
    <w:r>
      <w:rPr>
        <w:rStyle w:val="char2"/>
      </w:rPr>
    </w:r>
    <w:r>
      <w:rPr>
        <w:rStyle w:val="char2"/>
      </w:rPr>
      <w:fldChar w:fldCharType="begin"/>
      <w:instrText xml:space="preserve"> PAGE \* Arabic </w:instrText>
      <w:fldChar w:fldCharType="separate"/>
      <w:t>1</w:t>
      <w:fldChar w:fldCharType="end"/>
    </w:r>
    <w:r>
      <w:rPr>
        <w:rStyle w:val="char2"/>
      </w:rPr>
      <w:t xml:space="preserve"> von </w:t>
    </w:r>
    <w:r>
      <w:rPr>
        <w:rStyle w:val="char2"/>
      </w:rPr>
    </w:r>
    <w:r>
      <w:rPr>
        <w:rStyle w:val="char2"/>
      </w:rPr>
      <w:fldChar w:fldCharType="begin"/>
      <w:instrText xml:space="preserve"> NUMPAGES \* Arabic </w:instrText>
      <w:fldChar w:fldCharType="separate"/>
      <w:t>2</w:t>
      <w:fldChar w:fldCharType="end"/>
    </w: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
      <w:rPr>
        <w:szCs w:val="22"/>
      </w:rPr>
    </w:pPr>
    <w:r>
      <w:rPr>
        <w:rStyle w:val="char1"/>
        <w:szCs w:val="22"/>
      </w:rPr>
      <w:t>Synopse</w:t>
    </w:r>
    <w:r>
      <w:rPr>
        <w:szCs w:val="22"/>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start w:val="1"/>
      <w:numFmt w:val="decimal"/>
      <w:suff w:val="tab"/>
      <w:lvlText w:val="%1."/>
      <w:lvlJc w:val="left"/>
      <w:pPr>
        <w:ind w:left="-33" w:hanging="0"/>
      </w:pPr>
      <w:rPr>
        <w:b/>
        <w:bCs/>
        <w:w w:val="97"/>
      </w:rPr>
    </w:lvl>
    <w:lvl w:ilvl="1">
      <w:start w:val="1"/>
      <w:numFmt w:val="decimal"/>
      <w:suff w:val="tab"/>
      <w:lvlText w:val="%1.%2"/>
      <w:lvlJc w:val="left"/>
      <w:pPr>
        <w:ind w:left="-241" w:hanging="0"/>
      </w:pPr>
      <w:rPr>
        <w:w w:val="99"/>
      </w:rPr>
    </w:lvl>
    <w:lvl w:ilvl="2">
      <w:numFmt w:val="bullet"/>
      <w:suff w:val="tab"/>
      <w:lvlText w:val="•"/>
      <w:lvlJc w:val="left"/>
      <w:pPr>
        <w:ind w:left="-200" w:hanging="0"/>
      </w:pPr>
    </w:lvl>
    <w:lvl w:ilvl="3">
      <w:numFmt w:val="bullet"/>
      <w:suff w:val="tab"/>
      <w:lvlText w:val="•"/>
      <w:lvlJc w:val="left"/>
      <w:pPr>
        <w:ind w:left="-180" w:hanging="0"/>
      </w:pPr>
    </w:lvl>
    <w:lvl w:ilvl="4">
      <w:numFmt w:val="bullet"/>
      <w:suff w:val="tab"/>
      <w:lvlText w:val="•"/>
      <w:lvlJc w:val="left"/>
      <w:pPr>
        <w:ind w:left="20" w:hanging="0"/>
      </w:pPr>
    </w:lvl>
    <w:lvl w:ilvl="5">
      <w:numFmt w:val="bullet"/>
      <w:suff w:val="tab"/>
      <w:lvlText w:val="•"/>
      <w:lvlJc w:val="left"/>
      <w:pPr>
        <w:ind w:left="40" w:hanging="0"/>
      </w:pPr>
    </w:lvl>
    <w:lvl w:ilvl="6">
      <w:numFmt w:val="bullet"/>
      <w:suff w:val="tab"/>
      <w:lvlText w:val="•"/>
      <w:lvlJc w:val="left"/>
      <w:pPr>
        <w:ind w:left="-66" w:hanging="0"/>
      </w:pPr>
    </w:lvl>
    <w:lvl w:ilvl="7">
      <w:numFmt w:val="bullet"/>
      <w:suff w:val="tab"/>
      <w:lvlText w:val="•"/>
      <w:lvlJc w:val="left"/>
      <w:pPr>
        <w:ind w:left="-172" w:hanging="0"/>
      </w:pPr>
    </w:lvl>
    <w:lvl w:ilvl="8">
      <w:numFmt w:val="bullet"/>
      <w:suff w:val="tab"/>
      <w:lvlText w:val="•"/>
      <w:lvlJc w:val="left"/>
      <w:pPr>
        <w:ind w:left="-277" w:hanging="0"/>
      </w:pPr>
    </w:lvl>
  </w:abstractNum>
  <w:abstractNum w:abstractNumId="2">
    <w:multiLevelType w:val="singleLevel"/>
    <w:name w:val="Bullet 2"/>
    <w:lvl w:ilvl="0">
      <w:numFmt w:val="bullet"/>
      <w:suff w:val="tab"/>
      <w:lvlText w:val="‒"/>
      <w:lvlJc w:val="left"/>
      <w:pPr>
        <w:ind w:left="0" w:hanging="0"/>
      </w:pPr>
      <w:rPr>
        <w:rFonts w:ascii="Calibri" w:hAnsi="Calibri"/>
        <w:sz w:val="22"/>
      </w:rPr>
    </w:lvl>
  </w:abstractNum>
  <w:abstractNum w:abstractNumId="3">
    <w:multiLevelType w:val="singleLevel"/>
    <w:name w:val="Bullet 3"/>
    <w:lvl w:ilvl="0">
      <w:numFmt w:val="bullet"/>
      <w:suff w:val="tab"/>
      <w:lvlText w:val="‒"/>
      <w:lvlJc w:val="left"/>
      <w:pPr>
        <w:ind w:left="0" w:hanging="0"/>
      </w:pPr>
      <w:rPr>
        <w:rFonts w:ascii="Calibri" w:hAnsi="Calibri"/>
        <w:sz w:val="22"/>
      </w:rPr>
    </w:lvl>
  </w:abstractNum>
  <w:abstractNum w:abstractNumId="4">
    <w:multiLevelType w:val="singleLevel"/>
    <w:name w:val="Bullet 4"/>
    <w:lvl w:ilvl="0">
      <w:numFmt w:val="bullet"/>
      <w:suff w:val="tab"/>
      <w:lvlText w:val="‒"/>
      <w:lvlJc w:val="left"/>
      <w:pPr>
        <w:ind w:left="0" w:hanging="0"/>
      </w:pPr>
      <w:rPr>
        <w:rFonts w:ascii="Calibri" w:hAnsi="Calibri"/>
        <w:sz w:val="22"/>
      </w:rPr>
    </w:lvl>
  </w:abstractNum>
  <w:abstractNum w:abstractNumId="5">
    <w:multiLevelType w:val="singleLevel"/>
    <w:name w:val="Bullet 5"/>
    <w:lvl w:ilvl="0">
      <w:numFmt w:val="bullet"/>
      <w:pStyle w:val="para3"/>
      <w:suff w:val="tab"/>
      <w:lvlText w:val="‒"/>
      <w:lvlJc w:val="left"/>
      <w:pPr>
        <w:ind w:left="0" w:hanging="0"/>
      </w:pPr>
      <w:rPr>
        <w:rFonts w:ascii="Calibri" w:hAnsi="Calibri"/>
        <w:sz w:val="22"/>
      </w:rPr>
    </w:lvl>
  </w:abstractNum>
  <w:abstractNum w:abstractNumId="6">
    <w:multiLevelType w:val="singleLevel"/>
    <w:name w:val="Bullet 6"/>
    <w:lvl w:ilvl="0">
      <w:numFmt w:val="bullet"/>
      <w:suff w:val="tab"/>
      <w:lvlText w:val=""/>
      <w:lvlJc w:val="left"/>
      <w:pPr>
        <w:ind w:left="0" w:hanging="0"/>
      </w:p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3073"/>
    <o:shapelayout v:ext="edit">
      <o:rules v:ext="edit"/>
    </o:shapelayout>
  </w:shapeDefaults>
  <w:tmPrefOne w:val="17"/>
  <w:tmPrefTwo w:val="4097"/>
  <w:tmFmtPref w:val="55057515"/>
  <w:tmCommentsPr>
    <w:tmCommentsPlace w:val="0"/>
    <w:tmCommentsWidth w:val="3119"/>
    <w:tmCommentsColor w:val="-1"/>
  </w:tmCommentsPr>
  <w:tmReviewPr>
    <w:tmReviewEnabled w:val="0"/>
    <w:tmReviewShow w:val="1"/>
    <w:tmReviewPrint w:val="0"/>
    <w:tmRevisionNum w:val="11"/>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4"/>
    <w:tmLastPosCaret>
      <w:tmLastPosPgfIdx w:val="2"/>
      <w:tmLastPosIdx w:val="101"/>
    </w:tmLastPosCaret>
    <w:tmLastPosAnchor>
      <w:tmLastPosPgfIdx w:val="2"/>
      <w:tmLastPosIdx w:val="30"/>
    </w:tmLastPosAnchor>
    <w:tmLastPosTblRect w:left="0" w:top="0" w:right="0" w:bottom="0"/>
  </w:tmLastPos>
  <w:tmAppRevision w:date="1626363715" w:val="103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2"/>
        <w:szCs w:val="22"/>
        <w:lang w:val="de-de" w:eastAsia="de-de" w:bidi="de-de"/>
      </w:rPr>
    </w:rPrDefault>
    <w:pPrDefault>
      <w:pPr>
        <w:spacing w:after="180" w:line="264"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after="0" w:line="240" w:lineRule="auto"/>
      <w:jc w:val="center"/>
      <w:tabs defTabSz="708">
        <w:tab w:val="center" w:pos="4536" w:leader="none"/>
        <w:tab w:val="right" w:pos="9072" w:leader="none"/>
      </w:tabs>
      <w:pBdr>
        <w:top w:val="nil" w:sz="0" w:space="3" w:color="000000" tmln="20, 20, 20, 0, 60"/>
        <w:left w:val="nil" w:sz="0" w:space="3" w:color="000000" tmln="20, 20, 20, 0, 60"/>
        <w:bottom w:val="single" w:sz="4" w:space="4" w:color="000000" tmln="10, 20, 20, 0, 80"/>
        <w:right w:val="nil" w:sz="0" w:space="3" w:color="000000" tmln="20, 20, 20, 0, 60"/>
        <w:between w:val="nil" w:sz="0" w:space="0" w:color="000000" tmln="20, 20, 20, 0, 0"/>
      </w:pBdr>
      <w:shd w:val="none"/>
    </w:pPr>
    <w:rPr>
      <w:b/>
      <w:sz w:val="24"/>
      <w:szCs w:val="24"/>
    </w:rPr>
  </w:style>
  <w:style w:type="paragraph" w:styleId="para2">
    <w:name w:val="Footer"/>
    <w:qFormat/>
    <w:basedOn w:val="para0"/>
    <w:pPr>
      <w:spacing w:after="0" w:line="240" w:lineRule="auto"/>
      <w:tabs defTabSz="708">
        <w:tab w:val="center" w:pos="4536" w:leader="none"/>
        <w:tab w:val="right" w:pos="15593" w:leader="none"/>
      </w:tabs>
      <w:pBdr>
        <w:top w:val="single" w:sz="4" w:space="4" w:color="000000" tmln="10, 20, 20, 0, 8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3">
    <w:name w:val="List Paragraph"/>
    <w:qFormat/>
    <w:basedOn w:val="para0"/>
    <w:pPr>
      <w:numPr>
        <w:ilvl w:val="0"/>
        <w:numId w:val="5"/>
      </w:numPr>
      <w:ind w:left="170" w:hanging="170"/>
      <w:spacing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style>
  <w:style w:type="paragraph" w:styleId="para4">
    <w:name w:val="Body Text"/>
    <w:qFormat/>
    <w:basedOn w:val="para0"/>
    <w:pPr>
      <w:spacing w:after="0" w:line="240" w:lineRule="auto"/>
      <w:jc w:val="both"/>
      <w:widowControl w:val="0"/>
    </w:pPr>
    <w:rPr>
      <w:rFonts w:ascii="Times New Roman" w:hAnsi="Times New Roman" w:eastAsia="Times New Roman"/>
      <w:sz w:val="17"/>
      <w:szCs w:val="17"/>
    </w:rPr>
  </w:style>
  <w:style w:type="character" w:styleId="char0" w:default="1">
    <w:name w:val="Default Paragraph Font"/>
  </w:style>
  <w:style w:type="character" w:styleId="char1" w:customStyle="1">
    <w:name w:val="Kopfzeile Zchn"/>
    <w:basedOn w:val="char0"/>
    <w:rPr>
      <w:rFonts w:ascii="Calibri" w:hAnsi="Calibri"/>
      <w:b/>
      <w:i w:val="0"/>
      <w:sz w:val="24"/>
      <w:lang w:val="de-de"/>
    </w:rPr>
  </w:style>
  <w:style w:type="character" w:styleId="char2" w:customStyle="1">
    <w:name w:val="Fußzeile Zchn"/>
    <w:basedOn w:val="char0"/>
  </w:style>
  <w:style w:type="character" w:styleId="char3" w:customStyle="1">
    <w:name w:val="Streichung_alt"/>
    <w:basedOnNormal/>
    <w:rPr>
      <w:rFonts w:ascii="Calibri" w:hAnsi="Calibri"/>
      <w:b w:val="0"/>
      <w:i w:val="0"/>
      <w:strike w:val="1"/>
      <w:color w:val="auto"/>
      <w:spacing w:val="0" w:percent="100"/>
      <w:w w:val="100"/>
      <w:sz w:val="22"/>
      <w:lang w:val="de-de"/>
    </w:rPr>
  </w:style>
  <w:style w:type="character" w:styleId="char4" w:customStyle="1">
    <w:name w:val="Aenderungsvorschlag"/>
    <w:basedOnNormal/>
    <w:rPr>
      <w:rFonts w:ascii="Calibri" w:hAnsi="Calibri"/>
      <w:color w:val="000000"/>
      <w:sz w:val="22"/>
      <w:u w:color="0000ff" w:val="thick"/>
      <w:shd w:val="clear" w:fill="auto"/>
    </w:rPr>
  </w:style>
  <w:style w:type="character" w:styleId="char5" w:customStyle="1">
    <w:name w:val="Formulierung_überdenken"/>
    <w:basedOnNormal/>
    <w:rPr>
      <w:color w:val="4f81bd"/>
    </w:rPr>
  </w:style>
  <w:style w:type="character" w:styleId="char6" w:customStyle="1">
    <w:name w:val="Neuformulierung"/>
    <w:basedOnNormal/>
    <w:rPr>
      <w:rFonts w:cs="Calibri"/>
      <w:shd w:val="clear" w:fill="c4ffc4"/>
      <w:lang w:eastAsia="de-de" w:bidi="de-d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2"/>
        <w:szCs w:val="22"/>
        <w:lang w:val="de-de" w:eastAsia="de-de" w:bidi="de-de"/>
      </w:rPr>
    </w:rPrDefault>
    <w:pPrDefault>
      <w:pPr>
        <w:spacing w:after="180" w:line="264" w:lineRule="auto"/>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er"/>
    <w:qFormat/>
    <w:basedOn w:val="para0"/>
    <w:pPr>
      <w:spacing w:after="0" w:line="240" w:lineRule="auto"/>
      <w:jc w:val="center"/>
      <w:tabs defTabSz="708">
        <w:tab w:val="center" w:pos="4536" w:leader="none"/>
        <w:tab w:val="right" w:pos="9072" w:leader="none"/>
      </w:tabs>
      <w:pBdr>
        <w:top w:val="nil" w:sz="0" w:space="3" w:color="000000" tmln="20, 20, 20, 0, 60"/>
        <w:left w:val="nil" w:sz="0" w:space="3" w:color="000000" tmln="20, 20, 20, 0, 60"/>
        <w:bottom w:val="single" w:sz="4" w:space="4" w:color="000000" tmln="10, 20, 20, 0, 80"/>
        <w:right w:val="nil" w:sz="0" w:space="3" w:color="000000" tmln="20, 20, 20, 0, 60"/>
        <w:between w:val="nil" w:sz="0" w:space="0" w:color="000000" tmln="20, 20, 20, 0, 0"/>
      </w:pBdr>
      <w:shd w:val="none"/>
    </w:pPr>
    <w:rPr>
      <w:b/>
      <w:sz w:val="24"/>
      <w:szCs w:val="24"/>
    </w:rPr>
  </w:style>
  <w:style w:type="paragraph" w:styleId="para2">
    <w:name w:val="Footer"/>
    <w:qFormat/>
    <w:basedOn w:val="para0"/>
    <w:pPr>
      <w:spacing w:after="0" w:line="240" w:lineRule="auto"/>
      <w:tabs defTabSz="708">
        <w:tab w:val="center" w:pos="4536" w:leader="none"/>
        <w:tab w:val="right" w:pos="15593" w:leader="none"/>
      </w:tabs>
      <w:pBdr>
        <w:top w:val="single" w:sz="4" w:space="4" w:color="000000" tmln="10, 20, 20, 0, 8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3">
    <w:name w:val="List Paragraph"/>
    <w:qFormat/>
    <w:basedOn w:val="para0"/>
    <w:pPr>
      <w:numPr>
        <w:ilvl w:val="0"/>
        <w:numId w:val="5"/>
      </w:numPr>
      <w:ind w:left="170" w:hanging="170"/>
      <w:spacing w:line="240"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style>
  <w:style w:type="paragraph" w:styleId="para4">
    <w:name w:val="Body Text"/>
    <w:qFormat/>
    <w:basedOn w:val="para0"/>
    <w:pPr>
      <w:spacing w:after="0" w:line="240" w:lineRule="auto"/>
      <w:jc w:val="both"/>
      <w:widowControl w:val="0"/>
    </w:pPr>
    <w:rPr>
      <w:rFonts w:ascii="Times New Roman" w:hAnsi="Times New Roman" w:eastAsia="Times New Roman"/>
      <w:sz w:val="17"/>
      <w:szCs w:val="17"/>
    </w:rPr>
  </w:style>
  <w:style w:type="character" w:styleId="char0" w:default="1">
    <w:name w:val="Default Paragraph Font"/>
  </w:style>
  <w:style w:type="character" w:styleId="char1" w:customStyle="1">
    <w:name w:val="Kopfzeile Zchn"/>
    <w:basedOn w:val="char0"/>
    <w:rPr>
      <w:rFonts w:ascii="Calibri" w:hAnsi="Calibri"/>
      <w:b/>
      <w:i w:val="0"/>
      <w:sz w:val="24"/>
      <w:lang w:val="de-de"/>
    </w:rPr>
  </w:style>
  <w:style w:type="character" w:styleId="char2" w:customStyle="1">
    <w:name w:val="Fußzeile Zchn"/>
    <w:basedOn w:val="char0"/>
  </w:style>
  <w:style w:type="character" w:styleId="char3" w:customStyle="1">
    <w:name w:val="Streichung_alt"/>
    <w:basedOnNormal/>
    <w:rPr>
      <w:rFonts w:ascii="Calibri" w:hAnsi="Calibri"/>
      <w:b w:val="0"/>
      <w:i w:val="0"/>
      <w:strike w:val="1"/>
      <w:color w:val="auto"/>
      <w:spacing w:val="0" w:percent="100"/>
      <w:w w:val="100"/>
      <w:sz w:val="22"/>
      <w:lang w:val="de-de"/>
    </w:rPr>
  </w:style>
  <w:style w:type="character" w:styleId="char4" w:customStyle="1">
    <w:name w:val="Aenderungsvorschlag"/>
    <w:basedOnNormal/>
    <w:rPr>
      <w:rFonts w:ascii="Calibri" w:hAnsi="Calibri"/>
      <w:color w:val="000000"/>
      <w:sz w:val="22"/>
      <w:u w:color="0000ff" w:val="thick"/>
      <w:shd w:val="clear" w:fill="auto"/>
    </w:rPr>
  </w:style>
  <w:style w:type="character" w:styleId="char5" w:customStyle="1">
    <w:name w:val="Formulierung_überdenken"/>
    <w:basedOnNormal/>
    <w:rPr>
      <w:color w:val="4f81bd"/>
    </w:rPr>
  </w:style>
  <w:style w:type="character" w:styleId="char6" w:customStyle="1">
    <w:name w:val="Neuformulierung"/>
    <w:basedOnNormal/>
    <w:rPr>
      <w:rFonts w:cs="Calibri"/>
      <w:shd w:val="clear" w:fill="c4ffc4"/>
      <w:lang w:eastAsia="de-de" w:bidi="de-d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le Grid"/>
    <w:basedOn w:val="TableNormal"/>
    <w:uiPriority w:val="59"/>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11</cp:revision>
  <cp:lastPrinted>2021-06-24T09:52:24Z</cp:lastPrinted>
  <dcterms:created xsi:type="dcterms:W3CDTF">2021-06-22T06:44:00Z</dcterms:created>
  <dcterms:modified xsi:type="dcterms:W3CDTF">2021-07-15T15:41:55Z</dcterms:modified>
</cp:coreProperties>
</file>