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Grid"/>
        <w:name w:val="Tabelle1"/>
        <w:tabOrder w:val="0"/>
        <w:jc w:val="left"/>
        <w:tblInd w:w="0" w:type="dxa"/>
        <w:tblW w:w="15648" w:type="dxa"/>
        <w:tblLook w:val="04A0" w:firstRow="1" w:lastRow="0" w:firstColumn="1" w:lastColumn="0" w:noHBand="0" w:noVBand="1"/>
      </w:tblPr>
      <w:tblGrid>
        <w:gridCol w:w="6860"/>
        <w:gridCol w:w="6860"/>
        <w:gridCol w:w="1928"/>
      </w:tblGrid>
      <w:tr>
        <w:trPr>
          <w:tblHeader w:val="0"/>
          <w:cantSplit w:val="0"/>
          <w:trHeight w:val="0" w:hRule="auto"/>
        </w:trPr>
        <w:tc>
          <w:tcPr>
            <w:tcW w:w="6860" w:type="dxa"/>
            <w:shd w:val="solid" w:color="DEDEDE" tmshd="1460470240, 0, 16777215"/>
            <w:tcMar>
              <w:top w:w="113" w:type="dxa"/>
              <w:left w:w="113" w:type="dxa"/>
              <w:bottom w:w="113" w:type="dxa"/>
              <w:right w:w="113" w:type="dxa"/>
            </w:tcMar>
            <w:tcBorders>
              <w:top w:val="single" w:sz="8" w:space="0" w:color="000000" tmln="20, 20, 20, 0, 0"/>
              <w:left w:val="single" w:sz="8" w:space="0" w:color="000000" tmln="20, 20, 20, 0, 0"/>
              <w:bottom w:val="single" w:sz="8" w:space="0" w:color="000000" tmln="20, 20, 20, 0, 0"/>
              <w:right w:val="single" w:sz="8" w:space="0" w:color="000000" tmln="20, 20, 20, 0, 0"/>
            </w:tcBorders>
            <w:tmTcPr id="1625500350" protected="0"/>
          </w:tcPr>
          <w:p>
            <w:pPr>
              <w:spacing/>
              <w:jc w:val="center"/>
              <w:rPr>
                <w:b/>
                <w:bCs/>
                <w:sz w:val="24"/>
                <w:szCs w:val="24"/>
              </w:rPr>
            </w:pPr>
            <w:r>
              <w:rPr>
                <w:b/>
                <w:bCs/>
                <w:sz w:val="24"/>
                <w:szCs w:val="24"/>
              </w:rPr>
              <w:t>Integrationsvereinbarung (alt)</w:t>
            </w:r>
          </w:p>
        </w:tc>
        <w:tc>
          <w:tcPr>
            <w:tcW w:w="6860" w:type="dxa"/>
            <w:shd w:val="solid" w:color="DEDEDE" tmshd="1460470240, 0, 16777215"/>
            <w:tcMar>
              <w:top w:w="113" w:type="dxa"/>
              <w:left w:w="113" w:type="dxa"/>
              <w:bottom w:w="113" w:type="dxa"/>
              <w:right w:w="113"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625500350" protected="0"/>
          </w:tcPr>
          <w:p>
            <w:pPr>
              <w:spacing/>
              <w:jc w:val="center"/>
              <w:rPr>
                <w:b/>
                <w:bCs/>
                <w:sz w:val="24"/>
                <w:szCs w:val="24"/>
              </w:rPr>
            </w:pPr>
            <w:r>
              <w:rPr>
                <w:b/>
                <w:bCs/>
                <w:sz w:val="24"/>
                <w:szCs w:val="24"/>
              </w:rPr>
              <w:t>Inklusionsvereinbarung (neu)</w:t>
            </w:r>
          </w:p>
        </w:tc>
        <w:tc>
          <w:tcPr>
            <w:tcW w:w="1928" w:type="dxa"/>
            <w:shd w:val="solid" w:color="FFDEDE" tmshd="1460470240, 255, 16777215"/>
            <w:tcMar>
              <w:top w:w="113" w:type="dxa"/>
              <w:left w:w="113" w:type="dxa"/>
              <w:bottom w:w="113" w:type="dxa"/>
              <w:right w:w="113" w:type="dxa"/>
            </w:tcMar>
            <w:tcBorders>
              <w:top w:val="single" w:sz="8" w:space="0" w:color="000000" tmln="20, 20, 20, 0, 0"/>
              <w:left w:val="single" w:sz="8" w:space="0" w:color="000000" tmln="20, 20, 20, 0, 0"/>
              <w:bottom w:val="single" w:sz="8" w:space="0" w:color="000000" tmln="20, 20, 20, 0, 0"/>
              <w:right w:val="single" w:sz="8" w:space="0" w:color="000000" tmln="20, 20, 20, 0, 0"/>
            </w:tcBorders>
            <w:tmTcPr id="1625500350" protected="0"/>
          </w:tcPr>
          <w:p>
            <w:pPr>
              <w:spacing/>
              <w:jc w:val="center"/>
              <w:rPr>
                <w:b/>
                <w:bCs/>
                <w:sz w:val="24"/>
                <w:szCs w:val="24"/>
              </w:rPr>
            </w:pPr>
            <w:r>
              <w:rPr>
                <w:b/>
                <w:bCs/>
                <w:sz w:val="24"/>
                <w:szCs w:val="24"/>
              </w:rPr>
              <w:t>Anmerkungen</w:t>
            </w:r>
          </w:p>
        </w:tc>
      </w:tr>
      <w:tr>
        <w:trPr>
          <w:tblHeader w:val="0"/>
          <w:cantSplit w:val="0"/>
          <w:trHeight w:val="0" w:hRule="auto"/>
        </w:trPr>
        <w:tc>
          <w:tcPr>
            <w:tcW w:w="6860" w:type="dxa"/>
            <w:tcMar>
              <w:top w:w="113" w:type="dxa"/>
              <w:left w:w="113" w:type="dxa"/>
              <w:bottom w:w="113" w:type="dxa"/>
              <w:right w:w="113" w:type="dxa"/>
            </w:tcMar>
            <w:tcBorders>
              <w:top w:val="nil" w:sz="0" w:space="0" w:color="000000" tmln="20, 20, 20, 0, 0"/>
              <w:left w:val="single" w:sz="8" w:space="0" w:color="000000" tmln="20, 20, 20, 0, 0"/>
              <w:bottom w:val="single" w:sz="8" w:space="0" w:color="000000" tmln="20, 20, 20, 0, 0"/>
              <w:right w:val="single" w:sz="8" w:space="0" w:color="000000" tmln="20, 20, 20, 0, 0"/>
            </w:tcBorders>
            <w:tmTcPr id="1625500350"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t xml:space="preserve">Präambel </w:t>
            </w:r>
            <w:r>
              <w:rPr>
                <w:b/>
                <w:bCs/>
              </w:rPr>
              <w:t>– Absatz unterhalb 9 pt.</w:t>
            </w:r>
            <w:r>
              <w:rPr>
                <w:b/>
                <w:bCs/>
              </w:rP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Menschen mit Behinderungen und Menschen, die von Behinderung bedroht sind, sind in besonderem Maße auf den Schutz und die Solidarität der Gesellschaft angewiesen. Ihre Eingliederung in Arbeit und Ausbildung ist ein wesentlicher Ausdruck und gleichzeitig Voraussetzung für eine gleichberechtigte und diskriminierungsfreie Teilhabe am gesellschaftlichen Leben.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Die öffentlichen Arbeitgeber haben gegenüber den behinderten und von Behinderung bedrohten Menschen eine </w:t>
            </w:r>
            <w:r>
              <w:rPr>
                <w:strike w:val="1"/>
              </w:rPr>
              <w:t>gesteigerte</w:t>
            </w:r>
            <w:r>
              <w:t xml:space="preserve"> Fürsorge- </w:t>
            </w:r>
            <w:r>
              <w:rPr>
                <w:strike w:val="1"/>
              </w:rPr>
              <w:t>und Förderungs</w:t>
            </w:r>
            <w:r>
              <w:t>pflicht</w:t>
            </w:r>
            <w:r>
              <w:rPr>
                <w:strike w:val="1"/>
              </w:rPr>
              <w:t xml:space="preserve"> und damit auch eine</w:t>
            </w:r>
            <w:r>
              <w:t xml:space="preserve"> Vorbildfunktion </w:t>
            </w:r>
            <w:r>
              <w:rPr>
                <w:rStyle w:val="char3"/>
              </w:rPr>
              <w:t>gegenüber anderen Arbeitgebern. Es besteht insbesondere die Verpflichtung zur Berücksichtigung der behinderungsbedingten Bedürfnisse im Einzelfall. Hierbei ist den besonderen Bedürfnissen behinderter und von Behinderung bedrohter Frauen Rechnung zu tragen.</w:t>
            </w:r>
            <w:r/>
          </w:p>
        </w:tc>
        <w:tc>
          <w:tcPr>
            <w:tcW w:w="6860" w:type="dxa"/>
            <w:tcMar>
              <w:top w:w="113" w:type="dxa"/>
              <w:left w:w="113" w:type="dxa"/>
              <w:bottom w:w="113" w:type="dxa"/>
              <w:right w:w="113" w:type="dxa"/>
            </w:tcMar>
            <w:tcBorders>
              <w:top w:val="nil" w:sz="0" w:space="0" w:color="000000" tmln="20, 20, 20, 0, 0"/>
              <w:left w:val="nil" w:sz="0" w:space="0" w:color="000000" tmln="20, 20, 20, 0, 0"/>
              <w:bottom w:val="single" w:sz="8" w:space="0" w:color="000000" tmln="20, 20, 20, 0, 0"/>
              <w:right w:val="nil" w:sz="0" w:space="0" w:color="000000" tmln="20, 20, 20, 0, 0"/>
            </w:tcBorders>
            <w:tmTcPr id="1625500350"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t xml:space="preserve">1. Allgemeine Grundsätze </w:t>
            </w:r>
            <w:r>
              <w:rPr>
                <w:b/>
                <w:bCs/>
              </w:rPr>
              <w:t>– Absatz unterhalb 9 pt.</w:t>
            </w:r>
            <w:r>
              <w:rPr>
                <w:b/>
                <w:bCs/>
              </w:rP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Menschen mit Behinderungen und Menschen, die von Behinderung bedroht sind, sind in besonderem Maße auf den Schutz und die Solidarität der Gesellschaft angewiesen. Ihre Eingliederung in Arbeit und Ausbildung ist ein wesentlicher Ausdruck und gleichzeitig Voraussetzung für eine gleichberechtigte und diskriminierungsfreie Teilhabe am gesellschaftlichen Leben. Hierbei haben öffentliche Arbeitgeber im Rahmen der besonderen Fürsorgepflicht für Menschen mit Behinderungen eine Vorbildfunktion.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Menschen mit Behinderungen haben ein Recht auf Hilfe, um die Behinderung abzuwenden, zu beseitigen, zu mindern, ihre Verschlimmerung zu verhüten oder ihre Folgen zu mildern. Neben der Gewährung der gesetzlich vorgesehenen Nachteilsausgleiche gehören hierzu auch Hilfen, die den schwerbehinderten Menschen eine ihren Neigungen und Fähigkeiten entsprechenden Platz im Arbeitsleben sichern und die dem individuellen Hilfebedarf Rechnung tragen.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6"/>
              </w:rPr>
              <w:t>Prävention und Rehabilitation haben Vorrang vor vorzeitiger Berentung und Versetzung in den Ruhestand.</w:t>
            </w: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6"/>
              </w:rPr>
              <w:t>Von grundlegender Bedeutung für eine dauerhaft erfolgreiche Eingliederung sind eine aufgeschlossene Haltung und eine verständnisvolle Einstellung aller Vorgesetzten und Mitarbeiter des behinderten Menschen.</w:t>
            </w: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Die für die Menschen mit Behinderungen getroffenen Regelungen stellen keine Bevorzugung dar, sondern sind stets als Nachteilsausgleiche zu betrachten.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Grundlage für eine erfolgreiche Umsetzung dieser Inklusionsvereinbarung ist die auf das Wohl der </w:t>
            </w:r>
            <w:r>
              <w:rPr>
                <w:rStyle w:val="char4"/>
                <w:u w:color="0000ff" w:val="thick"/>
              </w:rPr>
              <w:t>behinderten Beschäftigten</w:t>
            </w:r>
            <w:r>
              <w:t xml:space="preserve"> gerichtete ständige und zielgerichtete vertrauensvolle Zusammenarbeit. </w:t>
            </w:r>
          </w:p>
        </w:tc>
        <w:tc>
          <w:tcPr>
            <w:tcW w:w="1928" w:type="dxa"/>
            <w:tcMar>
              <w:top w:w="113" w:type="dxa"/>
              <w:left w:w="113" w:type="dxa"/>
              <w:bottom w:w="113" w:type="dxa"/>
              <w:right w:w="113" w:type="dxa"/>
            </w:tcMar>
            <w:tcBorders>
              <w:top w:val="nil" w:sz="0" w:space="0" w:color="000000" tmln="20, 20, 20, 0, 0"/>
              <w:left w:val="single" w:sz="8" w:space="0" w:color="000000" tmln="20, 20, 20, 0, 0"/>
              <w:bottom w:val="single" w:sz="8" w:space="0" w:color="000000" tmln="20, 20, 20, 0, 0"/>
              <w:right w:val="single" w:sz="8" w:space="0" w:color="000000" tmln="20, 20, 20, 0, 0"/>
            </w:tcBorders>
            <w:tmTcPr id="1625500350"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 Absatz unterhalb 9 pt.</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Zusammenführen von Präambel </w:t>
              <w:br w:type="textWrapping"/>
              <w:t xml:space="preserve">(stark gekürzt) und altem Punkt 2 (Grundsätze) in neuen Punkt 1 </w:t>
              <w:br w:type="textWrapping"/>
              <w:t>„Allgemeine Grundsätze“</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br w:type="textWrapping"/>
              <w:br w:type="textWrapping"/>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4"/>
                <w:u w:color="0000ff" w:val="thick"/>
              </w:rPr>
              <w:t>Vorschlag:</w:t>
            </w:r>
            <w:r>
              <w:t xml:space="preserve"> </w:t>
              <w:br w:type="textWrapping"/>
              <w:t>Beschäftigten mit Behinderung</w:t>
            </w:r>
          </w:p>
        </w:tc>
      </w:tr>
    </w:tbl>
    <w:p>
      <w:bookmarkStart w:id="0" w:name="_GoBack"/>
      <w:r/>
      <w:bookmarkEnd w:id="0"/>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1906" w:w="16838" w:orient="landscape"/>
      <w:pgMar w:left="567" w:top="1701" w:right="567" w:bottom="851" w:header="1247" w:footer="454"/>
      <w:paperSrc w:first="0" w:other="0" a="0" b="0"/>
      <w:pgNumType w:fmt="decimal"/>
      <w:tmGutter w:val="3"/>
      <w:mirrorMargins w:val="0"/>
      <w:tmSection w:h="-2">
        <w:tmHeader w:id="0" w:h="0" edge="1247" text="0">
          <w:shd w:val="none"/>
        </w:tmHeader>
        <w:tmFooter w:id="0" w:h="0" edge="45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libri Light">
    <w:panose1 w:val="020F0302020204030204"/>
    <w:charset w:val="00"/>
    <w:family w:val="swiss"/>
    <w:pitch w:val="default"/>
  </w:font>
  <w:font w:name="Times-Roman">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pPr>
    <w:r>
      <w:rPr>
        <w:rStyle w:val="char2"/>
      </w:rPr>
    </w:r>
    <w:r>
      <w:rPr>
        <w:rStyle w:val="char2"/>
      </w:rPr>
      <w:fldChar w:fldCharType="begin"/>
      <w:instrText xml:space="preserve"> FILENAME </w:instrText>
      <w:fldChar w:fldCharType="separate"/>
      <w:t>Formatierungsfehler_in_Tabellen.docx</w:t>
      <w:fldChar w:fldCharType="end"/>
    </w:r>
    <w:r>
      <w:rPr>
        <w:rStyle w:val="char2"/>
      </w:rPr>
      <w:t xml:space="preserve"> </w:t>
      <w:tab/>
      <w:t xml:space="preserve">Seite </w:t>
    </w:r>
    <w:r>
      <w:rPr>
        <w:rStyle w:val="char2"/>
      </w:rPr>
    </w:r>
    <w:r>
      <w:rPr>
        <w:rStyle w:val="char2"/>
      </w:rPr>
      <w:fldChar w:fldCharType="begin"/>
      <w:instrText xml:space="preserve"> PAGE \* Arabic </w:instrText>
      <w:fldChar w:fldCharType="separate"/>
      <w:t>1</w:t>
      <w:fldChar w:fldCharType="end"/>
    </w:r>
    <w:r>
      <w:rPr>
        <w:rStyle w:val="char2"/>
      </w:rPr>
      <w:t xml:space="preserve"> von </w:t>
    </w:r>
    <w:r>
      <w:rPr>
        <w:rStyle w:val="char2"/>
      </w:rPr>
    </w:r>
    <w:r>
      <w:rPr>
        <w:rStyle w:val="char2"/>
      </w:rPr>
      <w:fldChar w:fldCharType="begin"/>
      <w:instrText xml:space="preserve"> NUMPAGES \* Arabic </w:instrText>
      <w:fldChar w:fldCharType="separate"/>
      <w:t>1</w:t>
      <w:fldChar w:fldCharType="end"/>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rPr>
        <w:szCs w:val="22"/>
      </w:rPr>
    </w:pPr>
    <w:r>
      <w:rPr>
        <w:rStyle w:val="char1"/>
        <w:szCs w:val="22"/>
      </w:rPr>
      <w:t>Synopse</w:t>
    </w:r>
    <w:r>
      <w:rPr>
        <w:szCs w:val="2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33" w:hanging="0"/>
      </w:pPr>
      <w:rPr>
        <w:b/>
        <w:bCs/>
        <w:w w:val="97"/>
      </w:rPr>
    </w:lvl>
    <w:lvl w:ilvl="1">
      <w:start w:val="1"/>
      <w:numFmt w:val="decimal"/>
      <w:suff w:val="tab"/>
      <w:lvlText w:val="%1.%2"/>
      <w:lvlJc w:val="left"/>
      <w:pPr>
        <w:ind w:left="-241" w:hanging="0"/>
      </w:pPr>
      <w:rPr>
        <w:w w:val="99"/>
      </w:rPr>
    </w:lvl>
    <w:lvl w:ilvl="2">
      <w:numFmt w:val="bullet"/>
      <w:suff w:val="tab"/>
      <w:lvlText w:val="•"/>
      <w:lvlJc w:val="left"/>
      <w:pPr>
        <w:ind w:left="-200" w:hanging="0"/>
      </w:pPr>
    </w:lvl>
    <w:lvl w:ilvl="3">
      <w:numFmt w:val="bullet"/>
      <w:suff w:val="tab"/>
      <w:lvlText w:val="•"/>
      <w:lvlJc w:val="left"/>
      <w:pPr>
        <w:ind w:left="-180" w:hanging="0"/>
      </w:pPr>
    </w:lvl>
    <w:lvl w:ilvl="4">
      <w:numFmt w:val="bullet"/>
      <w:suff w:val="tab"/>
      <w:lvlText w:val="•"/>
      <w:lvlJc w:val="left"/>
      <w:pPr>
        <w:ind w:left="20" w:hanging="0"/>
      </w:pPr>
    </w:lvl>
    <w:lvl w:ilvl="5">
      <w:numFmt w:val="bullet"/>
      <w:suff w:val="tab"/>
      <w:lvlText w:val="•"/>
      <w:lvlJc w:val="left"/>
      <w:pPr>
        <w:ind w:left="40" w:hanging="0"/>
      </w:pPr>
    </w:lvl>
    <w:lvl w:ilvl="6">
      <w:numFmt w:val="bullet"/>
      <w:suff w:val="tab"/>
      <w:lvlText w:val="•"/>
      <w:lvlJc w:val="left"/>
      <w:pPr>
        <w:ind w:left="-66" w:hanging="0"/>
      </w:pPr>
    </w:lvl>
    <w:lvl w:ilvl="7">
      <w:numFmt w:val="bullet"/>
      <w:suff w:val="tab"/>
      <w:lvlText w:val="•"/>
      <w:lvlJc w:val="left"/>
      <w:pPr>
        <w:ind w:left="-172" w:hanging="0"/>
      </w:pPr>
    </w:lvl>
    <w:lvl w:ilvl="8">
      <w:numFmt w:val="bullet"/>
      <w:suff w:val="tab"/>
      <w:lvlText w:val="•"/>
      <w:lvlJc w:val="left"/>
      <w:pPr>
        <w:ind w:left="-277" w:hanging="0"/>
      </w:pPr>
    </w:lvl>
  </w:abstractNum>
  <w:abstractNum w:abstractNumId="2">
    <w:multiLevelType w:val="singleLevel"/>
    <w:name w:val="Bullet 2"/>
    <w:lvl w:ilvl="0">
      <w:numFmt w:val="bullet"/>
      <w:suff w:val="tab"/>
      <w:lvlText w:val="‒"/>
      <w:lvlJc w:val="left"/>
      <w:pPr>
        <w:ind w:left="0" w:hanging="0"/>
      </w:pPr>
      <w:rPr>
        <w:rFonts w:ascii="Calibri" w:hAnsi="Calibri"/>
        <w:sz w:val="22"/>
      </w:rPr>
    </w:lvl>
  </w:abstractNum>
  <w:abstractNum w:abstractNumId="3">
    <w:multiLevelType w:val="singleLevel"/>
    <w:name w:val="Bullet 3"/>
    <w:lvl w:ilvl="0">
      <w:numFmt w:val="bullet"/>
      <w:suff w:val="tab"/>
      <w:lvlText w:val="‒"/>
      <w:lvlJc w:val="left"/>
      <w:pPr>
        <w:ind w:left="0" w:hanging="0"/>
      </w:pPr>
      <w:rPr>
        <w:rFonts w:ascii="Calibri" w:hAnsi="Calibri"/>
        <w:sz w:val="22"/>
      </w:rPr>
    </w:lvl>
  </w:abstractNum>
  <w:abstractNum w:abstractNumId="4">
    <w:multiLevelType w:val="singleLevel"/>
    <w:name w:val="Bullet 4"/>
    <w:lvl w:ilvl="0">
      <w:numFmt w:val="bullet"/>
      <w:suff w:val="tab"/>
      <w:lvlText w:val="‒"/>
      <w:lvlJc w:val="left"/>
      <w:pPr>
        <w:ind w:left="0" w:hanging="0"/>
      </w:pPr>
      <w:rPr>
        <w:rFonts w:ascii="Calibri" w:hAnsi="Calibri"/>
        <w:sz w:val="22"/>
      </w:rPr>
    </w:lvl>
  </w:abstractNum>
  <w:abstractNum w:abstractNumId="5">
    <w:multiLevelType w:val="singleLevel"/>
    <w:name w:val="Bullet 5"/>
    <w:lvl w:ilvl="0">
      <w:numFmt w:val="bullet"/>
      <w:pStyle w:val="para3"/>
      <w:suff w:val="tab"/>
      <w:lvlText w:val="‒"/>
      <w:lvlJc w:val="left"/>
      <w:pPr>
        <w:ind w:left="0" w:hanging="0"/>
      </w:pPr>
      <w:rPr>
        <w:rFonts w:ascii="Calibri" w:hAnsi="Calibri"/>
        <w:sz w:val="22"/>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4097"/>
  <w:tmFmtPref w:val="55057515"/>
  <w:tmCommentsPr>
    <w:tmCommentsPlace w:val="0"/>
    <w:tmCommentsWidth w:val="3119"/>
    <w:tmCommentsColor w:val="-1"/>
  </w:tmCommentsPr>
  <w:tmReviewPr>
    <w:tmReviewEnabled w:val="0"/>
    <w:tmReviewShow w:val="1"/>
    <w:tmReviewPrint w:val="0"/>
    <w:tmRevisionNum w:val="9"/>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6"/>
    <w:tmLastPosCaret>
      <w:tmLastPosPgfIdx w:val="0"/>
      <w:tmLastPosIdx w:val="5"/>
    </w:tmLastPosCaret>
    <w:tmLastPosAnchor>
      <w:tmLastPosPgfIdx w:val="0"/>
      <w:tmLastPosIdx w:val="0"/>
    </w:tmLastPosAnchor>
    <w:tmLastPosTblRect w:left="0" w:top="0" w:right="0" w:bottom="0"/>
  </w:tmLastPos>
  <w:tmAppRevision w:date="1625500350" w:val="103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de-de" w:eastAsia="de-de" w:bidi="de-de"/>
      </w:rPr>
    </w:rPrDefault>
    <w:pPrDefault>
      <w:pPr>
        <w:spacing w:after="180" w:line="264"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after="0" w:line="240" w:lineRule="auto"/>
      <w:jc w:val="center"/>
      <w:tabs defTabSz="708">
        <w:tab w:val="center" w:pos="4536" w:leader="none"/>
        <w:tab w:val="right" w:pos="9072" w:leader="none"/>
      </w:tabs>
      <w:pBdr>
        <w:top w:val="nil" w:sz="0" w:space="3" w:color="000000" tmln="20, 20, 20, 0, 60"/>
        <w:left w:val="nil" w:sz="0" w:space="3" w:color="000000" tmln="20, 20, 20, 0, 60"/>
        <w:bottom w:val="single" w:sz="4" w:space="4" w:color="000000" tmln="10, 20, 20, 0, 80"/>
        <w:right w:val="nil" w:sz="0" w:space="3" w:color="000000" tmln="20, 20, 20, 0, 60"/>
        <w:between w:val="nil" w:sz="0" w:space="0" w:color="000000" tmln="20, 20, 20, 0, 0"/>
      </w:pBdr>
      <w:shd w:val="none"/>
    </w:pPr>
    <w:rPr>
      <w:b/>
      <w:sz w:val="24"/>
      <w:szCs w:val="24"/>
    </w:rPr>
  </w:style>
  <w:style w:type="paragraph" w:styleId="para2">
    <w:name w:val="Footer"/>
    <w:qFormat/>
    <w:basedOn w:val="para0"/>
    <w:pPr>
      <w:spacing w:after="0" w:line="240" w:lineRule="auto"/>
      <w:tabs defTabSz="708">
        <w:tab w:val="center" w:pos="4536" w:leader="none"/>
        <w:tab w:val="right" w:pos="15593" w:leader="none"/>
      </w:tabs>
      <w:pBdr>
        <w:top w:val="single" w:sz="4" w:space="4" w:color="000000" tmln="10, 20, 20, 0, 8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3">
    <w:name w:val="List Paragraph"/>
    <w:qFormat/>
    <w:basedOn w:val="para0"/>
    <w:pPr>
      <w:numPr>
        <w:ilvl w:val="0"/>
        <w:numId w:val="5"/>
      </w:numPr>
      <w:ind w:left="170" w:hanging="170"/>
      <w:spacing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style>
  <w:style w:type="paragraph" w:styleId="para4">
    <w:name w:val="Body Text"/>
    <w:qFormat/>
    <w:basedOn w:val="para0"/>
    <w:pPr>
      <w:spacing w:after="0" w:line="240" w:lineRule="auto"/>
      <w:jc w:val="both"/>
      <w:widowControl w:val="0"/>
    </w:pPr>
    <w:rPr>
      <w:rFonts w:ascii="Times New Roman" w:hAnsi="Times New Roman" w:eastAsia="Times New Roman"/>
      <w:sz w:val="17"/>
      <w:szCs w:val="17"/>
    </w:rPr>
  </w:style>
  <w:style w:type="character" w:styleId="char0" w:default="1">
    <w:name w:val="Default Paragraph Font"/>
  </w:style>
  <w:style w:type="character" w:styleId="char1" w:customStyle="1">
    <w:name w:val="Kopfzeile Zchn"/>
    <w:basedOn w:val="char0"/>
    <w:rPr>
      <w:rFonts w:ascii="Calibri" w:hAnsi="Calibri"/>
      <w:b/>
      <w:i w:val="0"/>
      <w:sz w:val="24"/>
      <w:lang w:val="de-de"/>
    </w:rPr>
  </w:style>
  <w:style w:type="character" w:styleId="char2" w:customStyle="1">
    <w:name w:val="Fußzeile Zchn"/>
    <w:basedOn w:val="char0"/>
  </w:style>
  <w:style w:type="character" w:styleId="char3" w:customStyle="1">
    <w:name w:val="Streichung_alt"/>
    <w:basedOnNormal/>
    <w:rPr>
      <w:rFonts w:ascii="Calibri" w:hAnsi="Calibri"/>
      <w:b w:val="0"/>
      <w:i w:val="0"/>
      <w:strike w:val="1"/>
      <w:color w:val="auto"/>
      <w:spacing w:val="0" w:percent="100"/>
      <w:w w:val="100"/>
      <w:sz w:val="22"/>
      <w:lang w:val="de-de"/>
    </w:rPr>
  </w:style>
  <w:style w:type="character" w:styleId="char4" w:customStyle="1">
    <w:name w:val="Aenderungsvorschlag"/>
    <w:basedOnNormal/>
    <w:rPr>
      <w:rFonts w:ascii="Calibri" w:hAnsi="Calibri"/>
      <w:color w:val="000000"/>
      <w:sz w:val="22"/>
      <w:u w:color="0000ff" w:val="thick"/>
      <w:shd w:val="clear" w:fill="auto"/>
    </w:rPr>
  </w:style>
  <w:style w:type="character" w:styleId="char5" w:customStyle="1">
    <w:name w:val="Formulierung_überdenken"/>
    <w:basedOnNormal/>
    <w:rPr>
      <w:color w:val="4f81bd"/>
    </w:rPr>
  </w:style>
  <w:style w:type="character" w:styleId="char6" w:customStyle="1">
    <w:name w:val="Neuformulierung"/>
    <w:basedOnNormal/>
    <w:rPr>
      <w:rFonts w:cs="Calibri"/>
      <w:shd w:val="clear" w:fill="c4ffc4"/>
      <w:lang w:eastAsia="de-de" w:bidi="de-d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NormalTable"/>
    <w:pPr>
      <w:spacing w:after="0" w:line="240" w:lineRule="auto"/>
    </w:p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de-de" w:eastAsia="de-de" w:bidi="de-de"/>
      </w:rPr>
    </w:rPrDefault>
    <w:pPrDefault>
      <w:pPr>
        <w:spacing w:after="180" w:line="264"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after="0" w:line="240" w:lineRule="auto"/>
      <w:jc w:val="center"/>
      <w:tabs defTabSz="708">
        <w:tab w:val="center" w:pos="4536" w:leader="none"/>
        <w:tab w:val="right" w:pos="9072" w:leader="none"/>
      </w:tabs>
      <w:pBdr>
        <w:top w:val="nil" w:sz="0" w:space="3" w:color="000000" tmln="20, 20, 20, 0, 60"/>
        <w:left w:val="nil" w:sz="0" w:space="3" w:color="000000" tmln="20, 20, 20, 0, 60"/>
        <w:bottom w:val="single" w:sz="4" w:space="4" w:color="000000" tmln="10, 20, 20, 0, 80"/>
        <w:right w:val="nil" w:sz="0" w:space="3" w:color="000000" tmln="20, 20, 20, 0, 60"/>
        <w:between w:val="nil" w:sz="0" w:space="0" w:color="000000" tmln="20, 20, 20, 0, 0"/>
      </w:pBdr>
      <w:shd w:val="none"/>
    </w:pPr>
    <w:rPr>
      <w:b/>
      <w:sz w:val="24"/>
      <w:szCs w:val="24"/>
    </w:rPr>
  </w:style>
  <w:style w:type="paragraph" w:styleId="para2">
    <w:name w:val="Footer"/>
    <w:qFormat/>
    <w:basedOn w:val="para0"/>
    <w:pPr>
      <w:spacing w:after="0" w:line="240" w:lineRule="auto"/>
      <w:tabs defTabSz="708">
        <w:tab w:val="center" w:pos="4536" w:leader="none"/>
        <w:tab w:val="right" w:pos="15593" w:leader="none"/>
      </w:tabs>
      <w:pBdr>
        <w:top w:val="single" w:sz="4" w:space="4" w:color="000000" tmln="10, 20, 20, 0, 8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3">
    <w:name w:val="List Paragraph"/>
    <w:qFormat/>
    <w:basedOn w:val="para0"/>
    <w:pPr>
      <w:numPr>
        <w:ilvl w:val="0"/>
        <w:numId w:val="5"/>
      </w:numPr>
      <w:ind w:left="170" w:hanging="170"/>
      <w:spacing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style>
  <w:style w:type="paragraph" w:styleId="para4">
    <w:name w:val="Body Text"/>
    <w:qFormat/>
    <w:basedOn w:val="para0"/>
    <w:pPr>
      <w:spacing w:after="0" w:line="240" w:lineRule="auto"/>
      <w:jc w:val="both"/>
      <w:widowControl w:val="0"/>
    </w:pPr>
    <w:rPr>
      <w:rFonts w:ascii="Times New Roman" w:hAnsi="Times New Roman" w:eastAsia="Times New Roman"/>
      <w:sz w:val="17"/>
      <w:szCs w:val="17"/>
    </w:rPr>
  </w:style>
  <w:style w:type="character" w:styleId="char0" w:default="1">
    <w:name w:val="Default Paragraph Font"/>
  </w:style>
  <w:style w:type="character" w:styleId="char1" w:customStyle="1">
    <w:name w:val="Kopfzeile Zchn"/>
    <w:basedOn w:val="char0"/>
    <w:rPr>
      <w:rFonts w:ascii="Calibri" w:hAnsi="Calibri"/>
      <w:b/>
      <w:i w:val="0"/>
      <w:sz w:val="24"/>
      <w:lang w:val="de-de"/>
    </w:rPr>
  </w:style>
  <w:style w:type="character" w:styleId="char2" w:customStyle="1">
    <w:name w:val="Fußzeile Zchn"/>
    <w:basedOn w:val="char0"/>
  </w:style>
  <w:style w:type="character" w:styleId="char3" w:customStyle="1">
    <w:name w:val="Streichung_alt"/>
    <w:basedOnNormal/>
    <w:rPr>
      <w:rFonts w:ascii="Calibri" w:hAnsi="Calibri"/>
      <w:b w:val="0"/>
      <w:i w:val="0"/>
      <w:strike w:val="1"/>
      <w:color w:val="auto"/>
      <w:spacing w:val="0" w:percent="100"/>
      <w:w w:val="100"/>
      <w:sz w:val="22"/>
      <w:lang w:val="de-de"/>
    </w:rPr>
  </w:style>
  <w:style w:type="character" w:styleId="char4" w:customStyle="1">
    <w:name w:val="Aenderungsvorschlag"/>
    <w:basedOnNormal/>
    <w:rPr>
      <w:rFonts w:ascii="Calibri" w:hAnsi="Calibri"/>
      <w:color w:val="000000"/>
      <w:sz w:val="22"/>
      <w:u w:color="0000ff" w:val="thick"/>
      <w:shd w:val="clear" w:fill="auto"/>
    </w:rPr>
  </w:style>
  <w:style w:type="character" w:styleId="char5" w:customStyle="1">
    <w:name w:val="Formulierung_überdenken"/>
    <w:basedOnNormal/>
    <w:rPr>
      <w:color w:val="4f81bd"/>
    </w:rPr>
  </w:style>
  <w:style w:type="character" w:styleId="char6" w:customStyle="1">
    <w:name w:val="Neuformulierung"/>
    <w:basedOnNormal/>
    <w:rPr>
      <w:rFonts w:cs="Calibri"/>
      <w:shd w:val="clear" w:fill="c4ffc4"/>
      <w:lang w:eastAsia="de-de" w:bidi="de-d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NormalTable"/>
    <w:pPr>
      <w:spacing w:after="0" w:line="240" w:lineRule="auto"/>
    </w:p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Michael Wagner</cp:lastModifiedBy>
  <cp:revision>9</cp:revision>
  <cp:lastPrinted>2021-06-24T09:52:24Z</cp:lastPrinted>
  <dcterms:created xsi:type="dcterms:W3CDTF">2021-06-22T06:44:00Z</dcterms:created>
  <dcterms:modified xsi:type="dcterms:W3CDTF">2021-07-05T15:52:30Z</dcterms:modified>
</cp:coreProperties>
</file>