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  <w:numPr>
          <w:ilvl w:val="0"/>
          <w:numId w:val="1"/>
        </w:numPr>
      </w:pPr>
      <w:bookmarkStart w:id="0" w:name="_TOC000048"/>
      <w:r/>
      <w:bookmarkEnd w:id="0"/>
      <w:r/>
      <w:bookmarkStart w:id="1" w:name="_TOC000051"/>
      <w:r>
        <w:t>Ertragswertermittlung gemäß §§ 17 - 20 ImmoWertV</w:t>
      </w:r>
      <w:bookmarkEnd w:id="1"/>
      <w:r/>
    </w:p>
    <w:p>
      <w:r>
        <w:rPr>
          <w:color w:val="0000ff"/>
        </w:rPr>
      </w:r>
      <w:bookmarkStart w:id="2" w:name="_TOC000052"/>
      <w:r>
        <w:rPr>
          <w:color w:val="0000ff"/>
        </w:rPr>
      </w:r>
      <w:bookmarkEnd w:id="2"/>
      <w:r>
        <w:rPr>
          <w:color w:val="0000ff"/>
        </w:rPr>
      </w:r>
      <w:r>
        <w:t>Eckdaten Wohnung:</w:t>
      </w:r>
    </w:p>
    <w:tbl>
      <w:tblPr>
        <w:tblStyle w:val="TableGrid"/>
        <w:name w:val="Tabelle1"/>
        <w:tabOrder w:val="0"/>
        <w:jc w:val="left"/>
        <w:tblInd w:w="0" w:type="dxa"/>
        <w:tblW w:w="7939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3342"/>
        <w:gridCol w:w="459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Baujahr: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1959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Bad/WC: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ja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Heizung: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ja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besondere Ausstattung: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nein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Größe der Wohnung: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67,79 m²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Wohnlage (nach Wohnlagekarte):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gut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Ausstattung: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Gastherme in der Wohnung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besondere Ausstattung: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wärmedämmende Fenster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Modernisierungen:</w:t>
            </w:r>
          </w:p>
        </w:tc>
        <w:tc>
          <w:tcPr>
            <w:tcW w:w="28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</w:pPr>
            <w:r>
              <w:t>Bad (bodengleiche Dusche)</w:t>
            </w:r>
          </w:p>
        </w:tc>
      </w:tr>
    </w:tbl>
    <w:p>
      <w:r/>
    </w:p>
    <w:p>
      <w:pPr>
        <w:numPr>
          <w:ilvl w:val="2"/>
          <w:numId w:val="1"/>
        </w:numPr>
        <w:ind w:left="642"/>
        <w:spacing w:before="200"/>
      </w:pPr>
      <w:r/>
    </w:p>
    <w:p>
      <w:pPr>
        <w:pStyle w:val="para7"/>
        <w:numPr>
          <w:ilvl w:val="1"/>
          <w:numId w:val="1"/>
        </w:numPr>
      </w:pPr>
      <w:r>
        <w:t xml:space="preserve">Monatlicher Rohertrag: </w:t>
      </w:r>
    </w:p>
    <w:tbl>
      <w:tblPr>
        <w:tblStyle w:val="TableGrid"/>
        <w:name w:val="monatlicher_Rohertrag"/>
        <w:tabOrder w:val="0"/>
        <w:jc w:val="left"/>
        <w:tblInd w:w="0" w:type="dxa"/>
        <w:tblW w:w="7932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2644"/>
        <w:gridCol w:w="2644"/>
        <w:gridCol w:w="264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shd w:val="solid" w:color="FFFFFF" tmshd="1677721856, 0, 16777215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67,79 m²</w:t>
            </w:r>
          </w:p>
        </w:tc>
        <w:tc>
          <w:tcPr>
            <w:tcW w:w="1665" w:type="pct"/>
            <w:shd w:val="solid" w:color="FFFFFF" tmshd="1677721856, 0, 16777215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x 10,20 €/m² =</w:t>
            </w:r>
          </w:p>
        </w:tc>
        <w:tc>
          <w:tcPr>
            <w:tcW w:w="1665" w:type="pct"/>
            <w:shd w:val="solid" w:color="FFFFFF" tmshd="1677721856, 0, 16777215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#A1*#B1 \# "#.##0,00" </w:instrText>
              <w:fldChar w:fldCharType="separate"/>
              <w:t>691,46</w:t>
              <w:fldChar w:fldCharType="end"/>
            </w:r>
            <w:r>
              <w:t xml:space="preserve"> €</w:t>
            </w:r>
          </w:p>
        </w:tc>
      </w:tr>
    </w:tbl>
    <w:p>
      <w:pPr>
        <w:pStyle w:val="para7"/>
        <w:numPr>
          <w:ilvl w:val="1"/>
          <w:numId w:val="1"/>
        </w:numPr>
      </w:pPr>
      <w:bookmarkStart w:id="3" w:name="_TOC000055"/>
      <w:r>
        <w:t>Bewirtschaftungskosten - § 19 ImmoWertV</w:t>
      </w:r>
      <w:bookmarkEnd w:id="3"/>
      <w:r/>
    </w:p>
    <w:p>
      <w:pPr>
        <w:spacing w:before="200"/>
      </w:pPr>
      <w:r/>
    </w:p>
    <w:p>
      <w:pPr>
        <w:spacing w:before="200"/>
      </w:pPr>
      <w:r>
        <w:t xml:space="preserve">Entsprechend der II. Berechnungsverordnung werden für </w:t>
      </w:r>
    </w:p>
    <w:p>
      <w:pPr>
        <w:pStyle w:val="para8"/>
        <w:numPr>
          <w:ilvl w:val="2"/>
          <w:numId w:val="1"/>
        </w:numPr>
      </w:pPr>
      <w:r>
        <w:t>Verwaltungskosten:</w:t>
        <w:tab/>
      </w:r>
    </w:p>
    <w:p>
      <w:pPr>
        <w:spacing w:before="200"/>
      </w:pPr>
      <w:r>
        <w:t>bis 356,79  €</w:t>
        <w:tab/>
        <w:t>jährlich je Eigentumswohnung, Kaufeigentumswohnung</w:t>
      </w:r>
    </w:p>
    <w:p>
      <w:pPr>
        <w:pStyle w:val="para8"/>
        <w:numPr>
          <w:ilvl w:val="2"/>
          <w:numId w:val="1"/>
        </w:numPr>
      </w:pPr>
      <w:r>
        <w:t>Instandhaltungskosten:</w:t>
      </w:r>
    </w:p>
    <w:p>
      <w:pPr>
        <w:spacing w:before="200"/>
      </w:pPr>
      <w:r>
        <w:t>bis 14,92 €/m²</w:t>
        <w:tab/>
        <w:t>Wohnfläche je Jahr für Wohnungen, deren Bezugsfertigkeit am Ende des Kalenderjahres mindestens 32 Jahre zurück liegt</w:t>
      </w:r>
    </w:p>
    <w:p>
      <w:pPr>
        <w:pStyle w:val="para8"/>
        <w:numPr>
          <w:ilvl w:val="2"/>
          <w:numId w:val="1"/>
        </w:numPr>
      </w:pPr>
      <w:r>
        <w:t>Mietausfallwagnis:</w:t>
      </w:r>
    </w:p>
    <w:p>
      <w:pPr>
        <w:spacing w:before="200"/>
      </w:pPr>
      <w:r>
        <w:t>2 %</w:t>
        <w:tab/>
        <w:t>der Nettokaltmiete bei Mietwohn- und gemischt genutzten Grundstücken</w:t>
      </w:r>
    </w:p>
    <w:p>
      <w:pPr>
        <w:pStyle w:val="para8"/>
        <w:numPr>
          <w:ilvl w:val="2"/>
          <w:numId w:val="1"/>
        </w:numPr>
      </w:pPr>
      <w:r>
        <w:t xml:space="preserve">Ermittlung der Bewirtschaftungskosten </w:t>
      </w:r>
    </w:p>
    <w:p>
      <w:pPr>
        <w:spacing w:before="200"/>
      </w:pPr>
      <w:r>
        <w:t>Demnach betragen die jährlichen Bewirtschaftungskosten für die Eigentumswohnung EG rechts in dem mit einem Mehrfamilienhaus bebauten Grundstück</w:t>
      </w:r>
    </w:p>
    <w:tbl>
      <w:tblPr>
        <w:tblStyle w:val="TableGrid"/>
        <w:name w:val="Bewirtschaftungskosten"/>
        <w:tabOrder w:val="0"/>
        <w:jc w:val="left"/>
        <w:tblInd w:w="0" w:type="dxa"/>
        <w:tblW w:w="7939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5264"/>
        <w:gridCol w:w="267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Verwaltungskosten: 1 Wohnung x 356,79 €</w:t>
            </w:r>
          </w:p>
        </w:tc>
        <w:tc>
          <w:tcPr>
            <w:tcW w:w="168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356,79 €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Instandhaltungskosten: 67,79 x 14,92 =</w:t>
            </w:r>
          </w:p>
        </w:tc>
        <w:tc>
          <w:tcPr>
            <w:tcW w:w="168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67,79*14,92 \# "#.##0,00" </w:instrText>
              <w:fldChar w:fldCharType="separate"/>
              <w:t>1.011,43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 xml:space="preserve">Mietausfallwagnis: 2% von </w:t>
            </w:r>
            <w:r>
              <w:fldChar w:fldCharType="begin"/>
              <w:instrText xml:space="preserve">= MONATLICHER_ROHERTRAG.C1 \# "#.##0,xxxxxxxxxxxxxxxxxxxx" </w:instrText>
              <w:fldChar w:fldCharType="separate"/>
              <w:t>691,46</w:t>
              <w:fldChar w:fldCharType="end"/>
            </w:r>
            <w:r>
              <w:t xml:space="preserve"> € *12 =</w:t>
            </w:r>
          </w:p>
        </w:tc>
        <w:tc>
          <w:tcPr>
            <w:tcW w:w="168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0,02*MONATLICHER_ROHERTRAG.#C1*12 \# "#.##0,00" </w:instrText>
              <w:fldChar w:fldCharType="separate"/>
              <w:t>165,95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15" w:type="pct"/>
            <w:tcBorders>
              <w:top w:val="single" w:sz="8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jährliche Bewirtschaftungskosten insgesamt:</w:t>
            </w:r>
          </w:p>
        </w:tc>
        <w:tc>
          <w:tcPr>
            <w:tcW w:w="1685" w:type="pct"/>
            <w:tcBorders>
              <w:top w:val="single" w:sz="8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#B1+#B2+#B3 \# "#.##0,00" </w:instrText>
              <w:fldChar w:fldCharType="separate"/>
              <w:t>1.534,17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68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entspricht </w:t>
            </w:r>
            <w:r>
              <w:rPr>
                <w:i/>
                <w:iCs/>
              </w:rPr>
              <w:fldChar w:fldCharType="begin"/>
              <w:instrText xml:space="preserve">= #B4/(MONATLICHER_ROHERTRAG.#C1*12)*100 \# "#.##0,00" </w:instrText>
              <w:fldChar w:fldCharType="separate"/>
              <w:t>18,49</w:t>
              <w:fldChar w:fldCharType="end"/>
            </w:r>
            <w:r>
              <w:rPr>
                <w:i/>
                <w:iCs/>
              </w:rPr>
              <w:t xml:space="preserve"> %</w:t>
            </w:r>
          </w:p>
        </w:tc>
      </w:tr>
    </w:tbl>
    <w:p>
      <w:pPr>
        <w:pStyle w:val="para16"/>
      </w:pPr>
      <w:r>
        <w:t xml:space="preserve">Tabelle </w:t>
      </w:r>
      <w:r>
        <w:fldChar w:fldCharType="begin"/>
        <w:instrText xml:space="preserve"> SEQ "Tabelle" \* Arabic </w:instrText>
        <w:fldChar w:fldCharType="separate"/>
        <w:t>1</w:t>
        <w:fldChar w:fldCharType="end"/>
      </w:r>
      <w:r>
        <w:t xml:space="preserve">: Ermittlung der Bewirtschaftungskosten </w:t>
      </w:r>
    </w:p>
    <w:p>
      <w:pPr>
        <w:pStyle w:val="para7"/>
        <w:numPr>
          <w:ilvl w:val="1"/>
          <w:numId w:val="1"/>
        </w:numPr>
      </w:pPr>
      <w:bookmarkStart w:id="4" w:name="_TOC000056"/>
      <w:r>
        <w:t>Reinertrag - § 18 ImmoWertV</w:t>
      </w:r>
      <w:bookmarkEnd w:id="4"/>
      <w:r/>
    </w:p>
    <w:p>
      <w:pPr>
        <w:spacing w:before="200"/>
      </w:pPr>
      <w:r>
        <w:t xml:space="preserve">Der Reinertrag ergibt sich aus dem um die (im Rohertrag noch enthaltenen) Bewirtschaftungskosten verminderten Rohertrag </w:t>
      </w:r>
    </w:p>
    <w:p>
      <w:pPr>
        <w:pStyle w:val="para7"/>
        <w:numPr>
          <w:ilvl w:val="1"/>
          <w:numId w:val="1"/>
        </w:numPr>
      </w:pPr>
      <w:bookmarkStart w:id="5" w:name="_TOC000057"/>
      <w:r>
        <w:t>Liegenschaftszinssatz</w:t>
      </w:r>
      <w:bookmarkEnd w:id="5"/>
      <w:r/>
    </w:p>
    <w:p>
      <w:pPr>
        <w:pStyle w:val="para8"/>
        <w:numPr>
          <w:ilvl w:val="2"/>
          <w:numId w:val="1"/>
        </w:numPr>
      </w:pPr>
      <w:r>
        <w:t xml:space="preserve">Definition des Liegenschaftszins </w:t>
      </w:r>
    </w:p>
    <w:tbl>
      <w:tblPr>
        <w:tblStyle w:val="TableGrid"/>
        <w:name w:val="LZ"/>
        <w:tabOrder w:val="0"/>
        <w:jc w:val="left"/>
        <w:tblInd w:w="0" w:type="dxa"/>
        <w:tblW w:w="7939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2231"/>
        <w:gridCol w:w="5708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0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Liegenschaftszins:</w:t>
            </w:r>
          </w:p>
        </w:tc>
        <w:tc>
          <w:tcPr>
            <w:tcW w:w="3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1,7%</w:t>
            </w:r>
          </w:p>
        </w:tc>
      </w:tr>
    </w:tbl>
    <w:p>
      <w:pPr>
        <w:spacing/>
        <w:jc w:val="left"/>
      </w:pPr>
      <w:r/>
    </w:p>
    <w:p>
      <w:pPr>
        <w:pStyle w:val="para7"/>
        <w:numPr>
          <w:ilvl w:val="1"/>
          <w:numId w:val="1"/>
        </w:numPr>
      </w:pPr>
      <w:r>
        <w:t>Restnutzungsdauer</w:t>
      </w:r>
      <w:r>
        <w:rPr>
          <w:color w:val="000000"/>
        </w:rPr>
        <w:t>, §6 Abs. 6 Satz 1 ImmoWertV</w:t>
      </w:r>
      <w:r/>
    </w:p>
    <w:p>
      <w:r/>
    </w:p>
    <w:p>
      <w:pPr>
        <w:pStyle w:val="para7"/>
        <w:numPr>
          <w:ilvl w:val="1"/>
          <w:numId w:val="1"/>
        </w:numPr>
      </w:pPr>
      <w:r>
        <w:t>Baujahr:</w:t>
      </w:r>
    </w:p>
    <w:p>
      <w:pPr>
        <w:spacing w:before="200"/>
      </w:pPr>
      <w:r>
        <w:t>Das Mehrfamilienhaus   .. wurde nach Angabe der Eingentümerin 1959 bezugsfertig errichtet</w:t>
      </w:r>
    </w:p>
    <w:p>
      <w:pPr>
        <w:pStyle w:val="para8"/>
        <w:numPr>
          <w:ilvl w:val="2"/>
          <w:numId w:val="1"/>
        </w:numPr>
      </w:pPr>
      <w:r>
        <w:t>Gesamtnutzungsdauer</w:t>
      </w:r>
    </w:p>
    <w:p>
      <w:pPr>
        <w:spacing w:before="200"/>
      </w:pPr>
      <w:r>
        <w:t>Gemäß dem Grundstücksmarktbericht der Stadt Köln für das Jahr 2019 ist bei dem vorliegenden Bewertungsobjekt von einer Gesamtnutzungsdauer von 80 Jahren auszugehen</w:t>
      </w:r>
    </w:p>
    <w:p>
      <w:pPr>
        <w:pStyle w:val="para8"/>
        <w:numPr>
          <w:ilvl w:val="2"/>
          <w:numId w:val="1"/>
        </w:numPr>
      </w:pPr>
      <w:r>
        <w:t>Gebäudealter</w:t>
      </w:r>
    </w:p>
    <w:p>
      <w:pPr>
        <w:spacing w:before="200"/>
      </w:pPr>
      <w:r>
        <w:t>Das Gebäudealter ergibt sich, wenn ich vom Bewertungsjahr das Jahr der Bezugsfertigkeit abziehe:</w:t>
      </w:r>
    </w:p>
    <w:tbl>
      <w:tblPr>
        <w:tblStyle w:val="TableGrid"/>
        <w:name w:val="Gebäudealter"/>
        <w:tabOrder w:val="0"/>
        <w:jc w:val="left"/>
        <w:tblInd w:w="0" w:type="dxa"/>
        <w:tblW w:w="7932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2644"/>
        <w:gridCol w:w="2644"/>
        <w:gridCol w:w="264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Bewehrungsjahr</w:t>
            </w:r>
          </w:p>
        </w:tc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Jahr der Bezugsfertigkeit</w:t>
            </w:r>
          </w:p>
        </w:tc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Alter in Jahren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2020</w:t>
            </w:r>
          </w:p>
        </w:tc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1959</w:t>
            </w:r>
          </w:p>
        </w:tc>
        <w:tc>
          <w:tcPr>
            <w:tcW w:w="166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fldChar w:fldCharType="begin"/>
              <w:instrText xml:space="preserve">= #A2-#B2 \# "#.##0,xxxxxxxxxxxxxxxxxxxx" </w:instrText>
              <w:fldChar w:fldCharType="separate"/>
              <w:t>61</w:t>
              <w:fldChar w:fldCharType="end"/>
            </w:r>
          </w:p>
        </w:tc>
      </w:tr>
    </w:tbl>
    <w:p>
      <w:pPr>
        <w:pStyle w:val="para8"/>
        <w:numPr>
          <w:ilvl w:val="2"/>
          <w:numId w:val="1"/>
        </w:numPr>
      </w:pPr>
      <w:r>
        <w:t>Restnutzungsdauer</w:t>
      </w:r>
    </w:p>
    <w:p>
      <w:pPr>
        <w:spacing w:before="200"/>
      </w:pPr>
      <w:r>
        <w:t>Die Restnutzungsdauer ist die Differenz zwischen der Gesamtnutzungsdauer (GND) und Gebäudealter</w:t>
      </w:r>
    </w:p>
    <w:tbl>
      <w:tblPr>
        <w:tblStyle w:val="TableGrid"/>
        <w:name w:val="Tabelle182"/>
        <w:tabOrder w:val="0"/>
        <w:jc w:val="left"/>
        <w:tblInd w:w="0" w:type="dxa"/>
        <w:tblW w:w="7932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2644"/>
        <w:gridCol w:w="2644"/>
        <w:gridCol w:w="2644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GND</w:t>
            </w:r>
          </w:p>
        </w:tc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Gebäudealter</w:t>
            </w:r>
          </w:p>
        </w:tc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RND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80</w:t>
            </w:r>
          </w:p>
        </w:tc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fldChar w:fldCharType="begin"/>
              <w:instrText xml:space="preserve">= GEBÄUDEALTER.#C2 \# "#.##0,xxxxxxxxxxxxxxxxxxxx" </w:instrText>
              <w:fldChar w:fldCharType="separate"/>
              <w:t>61</w:t>
              <w:fldChar w:fldCharType="end"/>
            </w:r>
            <w:r>
              <w:t xml:space="preserve"> Jahre</w:t>
            </w:r>
          </w:p>
        </w:tc>
        <w:tc>
          <w:tcPr>
            <w:tcW w:w="1665" w:type="pct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fldChar w:fldCharType="begin"/>
              <w:instrText xml:space="preserve">= #A2-#B2 \# "#.##0,xxxxxxxxxxxxxxxxxxxx" </w:instrText>
              <w:fldChar w:fldCharType="separate"/>
              <w:t>19</w:t>
              <w:fldChar w:fldCharType="end"/>
            </w:r>
          </w:p>
        </w:tc>
      </w:tr>
    </w:tbl>
    <w:p>
      <w:pPr>
        <w:pStyle w:val="para8"/>
        <w:numPr>
          <w:ilvl w:val="2"/>
          <w:numId w:val="1"/>
        </w:numPr>
      </w:pPr>
      <w:r>
        <w:t>Modernisierungsgrad</w:t>
      </w:r>
    </w:p>
    <w:p>
      <w:pPr>
        <w:spacing w:before="200"/>
      </w:pPr>
      <w:r>
        <w:t>In Anlehnung an die Anlage 4 der Sachwertrichtlinie ermittle ich unter Zuhilfenahme des Modells der ARGV Nordrhein - Westfalen sachverständig folgenden Modernisierungsgrad:</w:t>
      </w:r>
    </w:p>
    <w:tbl>
      <w:tblPr>
        <w:tblStyle w:val="TableGrid"/>
        <w:name w:val="Tabelle185"/>
        <w:tabOrder w:val="0"/>
        <w:jc w:val="left"/>
        <w:tblInd w:w="0" w:type="dxa"/>
        <w:tblW w:w="7939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1032"/>
        <w:gridCol w:w="3255"/>
        <w:gridCol w:w="611"/>
        <w:gridCol w:w="572"/>
        <w:gridCol w:w="246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gridSpan w:val="5"/>
            <w:tmTcPr id="1615581110" protected="0"/>
          </w:tcPr>
          <w:p>
            <w:pPr/>
            <w:r>
              <w:t xml:space="preserve">Modell zur Ableitung der wirtschaftlichen Restnutzungsdauer für Wohngebäude unter </w:t>
            </w:r>
          </w:p>
          <w:p>
            <w:pPr/>
            <w:r>
              <w:t>Berücksichtigung von Modernisierungen (Sachwertrichtlinie Anl. 4)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gridSpan w:val="5"/>
            <w:tmTcPr id="1615581110" protected="0"/>
          </w:tcPr>
          <w:p>
            <w:pPr>
              <w: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für Ein- und Zweifamileinhäuser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650" w:type="pct"/>
            <w:tmTcPr id="161558111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Objekt:</w:t>
            </w:r>
          </w:p>
        </w:tc>
        <w:tc>
          <w:tcPr>
            <w:tcW w:w="2050" w:type="pct"/>
            <w:tmTcPr id="161558111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50933 Köln,   </w:t>
            </w:r>
          </w:p>
        </w:tc>
        <w:tc>
          <w:tcPr>
            <w:tcW w:w="2300" w:type="pct"/>
            <w:gridSpan w:val="3"/>
            <w:tmTcPr id="161558111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Satz: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vMerge w:val="restart"/>
            <w:vAlign w:val="center"/>
            <w:tmTcPr id="1615581110" protected="0"/>
          </w:tcPr>
          <w:p>
            <w:pPr>
              <w: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Modernisierungselemente</w:t>
            </w:r>
          </w:p>
        </w:tc>
        <w:tc>
          <w:tcPr>
            <w:tcW w:w="745" w:type="pct"/>
            <w:gridSpan w:val="2"/>
            <w:tcBorders>
              <w:top w:val="single" w:sz="16" w:space="0" w:color="000000" tmln="40, 20, 20, 0, 0"/>
              <w:left w:val="single" w:sz="16" w:space="0" w:color="000000" tmln="4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Punkte</w:t>
            </w:r>
          </w:p>
        </w:tc>
        <w:tc>
          <w:tcPr>
            <w:tcW w:w="1555" w:type="pct"/>
            <w:vMerge w:val="restart"/>
            <w:vAlign w:val="center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Komentar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vMerge/>
            <w:vAlign w:val="center"/>
            <w:tmTcPr id="1615581110" protected="0"/>
          </w:tcPr>
          <w:p>
            <w:pPr>
              <w:spacing w:line="240" w:lineRule="auto"/>
            </w:pP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16" w:space="0" w:color="000000" tmln="4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16" w:space="0" w:color="000000" tmln="4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tats.</w:t>
            </w:r>
          </w:p>
        </w:tc>
        <w:tc>
          <w:tcPr>
            <w:tcW w:w="1555" w:type="pct"/>
            <w:vMerge/>
            <w:vAlign w:val="center"/>
            <w:tmTcPr id="1615581110" protected="0"/>
          </w:tcPr>
          <w:p>
            <w:pPr>
              <w:spacing w:line="240" w:lineRule="auto"/>
            </w:pP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Dacherneuerung inkl. Verbesserung der Wärmedämmung</w:t>
            </w:r>
          </w:p>
        </w:tc>
        <w:tc>
          <w:tcPr>
            <w:tcW w:w="385" w:type="pct"/>
            <w:tcBorders>
              <w:top w:val="nil" w:sz="0" w:space="0" w:color="000000" tmln="2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0" w:type="pct"/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/>
            <w:r/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Modernisierung der Fenster und Aussentüren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Wärmedämmverglasung 1989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Modernisierung der Leitungssysteme </w:t>
            </w:r>
          </w:p>
          <w:p>
            <w:pPr>
              <w: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(Strom, Gas, Wasser, Abwasser)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Modernisierung der Heizungsanlage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neue Therme, 2010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Wärmedämmung der Außenwände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Modernisierung von Bädern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barrierefreies Bad, 2010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Modernisierung des Innenausbaus, </w:t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z.B. Decken, Fußböden, Treppen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Bodenbeläge, 2013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Wesentliche Verbesserung der Grundrissgestaltung</w:t>
            </w:r>
          </w:p>
        </w:tc>
        <w:tc>
          <w:tcPr>
            <w:tcW w:w="385" w:type="pct"/>
            <w:tcBorders>
              <w:top w:val="single" w:sz="4" w:space="0" w:color="000000" tmln="10, 20, 20, 0, 0"/>
              <w:left w:val="single" w:sz="16" w:space="0" w:color="000000" tmln="40, 20, 20, 0, 0"/>
              <w:bottom w:val="nil" w:sz="0" w:space="0" w:color="000000" tmln="2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" w:type="pct"/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cBorders>
              <w:top w:val="single" w:sz="16" w:space="0" w:color="000000" tmln="40, 20, 20, 0, 0"/>
            </w:tcBorders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</w:t>
            </w:r>
          </w:p>
        </w:tc>
        <w:tc>
          <w:tcPr>
            <w:tcW w:w="385" w:type="pct"/>
            <w:tcBorders>
              <w:top w:val="single" w:sz="16" w:space="0" w:color="000000" tmln="40, 20, 20, 0, 0"/>
              <w:left w:val="single" w:sz="16" w:space="0" w:color="000000" tmln="40, 20, 20, 0, 0"/>
              <w:bottom w:val="single" w:sz="16" w:space="0" w:color="000000" tmln="40, 20, 20, 0, 0"/>
              <w:right w:val="single" w:sz="4" w:space="0" w:color="000000" tmln="1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60" w:type="pct"/>
            <w:tcBorders>
              <w:top w:val="single" w:sz="16" w:space="0" w:color="000000" tmln="40, 20, 20, 0, 0"/>
              <w:left w:val="single" w:sz="4" w:space="0" w:color="000000" tmln="10, 20, 20, 0, 0"/>
              <w:bottom w:val="single" w:sz="16" w:space="0" w:color="000000" tmln="40, 20, 20, 0, 0"/>
              <w:right w:val="single" w:sz="16" w:space="0" w:color="000000" tmln="40, 20, 20, 0, 0"/>
            </w:tcBorders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  <w:instrText xml:space="preserve">= SUM(#C5;#C13) \# "#.##0,xxxxxxxxxxxxxxxxxxxx" </w:instrText>
              <w:fldChar w:fldCharType="separate"/>
              <w:t>7</w:t>
              <w:fldChar w:fldCharType="end"/>
            </w:r>
          </w:p>
        </w:tc>
        <w:tc>
          <w:tcPr>
            <w:tcW w:w="1555" w:type="pct"/>
            <w:tcBorders>
              <w:top w:val="single" w:sz="16" w:space="0" w:color="000000" tmln="40, 20, 20, 0, 0"/>
            </w:tcBorders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700" w:type="pct"/>
            <w:gridSpan w:val="2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85" w:type="pct"/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60" w:type="pct"/>
            <w:tmTcPr id="1615581110" protected="0"/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5" w:type="pct"/>
            <w:tmTcPr id="1615581110" protected="0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gridSpan w:val="5"/>
            <w:tmTcPr id="1615581110" protected="0"/>
          </w:tcPr>
          <w:p>
            <w:pPr>
              <w:spacing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Liegen die Maßnahmen weiter zurück, ist zu prüfen, ob nicht ein geringerer als der maximale Tabellenwert anzusetzen ist.</w:t>
            </w:r>
          </w:p>
          <w:p>
            <w:pPr>
              <w:spacing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Sofern nicht modernisierte Bauelemente noch zeitgemäßen Ansprüchen genügen, sind entsprechende Punkte zu vergeben.</w:t>
            </w:r>
          </w:p>
        </w:tc>
      </w:tr>
    </w:tbl>
    <w:p>
      <w:pPr>
        <w:pStyle w:val="para16"/>
      </w:pPr>
      <w:r>
        <w:t xml:space="preserve">Tabelle </w:t>
      </w:r>
      <w:r>
        <w:fldChar w:fldCharType="begin"/>
        <w:instrText xml:space="preserve"> SEQ "Tabelle" \* Arabic </w:instrText>
        <w:fldChar w:fldCharType="separate"/>
        <w:t>2</w:t>
        <w:fldChar w:fldCharType="end"/>
      </w:r>
      <w:r>
        <w:t>: Modell zur Ableitung der wirtschaftlichen Restnutzungsdauer</w:t>
      </w:r>
    </w:p>
    <w:p>
      <w:pPr>
        <w:spacing w:before="200"/>
        <w:jc w:val="left"/>
      </w:pPr>
      <w:r>
        <w:t>Entsprechend der vorstehenden Vergabe von Modernisierungspunkten lässt sich nun aus der Gesamtpunktzahl der Modernisierungsgrad der Wohnung ableiten.</w:t>
      </w:r>
    </w:p>
    <w:tbl>
      <w:tblPr>
        <w:tblStyle w:val="TableGrid"/>
        <w:name w:val="Tabelle184"/>
        <w:tabOrder w:val="0"/>
        <w:jc w:val="left"/>
        <w:tblInd w:w="0" w:type="dxa"/>
        <w:tblW w:w="7931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5224"/>
        <w:gridCol w:w="1429"/>
        <w:gridCol w:w="1278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/>
            <w:r>
              <w:t>Mdernisierungsgrad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Punkte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/>
            <w:r>
              <w:t>nicht modernisiert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0 - 1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/>
            <w:r>
              <w:t>kleine Modernisierung im Rahmen der Instandhaltung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2 - 5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rPr>
                <w:highlight w:val="yellow"/>
              </w:rPr>
            </w:pPr>
            <w:r>
              <w:rPr>
                <w:highlight w:val="yellow"/>
              </w:rPr>
              <w:t>mittlerer Modernisierungsgrad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6 - 10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/>
            <w:r>
              <w:t>überwiegend modernisiert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11 - 17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29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/>
            <w:r>
              <w:t>umfassend modernisiert</w:t>
            </w:r>
          </w:p>
        </w:tc>
        <w:tc>
          <w:tcPr>
            <w:tcW w:w="900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center"/>
            </w:pPr>
            <w:r>
              <w:t>18 - 20</w:t>
            </w:r>
          </w:p>
        </w:tc>
        <w:tc>
          <w:tcPr>
            <w:tcW w:w="805" w:type="pct"/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0</w:t>
            </w:r>
          </w:p>
        </w:tc>
      </w:tr>
    </w:tbl>
    <w:p>
      <w:pPr>
        <w:pStyle w:val="para16"/>
      </w:pPr>
      <w:r>
        <w:t xml:space="preserve">Tabelle </w:t>
      </w:r>
      <w:r>
        <w:fldChar w:fldCharType="begin"/>
        <w:instrText xml:space="preserve"> SEQ "Tabelle" \* Arabic </w:instrText>
        <w:fldChar w:fldCharType="separate"/>
        <w:t>3</w:t>
        <w:fldChar w:fldCharType="end"/>
      </w:r>
      <w:r>
        <w:t>: Modernisierungsgrad</w:t>
      </w:r>
    </w:p>
    <w:p>
      <w:pPr>
        <w:spacing/>
        <w:jc w:val="left"/>
      </w:pPr>
      <w:r/>
    </w:p>
    <w:p>
      <w:pPr>
        <w:pStyle w:val="para8"/>
        <w:numPr>
          <w:ilvl w:val="2"/>
          <w:numId w:val="1"/>
        </w:numPr>
      </w:pPr>
      <w:r>
        <w:t>Modifizierte Restnutzungsdauer bzw. fiktives Baujahr</w:t>
      </w:r>
    </w:p>
    <w:tbl>
      <w:tblPr>
        <w:tblStyle w:val="TableGrid"/>
        <w:name w:val="Tabelle183"/>
        <w:tabOrder w:val="0"/>
        <w:jc w:val="left"/>
        <w:tblInd w:w="0" w:type="dxa"/>
        <w:tblW w:w="7940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3970"/>
        <w:gridCol w:w="397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Gebäudetyp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Mehrfamilienhaus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Wertermitlungsstichtag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2020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Baujahr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1959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Gesamtnutzungsdauer nach Sachwertrichtlinie, Anlage 3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80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Gebäudealter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#B2-#B3 \# "#.##0,xxxxxxxxxxxxxxxxxxxx" </w:instrText>
              <w:fldChar w:fldCharType="separate"/>
              <w:t>61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RND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#B4-#B5 \# "#.##0,xxxxxxxxxxxxxxxxxxxx" </w:instrText>
              <w:fldChar w:fldCharType="separate"/>
              <w:t>19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 xml:space="preserve">Modernisierungsgrad 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 xml:space="preserve">7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modifizierte Restnutzungsdauer nach Sachwertrichtlinie, Anlage 4 - Tab. 2.4 für ein Gebäudealter von 60 Jahren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bei 8 Punkten = 37 Jahre</w:t>
            </w:r>
          </w:p>
          <w:p>
            <w:pPr/>
            <w:r>
              <w:t>bei 4 Punkten = 27 Jahre</w:t>
            </w:r>
          </w:p>
          <w:p>
            <w:pPr/>
            <w:r>
              <w:t xml:space="preserve">bei 7 Punkten = </w:t>
            </w:r>
            <w:r>
              <w:fldChar w:fldCharType="begin"/>
              <w:instrText xml:space="preserve">= 27+ (37-27)/4*3 \# "0" </w:instrText>
              <w:fldChar w:fldCharType="separate"/>
              <w:t>35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rPr>
                <w:b/>
                <w:highlight w:val="yellow"/>
                <w:bCs/>
              </w:rPr>
            </w:pPr>
            <w:r>
              <w:rPr>
                <w:b/>
                <w:highlight w:val="yellow"/>
                <w:bCs/>
              </w:rPr>
              <w:t xml:space="preserve">modifizierte Restnutzungsdauer 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rPr>
                <w:b/>
                <w:highlight w:val="yellow"/>
                <w:bCs/>
              </w:rPr>
            </w:pPr>
            <w:r>
              <w:rPr>
                <w:b/>
                <w:highlight w:val="yellow"/>
                <w:bCs/>
              </w:rPr>
              <w:t>35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t>fiktives Baujahr</w:t>
            </w:r>
          </w:p>
        </w:tc>
        <w:tc>
          <w:tcPr>
            <w:tcW w:w="2500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2020+35-80 \# "#.##0,xxxxxxxxxxxxxxxxxxxx" </w:instrText>
              <w:fldChar w:fldCharType="separate"/>
              <w:t>1.975</w:t>
              <w:fldChar w:fldCharType="end"/>
            </w:r>
          </w:p>
        </w:tc>
      </w:tr>
    </w:tbl>
    <w:p>
      <w:pPr>
        <w:spacing/>
        <w:jc w:val="left"/>
      </w:pPr>
      <w:r/>
    </w:p>
    <w:tbl>
      <w:tblPr>
        <w:tblStyle w:val="TableGrid"/>
        <w:name w:val="RND_MOD"/>
        <w:tabOrder w:val="0"/>
        <w:jc w:val="left"/>
        <w:tblInd w:w="0" w:type="dxa"/>
        <w:tblW w:w="7939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7050"/>
        <w:gridCol w:w="88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40" w:type="pct"/>
            <w:vAlign w:val="center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Die hier anzusetzende modifizierte Restnutzungsdauer beträgt demnach</w:t>
            </w:r>
          </w:p>
        </w:tc>
        <w:tc>
          <w:tcPr>
            <w:tcW w:w="560" w:type="pct"/>
            <w:vAlign w:val="center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81110" protected="0"/>
          </w:tcPr>
          <w:p>
            <w:pPr>
              <w: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35 Jahre </w:t>
            </w:r>
          </w:p>
        </w:tc>
      </w:tr>
    </w:tbl>
    <w:p>
      <w:pPr>
        <w:spacing/>
        <w:jc w:val="left"/>
      </w:pPr>
      <w:r/>
    </w:p>
    <w:p>
      <w:pPr>
        <w:pStyle w:val="para7"/>
        <w:numPr>
          <w:ilvl w:val="1"/>
          <w:numId w:val="1"/>
        </w:numPr>
      </w:pPr>
      <w:bookmarkStart w:id="6" w:name="_TOC000058"/>
      <w:r>
        <w:t>Barwertfaktor:</w:t>
      </w:r>
      <w:bookmarkEnd w:id="6"/>
      <w:r/>
    </w:p>
    <w:p>
      <w:pPr>
        <w:spacing w:before="200"/>
        <w:jc w:val="left"/>
      </w:pPr>
      <w:r>
        <w:t>Der Barwertfaktor ist der Kapitalisierungsfaktor bei der Bestimmung des Gebäudeertragswertes in der Ertragswertrechnung. Er kann der  Anlage 1 „Barwertfaktoren für die Kapitalisierung“ der Immobilienwertermittlungsverordnung (ImmoWertV vom 19.05.2010) entnommen werden.</w:t>
      </w:r>
    </w:p>
    <w:p>
      <w:pPr>
        <w:spacing w:before="200"/>
        <w:jc w:val="left"/>
      </w:pPr>
      <w:r>
        <w:t>Der Barwertfaktor bestimmt sich nach der Formel:</w:t>
      </w:r>
    </w:p>
    <w:p>
      <w:pPr>
        <w:spacing/>
        <w:jc w:val="center"/>
      </w:pPr>
      <w:r>
        <w:rPr>
          <w:position w:val="-14" ssDist="-64"/>
        </w:rPr>
      </w:r>
      <w:r>
        <w:rPr>
          <w:noProof/>
          <w:position w:val="-28"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kt1" o:spid="_x0000_s1026" type="#_x0000_t75" style="width:135.00pt;height:35.00pt;z-index:251658241;mso-wrap-distance-left:0.00pt;mso-wrap-distance-top:0.00pt;mso-wrap-distance-right:0.00pt;mso-wrap-distance-bottom:0.00pt;mso-wrap-style:square" stroked="f" filled="f" v:ext="SMDATA_17_ts9LYBMAAAAlAAAANw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E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BqAAAAB6IAAAAAAAAAAAAAAAAAAAAAAAAAAAAAAAAAAAAAAAAAAAAAjAoAALwCAAAAAAAAAAAAAAAAAAAoAAAACAAAAAEAAAABAAAAMAAAABQAAAAAAAAAAAD//wAAAQAAAP//AAABAA==">
            <v:imagedata r:id="rId8" o:title="media/image1" chromakey="#f7fbf7"/>
          </v:shape>
          <o:OLEObject Type="Embed" ProgID="TextMaker Formeleditor 2" ShapeID="OLEObjekt1" DrawAspect="Content" ObjectID="_1" r:id="rId9"/>
        </w:object>
      </w:r>
      <w:r>
        <w:rPr>
          <w:position w:val="-14" ssDist="-64"/>
        </w:rPr>
      </w:r>
      <w:r/>
    </w:p>
    <w:p>
      <w:r>
        <w:t>Wobei:</w:t>
      </w:r>
    </w:p>
    <w:p>
      <w:pPr>
        <w:spacing/>
        <w:jc w:val="center"/>
      </w:pPr>
      <w:r>
        <w:rPr>
          <w:position w:val="-12" ssDist="-55"/>
        </w:rPr>
      </w:r>
      <w:r>
        <w:rPr>
          <w:noProof/>
          <w:position w:val="-24"/>
        </w:rPr>
        <w:object>
          <v:shape id="OLEObjekt2" o:spid="_x0000_s1027" type="#_x0000_t75" style="width:56.00pt;height:31.00pt;z-index:251658242;mso-wrap-distance-left:0.00pt;mso-wrap-distance-top:0.00pt;mso-wrap-distance-right:0.00pt;mso-wrap-distance-bottom:0.00pt;mso-wrap-style:square" stroked="f" filled="f" v:ext="SMDATA_17_ts9LYBMAAAAlAAAANw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E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BsAAAAB6IAAAAAAAAAAAAAAAAAAAAAAAAAAAAAAAAAAAAAAAAAAAAAYAQAAGwCAAAAAAAAAAAAAAAAAAAoAAAACAAAAAEAAAABAAAAMAAAABQAAAAAAAAAAAD//wAAAQAAAP//AAABAA==">
            <v:imagedata r:id="rId10" o:title="media/image2" chromakey="#f7fbf7"/>
          </v:shape>
          <o:OLEObject Type="Embed" ProgID="TextMaker Formeleditor 2" ShapeID="OLEObjekt2" DrawAspect="Content" ObjectID="_2" r:id="rId11"/>
        </w:object>
      </w:r>
      <w:r>
        <w:rPr>
          <w:position w:val="-12" ssDist="-55"/>
        </w:rPr>
      </w:r>
      <w:r/>
    </w:p>
    <w:p>
      <w:pPr>
        <w:spacing w:line="240" w:lineRule="auto"/>
      </w:pPr>
      <w:r>
        <w:t>p = Liegenschaftszinssatz nach Grundstücksmarktbericht</w:t>
      </w:r>
    </w:p>
    <w:p>
      <w:r>
        <w:t>n = Restnutzungsdauer</w:t>
      </w:r>
    </w:p>
    <w:p>
      <w:pPr>
        <w:spacing w:before="200"/>
      </w:pPr>
      <w:r>
        <w:t>Denn Barwertfaktor für das Bewertungsobjekt ermittle ich nach der vorstehenden Formel:</w:t>
      </w:r>
    </w:p>
    <w:tbl>
      <w:tblPr>
        <w:tblStyle w:val="TableNormal"/>
        <w:name w:val="Barwertfaktor"/>
        <w:tabOrder w:val="0"/>
        <w:jc w:val="left"/>
        <w:tblInd w:w="0" w:type="dxa"/>
        <w:tblW w:w="7940" w:type="dxa"/>
        <w:pPr>
          <w:spacing/>
          <w:jc w:val="left"/>
        </w:pPr>
        <w:tblLook w:val="0600" w:firstRow="0" w:lastRow="0" w:firstColumn="0" w:lastColumn="0" w:noHBand="1" w:noVBand="1"/>
      </w:tblPr>
      <w:tblGrid>
        <w:gridCol w:w="3970"/>
        <w:gridCol w:w="397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Ausgangswerte:</w:t>
            </w:r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Liegenschaftszinssatz</w:t>
            </w:r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>
              <w:fldChar w:fldCharType="begin"/>
              <w:instrText xml:space="preserve">= LZ.#B1 \# "0,0" </w:instrText>
              <w:fldChar w:fldCharType="separate"/>
              <w:t>1,7</w:t>
              <w:fldChar w:fldCharType="end"/>
            </w:r>
            <w:r>
              <w:t xml:space="preserve"> 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Restnutzungsdauer</w:t>
            </w:r>
          </w:p>
          <w:p>
            <w:pPr>
              <w:spacing w:line="240" w:lineRule="auto"/>
              <w:jc w:val="left"/>
            </w:pPr>
            <w:r/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RND_MOD.#B1 \# "0" </w:instrText>
              <w:fldChar w:fldCharType="separate"/>
              <w:t>35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q= 1+(</w:t>
            </w:r>
            <w:r>
              <w:fldChar w:fldCharType="begin"/>
              <w:instrText xml:space="preserve">= #B2 \# "#.##0,00" </w:instrText>
              <w:fldChar w:fldCharType="separate"/>
              <w:t>1,70</w:t>
              <w:fldChar w:fldCharType="end"/>
            </w:r>
            <w:r>
              <w:t>/100)</w:t>
            </w:r>
          </w:p>
          <w:p>
            <w:pPr>
              <w:spacing w:line="240" w:lineRule="auto"/>
              <w:jc w:val="left"/>
            </w:pPr>
            <w:r/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>
              <w:fldChar w:fldCharType="begin"/>
              <w:instrText xml:space="preserve">= 1+(#B2/100) \# "#.##0,0000" </w:instrText>
              <w:fldChar w:fldCharType="separate"/>
              <w:t>1,0170</w:t>
              <w:fldChar w:fldCharType="end"/>
            </w:r>
            <w:r>
              <w:t xml:space="preserve"> 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Barwertfaktor</w:t>
            </w:r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left"/>
            </w:pPr>
            <w:r>
              <w:t>(</w:t>
            </w:r>
            <w:r>
              <w:fldChar w:fldCharType="begin"/>
              <w:instrText xml:space="preserve">= #B4 \# "#.##0,0000" </w:instrText>
              <w:fldChar w:fldCharType="separate"/>
              <w:t>1,0170</w:t>
              <w:fldChar w:fldCharType="end"/>
            </w:r>
            <w:r>
              <w:rPr>
                <w:vertAlign w:val="superscript" ssSize="66" ssDist="15"/>
              </w:rPr>
            </w:r>
            <w:r>
              <w:rPr>
                <w:vertAlign w:val="superscript" ssSize="66" ssDist="15"/>
              </w:rPr>
              <w:fldChar w:fldCharType="begin"/>
              <w:instrText xml:space="preserve">= #B3 \# "#.##0,xxxxxxxxxxxxxxxxxxxx" </w:instrText>
              <w:fldChar w:fldCharType="separate"/>
              <w:t>35</w:t>
              <w:fldChar w:fldCharType="end"/>
            </w:r>
            <w:r>
              <w:t xml:space="preserve"> - 1) / (</w:t>
            </w:r>
            <w:r>
              <w:fldChar w:fldCharType="begin"/>
              <w:instrText xml:space="preserve">= #B4 \# "#.##0,0000" </w:instrText>
              <w:fldChar w:fldCharType="separate"/>
              <w:t>1,0170</w:t>
              <w:fldChar w:fldCharType="end"/>
            </w:r>
            <w:r>
              <w:rPr>
                <w:vertAlign w:val="superscript" ssSize="66" ssDist="15"/>
              </w:rPr>
            </w:r>
            <w:r>
              <w:rPr>
                <w:vertAlign w:val="superscript" ssSize="66" ssDist="15"/>
              </w:rPr>
              <w:fldChar w:fldCharType="begin"/>
              <w:instrText xml:space="preserve">= #B3 \# "#.##0,xxxxxxxxxxxxxxxxxxxx" </w:instrText>
              <w:fldChar w:fldCharType="separate"/>
              <w:t>35</w:t>
              <w:fldChar w:fldCharType="end"/>
            </w:r>
            <w:r>
              <w:t xml:space="preserve"> x (</w:t>
            </w:r>
            <w:r>
              <w:fldChar w:fldCharType="begin"/>
              <w:instrText xml:space="preserve">= #B4 \# "#.##0,0000" </w:instrText>
              <w:fldChar w:fldCharType="separate"/>
              <w:t>1,0170</w:t>
              <w:fldChar w:fldCharType="end"/>
            </w:r>
            <w:r>
              <w:t>-1))</w:t>
            </w:r>
          </w:p>
        </w:tc>
        <w:tc>
          <w:tcPr>
            <w:tcW w:w="2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  <w:instrText xml:space="preserve">= (POW(#B4;#B3)-1)/(POW(#B4;#B3)*(#B4-1)) \# "#.##0,00" </w:instrText>
              <w:fldChar w:fldCharType="separate"/>
              <w:t>26,22</w:t>
              <w:fldChar w:fldCharType="end"/>
            </w:r>
          </w:p>
        </w:tc>
      </w:tr>
    </w:tbl>
    <w:p>
      <w:pPr>
        <w:pStyle w:val="para6"/>
        <w:numPr>
          <w:ilvl w:val="0"/>
          <w:numId w:val="1"/>
        </w:numPr>
      </w:pPr>
      <w:r>
        <w:br w:type="page"/>
      </w:r>
      <w:bookmarkStart w:id="7" w:name="_TOC000059"/>
      <w:r>
        <w:t>Ertragswertberechnung</w:t>
      </w:r>
      <w:bookmarkEnd w:id="7"/>
      <w:r/>
    </w:p>
    <w:p>
      <w:pPr>
        <w:pStyle w:val="para7"/>
        <w:numPr>
          <w:ilvl w:val="1"/>
          <w:numId w:val="1"/>
        </w:numPr>
      </w:pPr>
      <w:r>
        <w:t>Jährlicher Reinertrag der baulichen Anlage</w:t>
      </w:r>
    </w:p>
    <w:tbl>
      <w:tblPr>
        <w:tblStyle w:val="TableNormal"/>
        <w:name w:val="Tabelle_Ertragswert"/>
        <w:tabOrder w:val="0"/>
        <w:jc w:val="left"/>
        <w:tblInd w:w="0" w:type="dxa"/>
        <w:tblW w:w="7835" w:type="dxa"/>
        <w:pPr>
          <w:spacing/>
          <w:jc w:val="left"/>
        </w:pPr>
        <w:tblLook w:val="0600" w:firstRow="0" w:lastRow="0" w:firstColumn="0" w:lastColumn="0" w:noHBand="1" w:noVBand="1"/>
      </w:tblPr>
      <w:tblGrid>
        <w:gridCol w:w="1167"/>
        <w:gridCol w:w="572"/>
        <w:gridCol w:w="492"/>
        <w:gridCol w:w="738"/>
        <w:gridCol w:w="493"/>
        <w:gridCol w:w="364"/>
        <w:gridCol w:w="1"/>
        <w:gridCol w:w="143"/>
        <w:gridCol w:w="1618"/>
        <w:gridCol w:w="1"/>
        <w:gridCol w:w="24"/>
        <w:gridCol w:w="64"/>
        <w:gridCol w:w="143"/>
        <w:gridCol w:w="57"/>
        <w:gridCol w:w="1"/>
        <w:gridCol w:w="195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35" w:type="pct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</w:pPr>
            <w:r>
              <w:t>Nutzungseinheit</w:t>
            </w:r>
          </w:p>
        </w:tc>
        <w:tc>
          <w:tcPr>
            <w:tcW w:w="670" w:type="pct"/>
            <w:gridSpan w:val="2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</w:pPr>
            <w:r>
              <w:t>Lage</w:t>
            </w:r>
          </w:p>
        </w:tc>
        <w:tc>
          <w:tcPr>
            <w:tcW w:w="1095" w:type="pct"/>
            <w:gridSpan w:val="5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</w:pPr>
            <w:r>
              <w:t>Wohnfläche</w:t>
            </w:r>
          </w:p>
        </w:tc>
        <w:tc>
          <w:tcPr>
            <w:tcW w:w="1850" w:type="dxa"/>
            <w:gridSpan w:val="5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>
              <w:t>Netto-Kaltmiete</w:t>
            </w:r>
          </w:p>
        </w:tc>
        <w:tc>
          <w:tcPr>
            <w:tcW w:w="2015" w:type="dxa"/>
            <w:gridSpan w:val="3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jc w:val="right"/>
            </w:pPr>
            <w:r>
              <w:t>Monatsmiete</w:t>
              <w:br w:type="textWrapping"/>
              <w:t>netto kalt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3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 xml:space="preserve">ETW </w:t>
            </w:r>
          </w:p>
        </w:tc>
        <w:tc>
          <w:tcPr>
            <w:tcW w:w="67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EG rechts</w:t>
            </w:r>
          </w:p>
        </w:tc>
        <w:tc>
          <w:tcPr>
            <w:tcW w:w="775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67,79</w:t>
            </w:r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m²</w:t>
            </w:r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10,20</w:t>
            </w:r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>€</w:t>
            </w:r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#C2*#E2 \# "#.##0,00" </w:instrText>
              <w:fldChar w:fldCharType="separate"/>
              <w:t>691,46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73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67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775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Zwischensumme:</w:t>
            </w:r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850" w:type="dxa"/>
            <w:gridSpan w:val="5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015" w:type="dxa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#G2+#G3 \# "#.##0,xxxxxxxxxxxxxxxxxxxx" </w:instrText>
              <w:fldChar w:fldCharType="separate"/>
              <w:t>691,46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sonstige Einnahmen</w:t>
            </w:r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t xml:space="preserve">0,00 €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monatliche Einnahmen:</w:t>
            </w:r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#D4+#D5 \# "0,00" </w:instrText>
              <w:fldChar w:fldCharType="separate"/>
              <w:t>691,46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2180" w:type="pct"/>
            <w:gridSpan w:val="5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95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Jahresrohertrag</w:t>
            </w:r>
          </w:p>
        </w:tc>
        <w:tc>
          <w:tcPr>
            <w:tcW w:w="108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#E6 \# "0,00" </w:instrText>
              <w:fldChar w:fldCharType="separate"/>
              <w:t>691,46</w:t>
              <w:fldChar w:fldCharType="end"/>
            </w:r>
            <w:r>
              <w:t xml:space="preserve"> x 12 =</w:t>
            </w:r>
          </w:p>
        </w:tc>
        <w:tc>
          <w:tcPr>
            <w:tcW w:w="32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#E6*12 \# "#.##0,00" </w:instrText>
              <w:fldChar w:fldCharType="separate"/>
              <w:t>8.297,52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283" w:hRule="exact"/>
        </w:trPr>
        <w:tc>
          <w:tcPr>
            <w:tcW w:w="2500" w:type="pct"/>
            <w:gridSpan w:val="8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035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35" w:type="pct"/>
            <w:gridSpan w:val="11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abzgl. nicht umlagefähige Bewirtschaftungskosten (BWK)</w:t>
            </w:r>
          </w:p>
        </w:tc>
        <w:tc>
          <w:tcPr>
            <w:tcW w:w="265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1870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54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111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88" w:type="dxa"/>
            <w:gridSpan w:val="6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7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Bewirtschaftungskosten gem. Tabelle Bewirtschaftungskosten</w:t>
              <w:br w:type="textWrapping"/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BEWIRTSCHAFTUNGSKOSTEN.#B4*(-1) \# "#.##0,00" </w:instrText>
              <w:fldChar w:fldCharType="separate"/>
              <w:t>-1.534,17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abzgl. Verzinsungsbetrag des Bodenwertes</w:t>
            </w:r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Liegenschaftszinssatz: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LZ.#B1 </w:instrText>
              <w:fldChar w:fldCharType="separate"/>
              <w:t>1,7</w:t>
              <w:fldChar w:fldCharType="end"/>
            </w:r>
            <w:r>
              <w:t>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Bodenwert ebf Bewertungsobjekt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pStyle w:val="para11"/>
              <w:spacing/>
              <w:jc w:val="right"/>
            </w:pPr>
            <w:r>
              <w:fldChar w:fldCharType="begin"/>
              <w:instrText xml:space="preserve">= 136501,77 \# "#.##0,00" </w:instrText>
              <w:fldChar w:fldCharType="separate"/>
              <w:t>136.501,77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fldChar w:fldCharType="begin"/>
              <w:instrText xml:space="preserve">= #B14 \# "#.##0,00" </w:instrText>
              <w:fldChar w:fldCharType="separate"/>
              <w:t>1,70</w:t>
              <w:fldChar w:fldCharType="end"/>
            </w:r>
            <w:r>
              <w:t xml:space="preserve"> % von </w:t>
            </w:r>
            <w:r>
              <w:fldChar w:fldCharType="begin"/>
              <w:instrText xml:space="preserve">= #B15 \# "#.##0,00" </w:instrText>
              <w:fldChar w:fldCharType="separate"/>
              <w:t>136.501,77</w:t>
              <w:fldChar w:fldCharType="end"/>
            </w:r>
            <w:r>
              <w:t xml:space="preserve"> =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#B15*#B14/100*(-1) \# "#.##0,00" </w:instrText>
              <w:fldChar w:fldCharType="separate"/>
              <w:t>-2.320,53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Reinertrag der baulichen Anlage</w:t>
            </w:r>
          </w:p>
          <w:p>
            <w:pPr/>
            <w:r>
              <w:fldChar w:fldCharType="begin"/>
              <w:instrText xml:space="preserve">= #F8 \# "#.##0,00" </w:instrText>
              <w:fldChar w:fldCharType="separate"/>
              <w:t>8.297,52</w:t>
              <w:fldChar w:fldCharType="end"/>
            </w:r>
            <w:r>
              <w:t xml:space="preserve"> </w:t>
            </w:r>
            <w:r>
              <w:fldChar w:fldCharType="begin"/>
              <w:instrText xml:space="preserve">= #B12 \# "#.##0,00" </w:instrText>
              <w:fldChar w:fldCharType="separate"/>
              <w:t>-1.534,17</w:t>
              <w:fldChar w:fldCharType="end"/>
            </w:r>
            <w:r>
              <w:t xml:space="preserve"> </w:t>
            </w:r>
            <w:r>
              <w:fldChar w:fldCharType="begin"/>
              <w:instrText xml:space="preserve">= #B16 \# "#.##0,00" </w:instrText>
              <w:fldChar w:fldCharType="separate"/>
              <w:t>-2.320,53</w:t>
              <w:fldChar w:fldCharType="end"/>
            </w:r>
            <w:r>
              <w:t xml:space="preserve"> =</w:t>
            </w:r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vAlign w:val="bottom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  <w:rPr>
                <w:u w:color="auto" w:val="double"/>
              </w:rPr>
            </w:pPr>
            <w:r>
              <w:rPr>
                <w:u w:color="auto" w:val="double"/>
              </w:rPr>
              <w:fldChar w:fldCharType="begin"/>
              <w:instrText xml:space="preserve">= #F8+#B12+#B16 \# "#.##0,00" </w:instrText>
              <w:fldChar w:fldCharType="separate"/>
              <w:t>4.442,82</w:t>
              <w:fldChar w:fldCharType="end"/>
            </w:r>
            <w:r>
              <w:rPr>
                <w:u w:color="auto" w:val="double"/>
              </w:rPr>
              <w:t xml:space="preserve"> €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  <w:p>
            <w:pPr>
              <w:pStyle w:val="para7"/>
              <w:numPr>
                <w:ilvl w:val="1"/>
                <w:numId w:val="1"/>
              </w:numPr>
            </w:pPr>
            <w:r>
              <w:t>Ertragswert der baulichen Anlage:</w:t>
            </w:r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870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Liegenschaftszinssatz:</w:t>
            </w:r>
          </w:p>
        </w:tc>
        <w:tc>
          <w:tcPr>
            <w:tcW w:w="1650" w:type="pct"/>
            <w:gridSpan w:val="6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#B14 \# "#.##0,xxxxxxxxxxxxxxxxxxxx" </w:instrText>
              <w:fldChar w:fldCharType="separate"/>
              <w:t>1,7</w:t>
              <w:fldChar w:fldCharType="end"/>
            </w:r>
            <w:r>
              <w:t xml:space="preserve"> 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870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Restnutzungsdauer</w:t>
            </w:r>
          </w:p>
        </w:tc>
        <w:tc>
          <w:tcPr>
            <w:tcW w:w="1650" w:type="pct"/>
            <w:gridSpan w:val="6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RND_MOD.#B1 </w:instrText>
              <w:fldChar w:fldCharType="separate"/>
              <w:t>35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410" w:type="pct"/>
            <w:gridSpan w:val="7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Daraus resultierender Barwertfaktor</w:t>
            </w:r>
          </w:p>
        </w:tc>
        <w:tc>
          <w:tcPr>
            <w:tcW w:w="1110" w:type="pct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BARWERTFAKTOR.#B6 \# "#.##0,00" </w:instrText>
              <w:fldChar w:fldCharType="separate"/>
              <w:t>26,22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Ertragswert der baulichen Anlage</w:t>
            </w:r>
          </w:p>
          <w:p>
            <w:pPr/>
            <w:r>
              <w:fldChar w:fldCharType="begin"/>
              <w:instrText xml:space="preserve">= #C17 \# "#.##0,00" </w:instrText>
              <w:fldChar w:fldCharType="separate"/>
              <w:t>4.442,82</w:t>
              <w:fldChar w:fldCharType="end"/>
            </w:r>
            <w:r>
              <w:t xml:space="preserve"> x </w:t>
            </w:r>
            <w:r>
              <w:fldChar w:fldCharType="begin"/>
              <w:instrText xml:space="preserve">= #D21 \# "#.##0,xxxxxxxxxxxxxxxxxxxx" </w:instrText>
              <w:fldChar w:fldCharType="separate"/>
              <w:t>26,22</w:t>
              <w:fldChar w:fldCharType="end"/>
            </w:r>
            <w:r>
              <w:t xml:space="preserve"> =</w:t>
            </w:r>
          </w:p>
        </w:tc>
        <w:tc>
          <w:tcPr>
            <w:tcW w:w="28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  <w:tc>
          <w:tcPr>
            <w:tcW w:w="1958" w:type="dxa"/>
            <w:gridSpan w:val="2"/>
            <w:vAlign w:val="bottom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#C17*#D21 \# "#.##0,00" </w:instrText>
              <w:fldChar w:fldCharType="separate"/>
              <w:t>116.490,74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zzgl. Bodenwert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#B15 \# "#.##0,00" </w:instrText>
              <w:fldChar w:fldCharType="separate"/>
              <w:t>136.501,77</w:t>
              <w:fldChar w:fldCharType="end"/>
            </w:r>
            <w:r>
              <w:t>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Vorläufiger Ertragswert der baulichen Anlage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  <w:rPr>
                <w:u w:color="000000" w:val="double"/>
              </w:rPr>
            </w:pPr>
            <w:r>
              <w:rPr>
                <w:u w:color="000000" w:val="double"/>
              </w:rPr>
              <w:fldChar w:fldCharType="begin"/>
              <w:instrText xml:space="preserve">= #C22+#B23 \# "#.##0,00" </w:instrText>
              <w:fldChar w:fldCharType="separate"/>
              <w:t>252.992,51</w:t>
              <w:fldChar w:fldCharType="end"/>
            </w:r>
            <w:r>
              <w:rPr>
                <w:u w:color="000000" w:val="double"/>
              </w:rP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pStyle w:val="para7"/>
              <w:numPr>
                <w:ilvl w:val="1"/>
                <w:numId w:val="1"/>
              </w:numPr>
            </w:pPr>
            <w:r>
              <w:t>besondere objektspezifische Grundstücksmerkmale:</w:t>
            </w:r>
          </w:p>
          <w:p>
            <w:pPr/>
            <w:r>
              <w:t>Für das Bewertungsobjekt sind keine BOG´s zu berücksichtigen</w:t>
            </w:r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  <w:p>
            <w:pPr>
              <w:spacing/>
              <w:jc w:val="right"/>
            </w:pPr>
            <w:r>
              <w:t>0,00 €</w:t>
            </w:r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pStyle w:val="para11"/>
              <w:spacing w:line="240" w:lineRule="auto"/>
              <w:jc w:val="left"/>
              <w:tabs defTabSz="350"/>
            </w:pPr>
            <w:r/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pStyle w:val="para11"/>
              <w:spacing w:line="240" w:lineRule="auto"/>
              <w:jc w:val="right"/>
              <w:tabs defTabSz="350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77" w:type="dxa"/>
            <w:gridSpan w:val="1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/>
          </w:p>
        </w:tc>
        <w:tc>
          <w:tcPr>
            <w:tcW w:w="2158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7" w:type="dxa"/>
            <w:gridSpan w:val="12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/>
            <w:r>
              <w:t>Ertragswert zum Bewertungsstichtag 06.08.2020</w:t>
            </w:r>
          </w:p>
        </w:tc>
        <w:tc>
          <w:tcPr>
            <w:tcW w:w="2158" w:type="dxa"/>
            <w:gridSpan w:val="4"/>
            <w:shd w:val="solid" w:color="BCE2FA" tmshd="1677721880, 0, 16442044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5581110" protected="0"/>
          </w:tcPr>
          <w:p>
            <w:pPr>
              <w:spacing/>
              <w:jc w:val="right"/>
            </w:pPr>
            <w:r>
              <w:fldChar w:fldCharType="begin"/>
              <w:instrText xml:space="preserve">= SUM(#C25;#B34) \# "#.##0,00" </w:instrText>
              <w:fldChar w:fldCharType="separate"/>
              <w:t>252.992,51</w:t>
              <w:fldChar w:fldCharType="end"/>
            </w:r>
            <w:r>
              <w:t xml:space="preserve"> €</w:t>
            </w:r>
          </w:p>
        </w:tc>
      </w:tr>
    </w:tbl>
    <w:p>
      <w:pPr>
        <w:pStyle w:val="para6"/>
        <w:numPr>
          <w:ilvl w:val="0"/>
          <w:numId w:val="1"/>
        </w:numPr>
      </w:pPr>
      <w:r>
        <w:t>Plausibilitätsprüfung des Ertragswertes:</w:t>
      </w:r>
    </w:p>
    <w:p>
      <w:pPr>
        <w:spacing w:before="200"/>
        <w:jc w:val="left"/>
      </w:pPr>
      <w:r>
        <w:t>Der vorstehende Ertragswert entspricht einem Preis pro m² Wohnfläche in Höhe von</w:t>
      </w:r>
    </w:p>
    <w:p>
      <w:pPr>
        <w:spacing/>
        <w:jc w:val="center"/>
      </w:pPr>
      <w:r>
        <w:fldChar w:fldCharType="begin"/>
        <w:instrText xml:space="preserve">= TABELLE_ERTRAGSWERT.#B31 \# "#.##0,00" </w:instrText>
        <w:fldChar w:fldCharType="separate"/>
        <w:t>252.992,51</w:t>
        <w:fldChar w:fldCharType="end"/>
      </w:r>
      <w:r>
        <w:t xml:space="preserve"> € / </w:t>
      </w:r>
      <w:r>
        <w:fldChar w:fldCharType="begin"/>
        <w:instrText xml:space="preserve">= TABELLE_ERTRAGSWERT.#C2 \# "#.##0,xxxxxxxxxxxxxxxxxxxx" </w:instrText>
        <w:fldChar w:fldCharType="separate"/>
        <w:t>67,79</w:t>
        <w:fldChar w:fldCharType="end"/>
      </w:r>
      <w:r>
        <w:t xml:space="preserve"> m² = </w:t>
      </w:r>
      <w:r>
        <w:fldChar w:fldCharType="begin"/>
        <w:instrText xml:space="preserve">= TABELLE_ERTRAGSWERT.#B31/TABELLE_ERTRAGSWERT.#C2 \# "#.##0,00" </w:instrText>
        <w:fldChar w:fldCharType="separate"/>
        <w:t>3.732,00</w:t>
        <w:fldChar w:fldCharType="end"/>
      </w:r>
      <w:r>
        <w:t xml:space="preserve"> €/m²</w:t>
      </w:r>
    </w:p>
    <w:p>
      <w:pPr>
        <w:spacing w:before="120"/>
        <w:jc w:val="left"/>
      </w:pPr>
      <w:r>
        <w:t>Der Grundstücksmarktbericht weist einen durchschnittlichen m² Preis für vermietetes Wohnungseigentum von 2.972,00 €/m aus. Damit liegt der ermittelte Ertragswert zwar über dem Durchschnittspreis, jedoch innerhalb der Standardabweichung von +/- 1.019,00 Euro.</w:t>
      </w:r>
    </w:p>
    <w:p>
      <w:pPr>
        <w:spacing w:before="220"/>
        <w:jc w:val="left"/>
      </w:pPr>
      <w:r>
        <w:t>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12"/>
      <w:footerReference w:type="first" r:id="rId13"/>
      <w:type w:val="continuous"/>
      <w:pgSz w:h="16839" w:w="11907"/>
      <w:pgMar w:left="1417" w:top="907" w:right="2551" w:bottom="1134" w:header="0" w:footer="567"/>
      <w:paperSrc w:first="0" w:other="0" a="0" b="0"/>
      <w:pgNumType w:fmt="decimal"/>
      <w:titlePg/>
      <w:tmGutter w:val="1"/>
      <w:mirrorMargins w:val="0"/>
      <w:tmSection w:h="-1">
        <w:tmFooter w:id="0" w:h="0" edge="567" text="0">
          <w:shd w:val="none"/>
        </w:tmFooter>
        <w:tmFooter w:id="2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tabs defTabSz="708">
        <w:tab w:val="clear" w:pos="3827" w:leader="none"/>
        <w:tab w:val="right" w:pos="7655" w:leader="none"/>
      </w:tabs>
    </w:pPr>
    <w:r>
      <w:fldChar w:fldCharType="begin"/>
      <w:instrText xml:space="preserve"> FILENAME </w:instrText>
      <w:fldChar w:fldCharType="separate"/>
      <w:t>Testdatei.tmdx</w:t>
      <w:fldChar w:fldCharType="end"/>
    </w:r>
    <w:r>
      <w:tab/>
      <w:t xml:space="preserve">Seite </w:t>
    </w:r>
    <w:r>
      <w:fldChar w:fldCharType="begin"/>
      <w:instrText xml:space="preserve"> PAGE \* Arabic </w:instrText>
      <w:fldChar w:fldCharType="separate"/>
      <w:t>6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tabs defTabSz="708">
        <w:tab w:val="clear" w:pos="3827" w:leader="none"/>
        <w:tab w:val="right" w:pos="7655" w:leader="none"/>
      </w:tabs>
    </w:pPr>
    <w:r>
      <w:fldChar w:fldCharType="begin"/>
      <w:instrText xml:space="preserve"> FILENAME </w:instrText>
      <w:fldChar w:fldCharType="separate"/>
      <w:t>Testdatei.tmdx</w:t>
      <w:fldChar w:fldCharType="end"/>
    </w:r>
    <w:r>
      <w:tab/>
      <w:t xml:space="preserve">Seite </w:t>
    </w:r>
    <w:r>
      <w:fldChar w:fldCharType="begin"/>
      <w:instrText xml:space="preserve"> PAGE \* Arabic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pStyle w:val="para6"/>
      <w:suff w:val="dxa"/>
      <w:lvlText w:val="%1."/>
      <w:lvlJc w:val="left"/>
      <w:addIndent w:val="0"/>
      <w:bPr>
        <w:type w:val="num"/>
        <w:numType w:val="1"/>
        <w:position w:dxa="360" w:dya="0"/>
      </w:bPr>
      <w:rPr>
        <w:u w:color="auto" w:val="none"/>
      </w:rPr>
    </w:lvl>
    <w:lvl w:ilvl="1">
      <w:start w:val="1"/>
      <w:numFmt w:val="decimal"/>
      <w:pStyle w:val="para7"/>
      <w:suff w:val="dxa"/>
      <w:lvlText w:val="%1.%2."/>
      <w:lvlJc w:val="left"/>
      <w:addIndent w:val="0"/>
      <w:bPr>
        <w:type w:val="num"/>
        <w:numType w:val="1"/>
        <w:position w:dxa="501" w:dya="0"/>
      </w:bPr>
      <w:rPr>
        <w:u w:color="auto" w:val="none"/>
      </w:rPr>
    </w:lvl>
    <w:lvl w:ilvl="2">
      <w:start w:val="1"/>
      <w:numFmt w:val="decimal"/>
      <w:pStyle w:val="para8"/>
      <w:suff w:val="dxa"/>
      <w:lvlText w:val="%1.%2.%3."/>
      <w:lvlJc w:val="left"/>
      <w:addIndent w:val="0"/>
      <w:bPr>
        <w:type w:val="num"/>
        <w:numType w:val="1"/>
        <w:position w:dxa="642" w:dya="0"/>
      </w:bPr>
      <w:rPr>
        <w:u w:color="auto" w:val="none"/>
      </w:rPr>
    </w:lvl>
    <w:lvl w:ilvl="3">
      <w:start w:val="1"/>
      <w:numFmt w:val="decimal"/>
      <w:pStyle w:val="para12"/>
      <w:suff w:val="dxa"/>
      <w:lvlText w:val="%1.%2.%3.%4."/>
      <w:lvlJc w:val="left"/>
      <w:addIndent w:val="0"/>
      <w:bPr>
        <w:type w:val="num"/>
        <w:numType w:val="1"/>
        <w:position w:dxa="783" w:dya="0"/>
      </w:bPr>
      <w:rPr>
        <w:u w:color="auto" w:val="none"/>
      </w:rPr>
    </w:lvl>
    <w:lvl w:ilvl="4">
      <w:start w:val="1"/>
      <w:numFmt w:val="decimal"/>
      <w:pStyle w:val="para18"/>
      <w:suff w:val="dxa"/>
      <w:lvlText w:val="%1.%2.%3.%4.%5."/>
      <w:lvlJc w:val="left"/>
      <w:addIndent w:val="0"/>
      <w:bPr>
        <w:type w:val="num"/>
        <w:numType w:val="1"/>
        <w:position w:dxa="924" w:dya="0"/>
      </w:bPr>
      <w:rPr>
        <w:u w:color="auto" w:val="none"/>
      </w:r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  <w:rPr>
        <w:u w:color="auto" w:val="none"/>
      </w:r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  <w:rPr>
        <w:u w:color="auto" w:val="none"/>
      </w:r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  <w:rPr>
        <w:u w:color="auto" w:val="none"/>
      </w:r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581110" w:val="1030" w:fileVer="342" w:fileVer64="64" w:fileVerOS="4"/>
  <w:zoom w:percent="144"/>
  <w:view w:val="print"/>
  <w:mailMerge>
    <w:mainDocumentType w:val="formLetters"/>
    <w:linkToQuery/>
    <w:dataType w:val="odbc"/>
    <w:connectString w:val="DSN=dBASE Files;DBQ=C:\Users\Roedder\Documents\SoftMaker;DefaultDir=C:\Users\Roedder\Documents\SoftMaker;FIL=dBase 5.0;MaxBufferSize=2048;PageTimeout=5;"/>
    <w:query w:val="SELECT * FROM &quot;Wertermittlung_MS&quot;"/>
    <w:dataSource r:id="rId1"/>
    <w:dataSourceType w:val="1" w:encoding="850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14638243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52"/>
      <w:tmLastPosIdx w:val="8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600" w:after="0"/>
    </w:pPr>
    <w:rPr>
      <w:rFonts w:ascii="Cambria" w:hAnsi="Cambria" w:eastAsia="Cambria" w:cs="Cambria"/>
      <w:bCs/>
      <w:color w:val="0000ff"/>
      <w:sz w:val="28"/>
      <w:szCs w:val="28"/>
    </w:rPr>
  </w:style>
  <w:style w:type="paragraph" w:styleId="para7" w:customStyle="1">
    <w:name w:val="Wert_2"/>
    <w:qFormat/>
    <w:basedOn w:val="para2"/>
    <w:next w:val="para0"/>
    <w:pPr>
      <w:numPr>
        <w:ilvl w:val="1"/>
        <w:numId w:val="1"/>
      </w:numPr>
      <w:ind w:left="500"/>
      <w:spacing w:before="360" w:after="0"/>
      <w:keepNext w:val="0"/>
      <w:keepLines w:val="0"/>
    </w:pPr>
    <w:rPr>
      <w:rFonts w:ascii="Calibri" w:hAnsi="Calibri" w:cs="Calibri"/>
      <w:b w:val="0"/>
      <w:color w:val="0000ff"/>
      <w:sz w:val="22"/>
      <w:szCs w:val="22"/>
    </w:rPr>
  </w:style>
  <w:style w:type="paragraph" w:styleId="para8" w:customStyle="1">
    <w:name w:val="Wert_3"/>
    <w:qFormat/>
    <w:basedOn w:val="para0"/>
    <w:pPr>
      <w:numPr>
        <w:ilvl w:val="2"/>
        <w:numId w:val="1"/>
      </w:numPr>
      <w:ind w:left="642"/>
      <w:spacing w:before="280"/>
      <w:outlineLvl w:val="2"/>
    </w:pPr>
    <w:rPr>
      <w:color w:val="0000ff"/>
    </w:rPr>
  </w:style>
  <w:style w:type="paragraph" w:styleId="para9">
    <w:name w:val="Footnote Text"/>
    <w:qFormat/>
    <w:basedOn w:val="para0"/>
    <w:pPr>
      <w:spacing w:line="240" w:lineRule="auto"/>
    </w:pPr>
    <w:rPr>
      <w:i/>
      <w:iCs/>
      <w:sz w:val="18"/>
      <w:szCs w:val="18"/>
    </w:rPr>
  </w:style>
  <w:style w:type="paragraph" w:styleId="para10">
    <w:name w:val="toc 3"/>
    <w:qFormat/>
    <w:basedOn w:val="para0"/>
    <w:next w:val="para0"/>
    <w:pPr>
      <w:ind w:left="566"/>
    </w:pPr>
  </w:style>
  <w:style w:type="paragraph" w:styleId="para11" w:customStyle="1">
    <w:name w:val="Tabelle_BFB"/>
    <w:qFormat/>
    <w:basedOn w:val="para0"/>
    <w:pPr>
      <w:spacing w:after="60"/>
    </w:pPr>
  </w:style>
  <w:style w:type="paragraph" w:styleId="para12" w:customStyle="1">
    <w:name w:val="Wert_4"/>
    <w:qFormat/>
    <w:basedOn w:val="para0"/>
    <w:next w:val="para0"/>
    <w:pPr>
      <w:numPr>
        <w:ilvl w:val="3"/>
        <w:numId w:val="1"/>
      </w:numPr>
      <w:ind w:left="794"/>
      <w:spacing w:before="140"/>
      <w:outlineLvl w:val="3"/>
    </w:pPr>
    <w:rPr>
      <w:color w:val="365f91"/>
    </w:rPr>
  </w:style>
  <w:style w:type="paragraph" w:styleId="para13">
    <w:name w:val="toc 4"/>
    <w:qFormat/>
    <w:basedOn w:val="para0"/>
    <w:next w:val="para0"/>
    <w:pPr>
      <w:ind w:left="849"/>
    </w:pPr>
  </w:style>
  <w:style w:type="paragraph" w:styleId="para14">
    <w:name w:val="Head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5">
    <w:name w:val="Foot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6">
    <w:name w:val="caption"/>
    <w:qFormat/>
    <w:basedOn w:val="para0"/>
    <w:next w:val="para0"/>
    <w:pPr>
      <w:spacing w:line="240" w:lineRule="auto"/>
    </w:pPr>
    <w:rPr>
      <w:b/>
      <w:bCs/>
      <w:sz w:val="20"/>
      <w:szCs w:val="20"/>
    </w:rPr>
  </w:style>
  <w:style w:type="paragraph" w:styleId="para17">
    <w:name w:val="Table of Figures"/>
    <w:qFormat/>
    <w:basedOn w:val="para0"/>
    <w:next w:val="para0"/>
    <w:pPr>
      <w:tabs defTabSz="708">
        <w:tab w:val="right" w:pos="7655" w:leader="dot"/>
      </w:tabs>
    </w:pPr>
  </w:style>
  <w:style w:type="paragraph" w:styleId="para18" w:customStyle="1">
    <w:name w:val="Wert_5"/>
    <w:qFormat/>
    <w:basedOn w:val="para12"/>
    <w:next w:val="para0"/>
    <w:pPr>
      <w:numPr>
        <w:ilvl w:val="4"/>
        <w:numId w:val="1"/>
      </w:numPr>
      <w:ind w:left="924"/>
      <w:spacing w:before="200"/>
      <w:outlineLvl w:val="2"/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  <w:style w:type="character" w:styleId="char2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600" w:after="0"/>
    </w:pPr>
    <w:rPr>
      <w:rFonts w:ascii="Cambria" w:hAnsi="Cambria" w:eastAsia="Cambria" w:cs="Cambria"/>
      <w:bCs/>
      <w:color w:val="0000ff"/>
      <w:sz w:val="28"/>
      <w:szCs w:val="28"/>
    </w:rPr>
  </w:style>
  <w:style w:type="paragraph" w:styleId="para7" w:customStyle="1">
    <w:name w:val="Wert_2"/>
    <w:qFormat/>
    <w:basedOn w:val="para2"/>
    <w:next w:val="para0"/>
    <w:pPr>
      <w:numPr>
        <w:ilvl w:val="1"/>
        <w:numId w:val="1"/>
      </w:numPr>
      <w:ind w:left="500"/>
      <w:spacing w:before="360" w:after="0"/>
      <w:keepNext w:val="0"/>
      <w:keepLines w:val="0"/>
    </w:pPr>
    <w:rPr>
      <w:rFonts w:ascii="Calibri" w:hAnsi="Calibri" w:cs="Calibri"/>
      <w:b w:val="0"/>
      <w:color w:val="0000ff"/>
      <w:sz w:val="22"/>
      <w:szCs w:val="22"/>
    </w:rPr>
  </w:style>
  <w:style w:type="paragraph" w:styleId="para8" w:customStyle="1">
    <w:name w:val="Wert_3"/>
    <w:qFormat/>
    <w:basedOn w:val="para0"/>
    <w:pPr>
      <w:numPr>
        <w:ilvl w:val="2"/>
        <w:numId w:val="1"/>
      </w:numPr>
      <w:ind w:left="642"/>
      <w:spacing w:before="280"/>
      <w:outlineLvl w:val="2"/>
    </w:pPr>
    <w:rPr>
      <w:color w:val="0000ff"/>
    </w:rPr>
  </w:style>
  <w:style w:type="paragraph" w:styleId="para9">
    <w:name w:val="Footnote Text"/>
    <w:qFormat/>
    <w:basedOn w:val="para0"/>
    <w:pPr>
      <w:spacing w:line="240" w:lineRule="auto"/>
    </w:pPr>
    <w:rPr>
      <w:i/>
      <w:iCs/>
      <w:sz w:val="18"/>
      <w:szCs w:val="18"/>
    </w:rPr>
  </w:style>
  <w:style w:type="paragraph" w:styleId="para10">
    <w:name w:val="toc 3"/>
    <w:qFormat/>
    <w:basedOn w:val="para0"/>
    <w:next w:val="para0"/>
    <w:pPr>
      <w:ind w:left="566"/>
    </w:pPr>
  </w:style>
  <w:style w:type="paragraph" w:styleId="para11" w:customStyle="1">
    <w:name w:val="Tabelle_BFB"/>
    <w:qFormat/>
    <w:basedOn w:val="para0"/>
    <w:pPr>
      <w:spacing w:after="60"/>
    </w:pPr>
  </w:style>
  <w:style w:type="paragraph" w:styleId="para12" w:customStyle="1">
    <w:name w:val="Wert_4"/>
    <w:qFormat/>
    <w:basedOn w:val="para0"/>
    <w:next w:val="para0"/>
    <w:pPr>
      <w:numPr>
        <w:ilvl w:val="3"/>
        <w:numId w:val="1"/>
      </w:numPr>
      <w:ind w:left="794"/>
      <w:spacing w:before="140"/>
      <w:outlineLvl w:val="3"/>
    </w:pPr>
    <w:rPr>
      <w:color w:val="365f91"/>
    </w:rPr>
  </w:style>
  <w:style w:type="paragraph" w:styleId="para13">
    <w:name w:val="toc 4"/>
    <w:qFormat/>
    <w:basedOn w:val="para0"/>
    <w:next w:val="para0"/>
    <w:pPr>
      <w:ind w:left="849"/>
    </w:pPr>
  </w:style>
  <w:style w:type="paragraph" w:styleId="para14">
    <w:name w:val="Head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5">
    <w:name w:val="Foot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6">
    <w:name w:val="caption"/>
    <w:qFormat/>
    <w:basedOn w:val="para0"/>
    <w:next w:val="para0"/>
    <w:pPr>
      <w:spacing w:line="240" w:lineRule="auto"/>
    </w:pPr>
    <w:rPr>
      <w:b/>
      <w:bCs/>
      <w:sz w:val="20"/>
      <w:szCs w:val="20"/>
    </w:rPr>
  </w:style>
  <w:style w:type="paragraph" w:styleId="para17">
    <w:name w:val="Table of Figures"/>
    <w:qFormat/>
    <w:basedOn w:val="para0"/>
    <w:next w:val="para0"/>
    <w:pPr>
      <w:tabs defTabSz="708">
        <w:tab w:val="right" w:pos="7655" w:leader="dot"/>
      </w:tabs>
    </w:pPr>
  </w:style>
  <w:style w:type="paragraph" w:styleId="para18" w:customStyle="1">
    <w:name w:val="Wert_5"/>
    <w:qFormat/>
    <w:basedOn w:val="para12"/>
    <w:next w:val="para0"/>
    <w:pPr>
      <w:numPr>
        <w:ilvl w:val="4"/>
        <w:numId w:val="1"/>
      </w:numPr>
      <w:ind w:left="924"/>
      <w:spacing w:before="200"/>
      <w:outlineLvl w:val="2"/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  <w:style w:type="character" w:styleId="char2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oleObject" Target="embeddings/oleObject1.bin"/><Relationship Id="rId10" Type="http://schemas.openxmlformats.org/officeDocument/2006/relationships/image" Target="media/image2.png"/><Relationship Id="rId11" Type="http://schemas.openxmlformats.org/officeDocument/2006/relationships/oleObject" Target="embeddings/oleObject2.bin"/><Relationship Id="rId12" Type="http://schemas.openxmlformats.org/officeDocument/2006/relationships/footer" Target="footer1.xml"/><Relationship Id="rId13" Type="http://schemas.openxmlformats.org/officeDocument/2006/relationships/footer" Target="footer2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SoftMaker\Wertermittlung_MS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Ertragswertberechnung</dc:title>
  <dc:subject/>
  <dc:creator/>
  <cp:keywords/>
  <dc:description/>
  <cp:lastModifiedBy>Guido Rödder</cp:lastModifiedBy>
  <cp:revision>42</cp:revision>
  <cp:lastPrinted>2020-08-23T20:02:12Z</cp:lastPrinted>
  <dcterms:created xsi:type="dcterms:W3CDTF">2020-08-16T19:16:33Z</dcterms:created>
  <dcterms:modified xsi:type="dcterms:W3CDTF">2021-03-12T20:31:50Z</dcterms:modified>
</cp:coreProperties>
</file>