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39" w:w="11907"/>
          <w:pgMar w:left="1134" w:top="1134" w:right="1134" w:bottom="1134" w:header="0" w:footer="0"/>
          <w:paperSrc w:first="0" w:other="0" a="0" b="0"/>
          <w:pgNumType w:fmt="decimal"/>
          <w:tmGutter w:val="1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pStyle w:val="para1"/>
        <w:numPr>
          <w:ilvl w:val="0"/>
          <w:numId w:val="0"/>
        </w:numPr>
        <w:ind w:left="360" w:hanging="360"/>
      </w:pPr>
      <w:bookmarkStart w:id="0" w:name="_TOC000006"/>
      <w:r/>
      <w:bookmarkStart w:id="1" w:name="_TOC000001"/>
      <w:r>
        <w:t>Gliederung</w:t>
      </w:r>
      <w:bookmarkEnd w:id="1"/>
      <w:r/>
      <w:bookmarkEnd w:id="0"/>
      <w:r/>
    </w:p>
    <w:p>
      <w:r/>
    </w:p>
    <w:p>
      <w:pPr>
        <w:pStyle w:val="para6"/>
        <w:tabs defTabSz="708">
          <w:tab w:val="right" w:pos="7087" w:leader="dot"/>
        </w:tabs>
      </w:pPr>
      <w:r>
        <w:fldChar w:fldCharType="begin"/>
      </w:r>
      <w:r>
        <w:instrText xml:space="preserve"> TOC \o \z </w:instrText>
      </w:r>
      <w:r>
        <w:fldChar w:fldCharType="separate"/>
      </w:r>
      <w:hyperlink w:anchor="_TOC000006" w:history="1">
        <w:r>
          <w:t>Gliederung</w:t>
          <w:tab/>
          <w:t>II</w:t>
        </w:r>
      </w:hyperlink>
    </w:p>
    <w:p>
      <w:pPr>
        <w:pStyle w:val="para6"/>
        <w:tabs defTabSz="708">
          <w:tab w:val="right" w:pos="7087" w:leader="dot"/>
        </w:tabs>
      </w:pPr>
      <w:hyperlink w:anchor="_TOC000007" w:history="1">
        <w:r>
          <w:t>Literaturverzeichnis</w:t>
          <w:tab/>
          <w:t>III</w:t>
        </w:r>
      </w:hyperlink>
    </w:p>
    <w:p>
      <w:pPr>
        <w:pStyle w:val="para6"/>
        <w:tabs defTabSz="708">
          <w:tab w:val="right" w:pos="7087" w:leader="dot"/>
        </w:tabs>
      </w:pPr>
      <w:hyperlink w:anchor="_TOC000008" w:history="1">
        <w:r>
          <w:t>ggf. Rechtsprechungsüberischt</w:t>
          <w:tab/>
          <w:t>III</w:t>
        </w:r>
      </w:hyperlink>
    </w:p>
    <w:p>
      <w:pPr>
        <w:pStyle w:val="para6"/>
        <w:tabs defTabSz="708">
          <w:tab w:val="right" w:pos="7087" w:leader="dot"/>
        </w:tabs>
      </w:pPr>
      <w:hyperlink w:anchor="_TOC000009" w:history="1">
        <w:r>
          <w:t>ggf. Abkürzungen</w:t>
          <w:tab/>
          <w:t>III</w:t>
        </w:r>
      </w:hyperlink>
    </w:p>
    <w:p>
      <w:pPr>
        <w:pStyle w:val="para6"/>
        <w:tabs defTabSz="708">
          <w:tab w:val="right" w:pos="7087" w:leader="dot"/>
        </w:tabs>
      </w:pPr>
      <w:hyperlink w:anchor="_TOC000011" w:history="1">
        <w:r>
          <w:t>Inhalt</w:t>
          <w:tab/>
          <w:t>4</w:t>
        </w:r>
      </w:hyperlink>
    </w:p>
    <w:p>
      <w:pPr>
        <w:pStyle w:val="para1"/>
        <w:numPr>
          <w:ilvl w:val="0"/>
          <w:numId w:val="0"/>
        </w:numPr>
        <w:ind w:left="360" w:hanging="360"/>
      </w:pPr>
      <w:r>
        <w:br w:type="page"/>
      </w:r>
      <w:r>
        <w:fldChar w:fldCharType="end"/>
      </w:r>
      <w:bookmarkStart w:id="2" w:name="_TOC000007"/>
      <w:r>
        <w:t>Literaturverzeichnis</w:t>
      </w:r>
      <w:bookmarkEnd w:id="2"/>
      <w:r/>
      <w:bookmarkEnd w:id="2"/>
      <w:r/>
    </w:p>
    <w:p>
      <w:r/>
    </w:p>
    <w:p>
      <w:pPr>
        <w:pStyle w:val="para1"/>
        <w:numPr>
          <w:ilvl w:val="0"/>
          <w:numId w:val="0"/>
        </w:numPr>
        <w:ind w:left="360" w:hanging="360"/>
      </w:pPr>
      <w:bookmarkStart w:id="3" w:name="_TOC000008"/>
      <w:r/>
      <w:bookmarkStart w:id="4" w:name="_TOC000003"/>
      <w:r>
        <w:t>ggf. Rechtsprechungsüberischt</w:t>
      </w:r>
      <w:bookmarkEnd w:id="4"/>
      <w:r/>
      <w:bookmarkEnd w:id="3"/>
      <w:r/>
    </w:p>
    <w:p>
      <w:r/>
    </w:p>
    <w:p>
      <w:pPr>
        <w:pStyle w:val="para1"/>
        <w:numPr>
          <w:ilvl w:val="0"/>
          <w:numId w:val="0"/>
        </w:numPr>
        <w:ind w:left="360" w:hanging="360"/>
      </w:pPr>
      <w:bookmarkStart w:id="5" w:name="_TOC000009"/>
      <w:r/>
      <w:bookmarkStart w:id="6" w:name="_TOC000004"/>
      <w:r>
        <w:t>ggf. Abkürzungen</w:t>
      </w:r>
      <w:bookmarkEnd w:id="6"/>
      <w:r/>
      <w:bookmarkEnd w:id="5"/>
      <w:r/>
    </w:p>
    <w:p>
      <w:r/>
    </w:p>
    <w:p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headerReference w:type="default" r:id="rId8"/>
          <w:footerReference w:type="default" r:id="rId9"/>
          <w:type w:val="nextPage"/>
          <w:pgSz w:h="16839" w:w="11907"/>
          <w:pgMar w:left="1134" w:top="1134" w:right="3686" w:bottom="1134" w:header="567" w:footer="567"/>
          <w:paperSrc w:first="0" w:other="0" a="0" b="0"/>
          <w:pgNumType w:fmt="upperRoman"/>
          <w:tmGutter w:val="1"/>
          <w:mirrorMargins w:val="0"/>
          <w:tmSection w:h="-1">
            <w:tmHeader w:id="0" w:h="0" edge="567" text="0">
              <w:shd w:val="none"/>
            </w:tmHeader>
            <w:tmFooter w:id="0" w:h="0" edge="567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spacing/>
        <w:jc w:val="center"/>
        <w:rPr>
          <w:sz w:val="56"/>
          <w:szCs w:val="56"/>
        </w:rPr>
      </w:pPr>
      <w:r/>
      <w:bookmarkStart w:id="7" w:name="_TOC000010"/>
      <w:r/>
      <w:bookmarkStart w:id="8" w:name="_TOC000005"/>
      <w:r/>
      <w:r>
        <w:rPr>
          <w:sz w:val="56"/>
          <w:szCs w:val="56"/>
        </w:rPr>
        <w:t>Gutachten</w:t>
      </w:r>
      <w:r>
        <w:rPr>
          <w:sz w:val="56"/>
          <w:szCs w:val="56"/>
        </w:rPr>
      </w:r>
    </w:p>
    <w:p>
      <w:pPr>
        <w:pStyle w:val="para1"/>
        <w:numPr>
          <w:ilvl w:val="0"/>
          <w:numId w:val="11"/>
        </w:numPr>
        <w:ind w:left="720" w:hanging="720"/>
      </w:pPr>
      <w:bookmarkStart w:id="9" w:name="_TOC000011"/>
      <w:r>
        <w:t>Inhalt</w:t>
      </w:r>
      <w:bookmarkEnd w:id="8"/>
      <w:r/>
      <w:bookmarkEnd w:id="7"/>
      <w:r/>
      <w:bookmarkEnd w:id="9"/>
      <w:r/>
      <w:bookmarkStart w:id="9" w:name="_TOC000011"/>
      <w:r/>
      <w:bookmarkEnd w:id="9"/>
      <w:r/>
      <w:bookmarkStart w:id="10" w:name="_TOC000012"/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10"/>
      <w:footerReference w:type="default" r:id="rId11"/>
      <w:type w:val="nextPage"/>
      <w:pgSz w:h="16839" w:w="11907"/>
      <w:pgMar w:left="1134" w:top="1134" w:right="3686" w:bottom="1134" w:header="567" w:footer="567"/>
      <w:paperSrc w:first="0" w:other="0" a="0" b="0"/>
      <w:pgNumType w:fmt="decimal"/>
      <w:tmGutter w:val="1"/>
      <w:mirrorMargins w:val="0"/>
      <w:tmSection w:h="-1">
        <w:tmHeader w:id="0" w:h="0" edge="567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Cambria">
    <w:charset w:val="00"/>
    <w:family w:val="roman"/>
    <w:pitch w:val="default"/>
  </w:font>
  <w:font w:name="Wingbats">
    <w:charset w:val="02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  <w:spacing w:line="240" w:lineRule="auto"/>
      <w:rPr>
        <w:highlight w:val="yellow"/>
        <w:color w:val="999999"/>
        <w:sz w:val="18"/>
        <w:szCs w:val="18"/>
      </w:rPr>
    </w:pPr>
    <w:r>
      <w:rPr>
        <w:highlight w:val="yellow"/>
        <w:color w:val="999999"/>
        <w:sz w:val="18"/>
        <w:szCs w:val="18"/>
      </w:rPr>
      <w:t>Modul</w:t>
    </w:r>
  </w:p>
  <w:p>
    <w:pPr>
      <w:pStyle w:val="para4"/>
      <w:spacing w:line="240" w:lineRule="auto"/>
      <w:rPr>
        <w:highlight w:val="yellow"/>
      </w:rPr>
    </w:pPr>
    <w:r>
      <w:rPr>
        <w:highlight w:val="yellow"/>
        <w:color w:val="999999"/>
        <w:sz w:val="18"/>
        <w:szCs w:val="18"/>
      </w:rPr>
      <w:t>Art der Arbeit</w:t>
    </w:r>
    <w:r>
      <w:rPr>
        <w:highlight w:val="yellow"/>
      </w:rPr>
      <w:tab/>
      <w:tab/>
    </w:r>
    <w:r>
      <w:rPr>
        <w:highlight w:val="yellow"/>
        <w:color w:val="999999"/>
        <w:sz w:val="18"/>
        <w:szCs w:val="18"/>
      </w:rPr>
    </w:r>
    <w:r>
      <w:rPr>
        <w:highlight w:val="yellow"/>
        <w:color w:val="999999"/>
        <w:sz w:val="18"/>
        <w:szCs w:val="18"/>
      </w:rPr>
      <w:fldChar w:fldCharType="begin"/>
      <w:instrText xml:space="preserve"> PAGE  \CA </w:instrText>
      <w:fldChar w:fldCharType="separate"/>
      <w:t>II</w:t>
      <w:fldChar w:fldCharType="end"/>
    </w:r>
    <w:r>
      <w:rPr>
        <w:highlight w:val="yellow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  <w:spacing w:line="240" w:lineRule="auto"/>
      <w:rPr>
        <w:highlight w:val="yellow"/>
        <w:color w:val="999999"/>
        <w:sz w:val="18"/>
        <w:szCs w:val="18"/>
      </w:rPr>
    </w:pPr>
    <w:r>
      <w:rPr>
        <w:highlight w:val="yellow"/>
        <w:color w:val="999999"/>
        <w:sz w:val="18"/>
        <w:szCs w:val="18"/>
      </w:rPr>
      <w:t>Modul</w:t>
    </w:r>
  </w:p>
  <w:p>
    <w:pPr>
      <w:pStyle w:val="para4"/>
      <w:spacing w:line="240" w:lineRule="auto"/>
      <w:rPr>
        <w:highlight w:val="yellow"/>
        <w:color w:val="999999"/>
        <w:sz w:val="18"/>
        <w:szCs w:val="18"/>
      </w:rPr>
    </w:pPr>
    <w:r>
      <w:rPr>
        <w:highlight w:val="yellow"/>
        <w:color w:val="999999"/>
        <w:sz w:val="18"/>
        <w:szCs w:val="18"/>
      </w:rPr>
      <w:t>Art der Arbeit</w:t>
      <w:tab/>
      <w:tab/>
    </w:r>
    <w:r>
      <w:rPr>
        <w:highlight w:val="yellow"/>
        <w:color w:val="999999"/>
        <w:sz w:val="18"/>
        <w:szCs w:val="18"/>
      </w:rPr>
      <w:fldChar w:fldCharType="begin"/>
      <w:instrText xml:space="preserve"> PAGE  \CA </w:instrText>
      <w:fldChar w:fldCharType="separate"/>
      <w:t>1</w:t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5"/>
      <w:spacing w:line="240" w:lineRule="auto"/>
      <w:rPr>
        <w:color w:val="999999"/>
        <w:sz w:val="18"/>
        <w:szCs w:val="18"/>
      </w:rPr>
    </w:pPr>
    <w:r>
      <w:rPr>
        <w:color w:val="999999"/>
        <w:sz w:val="18"/>
        <w:szCs w:val="18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5"/>
      <w:spacing w:line="240" w:lineRule="auto"/>
      <w:rPr>
        <w:color w:val="999999"/>
        <w:sz w:val="18"/>
        <w:szCs w:val="18"/>
      </w:rPr>
    </w:pPr>
    <w:r>
      <w:rPr>
        <w:color w:val="999999"/>
        <w:sz w:val="18"/>
        <w:szCs w:val="1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Juristisch"/>
    <w:lvl w:ilvl="0">
      <w:start w:val="1"/>
      <w:numFmt w:val="upperLetter"/>
      <w:suff w:val="tab"/>
      <w:lvlText w:val="A."/>
      <w:lvlJc w:val="left"/>
      <w:pPr>
        <w:ind w:left="0" w:hanging="0"/>
      </w:pPr>
    </w:lvl>
    <w:lvl w:ilvl="1">
      <w:start w:val="1"/>
      <w:numFmt w:val="upperRoman"/>
      <w:suff w:val="tab"/>
      <w:lvlText w:val="I."/>
      <w:lvlJc w:val="left"/>
      <w:pPr>
        <w:ind w:left="0" w:hanging="0"/>
      </w:pPr>
    </w:lvl>
    <w:lvl w:ilvl="2">
      <w:start w:val="1"/>
      <w:numFmt w:val="ordinal"/>
      <w:suff w:val="tab"/>
      <w:lvlText w:val="1."/>
      <w:lvlJc w:val="left"/>
      <w:pPr>
        <w:ind w:left="0" w:hanging="0"/>
      </w:pPr>
    </w:lvl>
    <w:lvl w:ilvl="3">
      <w:start w:val="27"/>
      <w:numFmt w:val="lowerLetter"/>
      <w:suff w:val="tab"/>
      <w:lvlText w:val="a."/>
      <w:lvlJc w:val="left"/>
      <w:pPr>
        <w:ind w:left="0" w:hanging="0"/>
      </w:pPr>
    </w:lvl>
    <w:lvl w:ilvl="4">
      <w:start w:val="1"/>
      <w:numFmt w:val="lowerLetter"/>
      <w:suff w:val="tab"/>
      <w:lvlText w:val="aa.)"/>
      <w:lvlJc w:val="left"/>
      <w:pPr>
        <w:ind w:left="0" w:hanging="0"/>
      </w:pPr>
    </w:lvl>
    <w:lvl w:ilvl="5">
      <w:start w:val="1"/>
      <w:numFmt w:val="decimal"/>
      <w:suff w:val="tab"/>
      <w:lvlText w:val="(1)"/>
      <w:lvlJc w:val="left"/>
      <w:pPr>
        <w:ind w:left="0" w:hanging="0"/>
      </w:pPr>
    </w:lvl>
    <w:lvl w:ilvl="6">
      <w:start w:val="1"/>
      <w:numFmt w:val="decimal"/>
      <w:suff w:val="tab"/>
      <w:lvlText w:val="%1.%2.%3.%4.%5.%6.%7."/>
      <w:lvlJc w:val="left"/>
      <w:pPr>
        <w:ind w:left="0" w:hanging="0"/>
      </w:pPr>
    </w:lvl>
    <w:lvl w:ilvl="7">
      <w:start w:val="1"/>
      <w:numFmt w:val="decimal"/>
      <w:suff w:val="tab"/>
      <w:lvlText w:val="%1.%2.%3.%4.%5.%6.%7.%8.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."/>
      <w:lvlJc w:val="left"/>
      <w:pPr>
        <w:ind w:left="0" w:hanging="0"/>
      </w:pPr>
    </w:lvl>
  </w:abstractNum>
  <w:abstractNum w:abstractNumId="2">
    <w:multiLevelType w:val="singleLevel"/>
    <w:name w:val="Bullet 2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multiLevelType w:val="singleLevel"/>
    <w:name w:val="Bullet 3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multiLevelType w:val="singleLevel"/>
    <w:name w:val="Bullet 4"/>
    <w:lvl w:ilvl="0">
      <w:start w:val="1"/>
      <w:numFmt w:val="ordin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5">
    <w:multiLevelType w:val="singleLevel"/>
    <w:name w:val="Bullet 5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multiLevelType w:val="singleLevel"/>
    <w:name w:val="Bullet 6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multiLevelType w:val="singleLevel"/>
    <w:name w:val="Bullet 7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multiLevelType w:val="singleLevel"/>
    <w:name w:val="Bullet 8"/>
    <w:lvl w:ilvl="0">
      <w:start w:val="1"/>
      <w:numFmt w:val="ordin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9">
    <w:multiLevelType w:val="singleLevel"/>
    <w:name w:val="Bullet 9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multiLevelType w:val="singleLevel"/>
    <w:name w:val="Bullet 10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5121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13244556" w:val="1030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hAnsi="Basic Roman" w:eastAsia="Basic Roman" w:cs="Basic Roman"/>
        <w:kern w:val="1"/>
        <w:sz w:val="20"/>
        <w:szCs w:val="20"/>
        <w:lang w:val="de-de" w:eastAsia="zh-cn" w:bidi="ar-sa"/>
      </w:rPr>
    </w:rPrDefault>
    <w:pPrDefault>
      <w:pPr>
        <w:spacing w:line="360" w:lineRule="auto"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4"/>
      <w:szCs w:val="24"/>
      <w:lang w:eastAsia="de-de" w:bidi="de-de"/>
    </w:rPr>
    <w:key w:val="3120"/>
  </w:style>
  <w:style w:type="paragraph" w:styleId="para1">
    <w:name w:val="heading 1"/>
    <w:qFormat/>
    <w:next w:val="para0"/>
    <w:pPr>
      <w:numPr>
        <w:ilvl w:val="0"/>
        <w:numId w:val="2"/>
      </w:numPr>
      <w:ind w:left="720" w:hanging="720"/>
      <w:spacing w:before="240" w:after="60"/>
      <w:jc w:val="left"/>
      <w:keepNext/>
      <w:outlineLvl w:val="0"/>
      <w:keepLines/>
    </w:pPr>
    <w:rPr>
      <w:rFonts w:ascii="Cambria" w:hAnsi="Cambria" w:eastAsia="Cambria" w:cs="Cambria"/>
      <w:b/>
      <w:bCs/>
      <w:kern w:val="1"/>
      <w:sz w:val="24"/>
      <w:szCs w:val="24"/>
      <w:lang w:val="de-de" w:eastAsia="de-de" w:bidi="de-de"/>
    </w:rPr>
    <w:key w:val="3121"/>
  </w:style>
  <w:style w:type="paragraph" w:styleId="para2">
    <w:name w:val="heading 2"/>
    <w:qFormat/>
    <w:basedOn w:val="para1"/>
    <w:next w:val="para0"/>
    <w:pPr>
      <w:numPr>
        <w:ilvl w:val="0"/>
        <w:numId w:val="3"/>
      </w:numPr>
      <w:ind w:left="717" w:hanging="717"/>
      <w:outlineLvl w:val="1"/>
    </w:pPr>
    <w:key w:val="3122"/>
  </w:style>
  <w:style w:type="paragraph" w:styleId="para3">
    <w:name w:val="heading 3"/>
    <w:qFormat/>
    <w:basedOn w:val="para2"/>
    <w:next w:val="para0"/>
    <w:pPr>
      <w:numPr>
        <w:ilvl w:val="0"/>
        <w:numId w:val="4"/>
      </w:numPr>
      <w:ind w:left="717" w:hanging="717"/>
      <w:outlineLvl w:val="2"/>
    </w:pPr>
    <w:key w:val="3123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toc 1"/>
    <w:qFormat/>
    <w:basedOn w:val="para0"/>
    <w:next w:val="para0"/>
  </w:style>
  <w:style w:type="paragraph" w:styleId="para7" w:customStyle="1">
    <w:name w:val="Überschrift ohne"/>
    <w:qFormat/>
    <w:basedOn w:val="para1"/>
    <w:next w:val="para0"/>
    <w:pPr>
      <w:ind w:left="0" w:firstLine="0"/>
      <w:spacing w:line="240" w:lineRule="auto"/>
    </w:pPr>
  </w:style>
  <w:style w:type="paragraph" w:styleId="para8">
    <w:name w:val="toc 3"/>
    <w:qFormat/>
    <w:basedOn w:val="para0"/>
    <w:next w:val="para0"/>
    <w:pPr>
      <w:ind w:left="566"/>
    </w:pPr>
  </w:style>
  <w:style w:type="paragraph" w:styleId="para9">
    <w:name w:val="toc 2"/>
    <w:qFormat/>
    <w:basedOn w:val="para0"/>
    <w:next w:val="para0"/>
    <w:pPr>
      <w:ind w:left="283"/>
    </w:pPr>
  </w:style>
  <w:style w:type="paragraph" w:styleId="para10">
    <w:name w:val="heading 4"/>
    <w:qFormat/>
    <w:basedOn w:val="para3"/>
    <w:next w:val="para0"/>
    <w:pPr>
      <w:numPr>
        <w:ilvl w:val="0"/>
        <w:numId w:val="5"/>
      </w:numPr>
      <w:ind w:left="717" w:hanging="717"/>
      <w:outlineLvl w:val="3"/>
    </w:pPr>
    <w:key w:val="3124"/>
  </w:style>
  <w:style w:type="paragraph" w:styleId="para11">
    <w:name w:val="heading 5"/>
    <w:qFormat/>
    <w:basedOn w:val="para10"/>
    <w:next w:val="para0"/>
    <w:pPr>
      <w:numPr>
        <w:ilvl w:val="0"/>
        <w:numId w:val="0"/>
      </w:numPr>
      <w:ind w:left="0" w:firstLine="0"/>
      <w:outlineLvl w:val="4"/>
    </w:pPr>
    <w:key w:val="3125"/>
  </w:style>
  <w:style w:type="paragraph" w:styleId="para12">
    <w:name w:val="toc 4"/>
    <w:qFormat/>
    <w:basedOn w:val="para0"/>
    <w:next w:val="para0"/>
    <w:pPr>
      <w:ind w:left="849"/>
    </w:pPr>
  </w:style>
  <w:style w:type="paragraph" w:styleId="para13">
    <w:name w:val="toc 5"/>
    <w:qFormat/>
    <w:basedOn w:val="para0"/>
    <w:next w:val="para0"/>
    <w:pPr>
      <w:ind w:left="1132"/>
    </w:pPr>
  </w:style>
  <w:style w:type="paragraph" w:styleId="para14" w:customStyle="1">
    <w:name w:val="Verzeichnis 0"/>
    <w:qFormat/>
    <w:basedOn w:val="para0"/>
    <w:next w:val="para0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Basic Roman" w:hAnsi="Basic Roman" w:eastAsia="Basic Roman" w:cs="Basic Roman"/>
        <w:kern w:val="1"/>
        <w:sz w:val="20"/>
        <w:szCs w:val="20"/>
        <w:lang w:val="de-de" w:eastAsia="zh-cn" w:bidi="ar-sa"/>
      </w:rPr>
    </w:rPrDefault>
    <w:pPrDefault>
      <w:pPr>
        <w:spacing w:line="360" w:lineRule="auto"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4"/>
      <w:szCs w:val="24"/>
      <w:lang w:eastAsia="de-de" w:bidi="de-de"/>
    </w:rPr>
    <w:key w:val="3120"/>
  </w:style>
  <w:style w:type="paragraph" w:styleId="para1">
    <w:name w:val="heading 1"/>
    <w:qFormat/>
    <w:next w:val="para0"/>
    <w:pPr>
      <w:numPr>
        <w:ilvl w:val="0"/>
        <w:numId w:val="7"/>
      </w:numPr>
      <w:ind w:left="720" w:hanging="720"/>
      <w:spacing w:before="240" w:after="60"/>
      <w:jc w:val="left"/>
      <w:keepNext/>
      <w:outlineLvl w:val="0"/>
      <w:keepLines/>
    </w:pPr>
    <w:rPr>
      <w:rFonts w:ascii="Cambria" w:hAnsi="Cambria" w:eastAsia="Cambria" w:cs="Cambria"/>
      <w:b/>
      <w:bCs/>
      <w:kern w:val="1"/>
      <w:sz w:val="24"/>
      <w:szCs w:val="24"/>
      <w:lang w:val="de-de" w:eastAsia="de-de" w:bidi="de-de"/>
    </w:rPr>
    <w:key w:val="3121"/>
  </w:style>
  <w:style w:type="paragraph" w:styleId="para2">
    <w:name w:val="heading 2"/>
    <w:qFormat/>
    <w:basedOn w:val="para1"/>
    <w:next w:val="para0"/>
    <w:pPr>
      <w:numPr>
        <w:ilvl w:val="0"/>
        <w:numId w:val="8"/>
      </w:numPr>
      <w:ind w:left="717" w:hanging="717"/>
      <w:outlineLvl w:val="1"/>
    </w:pPr>
    <w:key w:val="3122"/>
  </w:style>
  <w:style w:type="paragraph" w:styleId="para3">
    <w:name w:val="heading 3"/>
    <w:qFormat/>
    <w:basedOn w:val="para2"/>
    <w:next w:val="para0"/>
    <w:pPr>
      <w:numPr>
        <w:ilvl w:val="0"/>
        <w:numId w:val="9"/>
      </w:numPr>
      <w:ind w:left="717" w:hanging="717"/>
      <w:outlineLvl w:val="2"/>
    </w:pPr>
    <w:key w:val="3123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toc 1"/>
    <w:qFormat/>
    <w:basedOn w:val="para0"/>
    <w:next w:val="para0"/>
  </w:style>
  <w:style w:type="paragraph" w:styleId="para7" w:customStyle="1">
    <w:name w:val="Überschrift ohne"/>
    <w:qFormat/>
    <w:basedOn w:val="para1"/>
    <w:next w:val="para0"/>
    <w:pPr>
      <w:ind w:left="0" w:firstLine="0"/>
      <w:spacing w:line="240" w:lineRule="auto"/>
    </w:pPr>
  </w:style>
  <w:style w:type="paragraph" w:styleId="para8">
    <w:name w:val="toc 3"/>
    <w:qFormat/>
    <w:basedOn w:val="para0"/>
    <w:next w:val="para0"/>
    <w:pPr>
      <w:ind w:left="566"/>
    </w:pPr>
  </w:style>
  <w:style w:type="paragraph" w:styleId="para9">
    <w:name w:val="toc 2"/>
    <w:qFormat/>
    <w:basedOn w:val="para0"/>
    <w:next w:val="para0"/>
    <w:pPr>
      <w:ind w:left="283"/>
    </w:pPr>
  </w:style>
  <w:style w:type="paragraph" w:styleId="para10">
    <w:name w:val="heading 4"/>
    <w:qFormat/>
    <w:basedOn w:val="para3"/>
    <w:next w:val="para0"/>
    <w:pPr>
      <w:numPr>
        <w:ilvl w:val="0"/>
        <w:numId w:val="10"/>
      </w:numPr>
      <w:ind w:left="717" w:hanging="717"/>
      <w:outlineLvl w:val="3"/>
    </w:pPr>
    <w:key w:val="3124"/>
  </w:style>
  <w:style w:type="paragraph" w:styleId="para11">
    <w:name w:val="heading 5"/>
    <w:qFormat/>
    <w:basedOn w:val="para10"/>
    <w:next w:val="para0"/>
    <w:pPr>
      <w:numPr>
        <w:ilvl w:val="0"/>
        <w:numId w:val="0"/>
      </w:numPr>
      <w:ind w:left="0" w:firstLine="0"/>
      <w:outlineLvl w:val="4"/>
    </w:pPr>
    <w:key w:val="3125"/>
  </w:style>
  <w:style w:type="paragraph" w:styleId="para12">
    <w:name w:val="toc 4"/>
    <w:qFormat/>
    <w:basedOn w:val="para0"/>
    <w:next w:val="para0"/>
    <w:pPr>
      <w:ind w:left="849"/>
    </w:pPr>
  </w:style>
  <w:style w:type="paragraph" w:styleId="para13">
    <w:name w:val="toc 5"/>
    <w:qFormat/>
    <w:basedOn w:val="para0"/>
    <w:next w:val="para0"/>
    <w:pPr>
      <w:ind w:left="1132"/>
    </w:pPr>
  </w:style>
  <w:style w:type="paragraph" w:styleId="para14" w:customStyle="1">
    <w:name w:val="Verzeichnis 0"/>
    <w:qFormat/>
    <w:basedOn w:val="para0"/>
    <w:next w:val="para0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Cambria"/>
        <a:cs typeface="Cambria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Frank Miener</cp:lastModifiedBy>
  <cp:revision>7</cp:revision>
  <dcterms:created xsi:type="dcterms:W3CDTF">2021-02-13T19:28:16Z</dcterms:created>
  <dcterms:modified xsi:type="dcterms:W3CDTF">2021-02-13T19:29:16Z</dcterms:modified>
</cp:coreProperties>
</file>