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rPr>
          <w:noProof/>
        </w:rPr>
        <mc:AlternateContent>
          <mc:Choice Requires="wpg">
            <w:drawing>
              <wp:anchor distT="0" distB="0" distL="0" distR="0" simplePos="0" relativeHeight="251658241" behindDoc="0" locked="0" layoutInCell="0" hidden="0" allowOverlap="1">
                <wp:simplePos x="0" y="0"/>
                <wp:positionH relativeFrom="margin">
                  <wp:align>left</wp:align>
                </wp:positionH>
                <wp:positionV relativeFrom="margin">
                  <wp:align>top</wp:align>
                </wp:positionV>
                <wp:extent cx="6120130" cy="4665345"/>
                <wp:effectExtent l="0" t="0" r="0" b="0"/>
                <wp:wrapSquare wrapText="bothSides"/>
                <wp:docPr id="1" name="Gruppe3"/>
                <wp:cNvGraphicFramePr/>
                <a:graphic xmlns:a="http://schemas.openxmlformats.org/drawingml/2006/main">
                  <a:graphicData uri="http://schemas.microsoft.com/office/word/2010/wordprocessingGroup">
                    <wpg:wgp>
                      <wpg:cNvGrpSpPr>
                        <a:extLst>
                          <a:ext uri="smNativeData">
                            <sm:smNativeData xmlns:sm="smNativeData" val="SMDATA_6_biAHYBMAAAAlAAAAAQAAAA0BAAAAkAAAAEgAAACQAAAASAAAAAAAAAAAAAAAAAAAABcAAAAUAAAAAAAAAAAAAAD/fwAA/38AAAACAAAJAAAABAAAAAAAAAAMAAAAEAAAAAAAAAAAAAAAAAAAAAAAAAAhAAAAQAAAADwAAAAAAAAAAKIAACAAAAAAAAAAAQAAAAEAAAAAAAAAAQAAAAEAAAAAAAAApiUAALMcAAAAAAAApQYAAG4EAAAoAAAACAAAAAEAAAABAAAA"/>
                          </a:ext>
                        </a:extLst>
                      </wpg:cNvGrpSpPr>
                      <wpg:grpSpPr>
                        <a:xfrm>
                          <a:off x="0" y="0"/>
                          <a:ext cx="6120130" cy="4665345"/>
                          <a:chOff x="0" y="0"/>
                          <a:chExt cx="6120130" cy="4665345"/>
                        </a:xfrm>
                      </wpg:grpSpPr>
                      <pic:pic xmlns:pic="http://schemas.openxmlformats.org/drawingml/2006/picture">
                        <pic:nvPicPr>
                          <pic:cNvPr id="2" name="Grafik1"/>
                          <pic:cNvPicPr>
                            <a:picLocks noChangeAspect="1"/>
                            <a:extLst>
                              <a:ext uri="smNativeData">
                                <sm:smNativeData xmlns:sm="smNativeData" val="SMDATA_18_biAHY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MyUAAE8aAAAAAAAApQYAAG4EAAAoAAAACAAAAAEAAAABAAAAMAAAABQAAAAAAAAAAAD//wAAAQAAAP//AAABAA=="/>
                              </a:ext>
                            </a:extLst>
                          </pic:cNvPicPr>
                        </pic:nvPicPr>
                        <pic:blipFill>
                          <a:blip r:embed="rId8"/>
                          <a:stretch>
                            <a:fillRect/>
                          </a:stretch>
                        </pic:blipFill>
                        <pic:spPr>
                          <a:xfrm>
                            <a:off x="0" y="0"/>
                            <a:ext cx="6047105" cy="4276725"/>
                          </a:xfrm>
                          <a:prstGeom prst="rect">
                            <a:avLst/>
                          </a:prstGeom>
                          <a:noFill/>
                          <a:ln w="12700">
                            <a:noFill/>
                          </a:ln>
                        </pic:spPr>
                      </pic:pic>
                      <wps:wsp>
                        <wps:cNvPr id="3" name="Textbox1"/>
                        <wps:cNvSpPr txBox="1">
                          <a:extLst>
                            <a:ext uri="smNativeData">
                              <sm:smNativeData xmlns:sm="smNativeData" val="SMDATA_16_biAH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ZAIAAAAAAAClBgAAvR4AACgAAAAIAAAAAQAAAAIAAAAwAAAAFAAAAAAAAAAAAP//AAABAAAA//8AAAEA"/>
                            </a:ext>
                          </a:extLst>
                        </wps:cNvSpPr>
                        <wps:spPr>
                          <a:xfrm>
                            <a:off x="0" y="4276725"/>
                            <a:ext cx="6120130" cy="388620"/>
                          </a:xfrm>
                          <a:prstGeom prst="rect">
                            <a:avLst/>
                          </a:prstGeom>
                          <a:noFill/>
                          <a:ln w="12700">
                            <a:noFill/>
                          </a:ln>
                        </wps:spPr>
                        <wps:txbx>
                          <w:txbxContent>
                            <w:p>
                              <w:pPr>
                                <w:pStyle w:val="para11"/>
                              </w:pPr>
                              <w:bookmarkStart w:id="0" w:name="_REF000011"/>
                              <w:r/>
                              <w:bookmarkStart w:id="1" w:name="_REF000010"/>
                              <w:r>
                                <w:t xml:space="preserve">Abbildung </w:t>
                              </w:r>
                              <w:r>
                                <w:fldChar w:fldCharType="begin"/>
                                <w:instrText xml:space="preserve"> SEQ "Abbildung" \* Arabic </w:instrText>
                                <w:fldChar w:fldCharType="separate"/>
                                <w:t>1</w:t>
                                <w:fldChar w:fldCharType="end"/>
                              </w:r>
                              <w:bookmarkEnd w:id="1"/>
                              <w:r>
                                <w:t>: Rekonstruktionsversuch eines der ersten Vlieboote 1592/93.</w:t>
                                <w:br w:type="textWrapping"/>
                                <w:t>Rekonstruktion ©Werner Ulrich, 2017.</w:t>
                              </w:r>
                              <w:bookmarkEnd w:id="0"/>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367.35pt;z-index:251658241;mso-wrap-distance-left:0.00pt;mso-wrap-distance-right:0.00pt" coordorigin="1701,1134" coordsize="9638,7347">
                <v:shapetype id="_x0000_t75" coordsize="21600,21600" o:spt="75" o:preferrelative="t" path="m,l,21600r21600,l21600,xe">
                  <v:path gradientshapeok="t" o:connecttype="rect"/>
                </v:shapetype>
                <v:shape id="Grafik1" o:spid="_x0000_s1026" type="#_x0000_t75" style="position:absolute;left:1701;top:1134;width:9523;height:6735" stroked="f" filled="f" v:ext="SMDATA_17_biAHY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8" o:title="media/image1"/>
                </v:shape>
                <v:shapetype id="_x0000_t202" coordsize="21600,21600" o:spt="202" path="m,l,21600r21600,l21600,xe">
                  <v:path gradientshapeok="t" o:connecttype="rect"/>
                </v:shapetype>
                <v:shape id="Textbox1" o:spid="_x0000_s1027" type="#_x0000_t202" style="position:absolute;left:1701;top:7869;width:9638;height:612" stroked="f" filled="f" v:ext="SMDATA_15_biAH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bookmarkStart w:id="0" w:name="_REF000011"/>
                        <w:r/>
                        <w:bookmarkStart w:id="1" w:name="_REF000010"/>
                        <w:r>
                          <w:t xml:space="preserve">Abbildung </w:t>
                        </w:r>
                        <w:r>
                          <w:fldChar w:fldCharType="begin"/>
                          <w:instrText xml:space="preserve"> SEQ "Abbildung" \* Arabic </w:instrText>
                          <w:fldChar w:fldCharType="separate"/>
                          <w:t>1</w:t>
                          <w:fldChar w:fldCharType="end"/>
                        </w:r>
                        <w:bookmarkEnd w:id="1"/>
                        <w:r>
                          <w:t>: Rekonstruktionsversuch eines der ersten Vlieboote 1592/93.</w:t>
                          <w:br w:type="textWrapping"/>
                          <w:t>Rekonstruktion ©Werner Ulrich, 2017.</w:t>
                        </w:r>
                        <w:bookmarkEnd w:id="0"/>
                        <w:r/>
                      </w:p>
                    </w:txbxContent>
                  </v:textbox>
                </v:shape>
                <w10:wrap type="square" anchorx="margin" anchory="margin"/>
              </v:group>
            </w:pict>
          </mc:Fallback>
        </mc:AlternateConten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Bestecke der Vlieboote von 1592 bis 1598</w:t>
        <w:fldChar w:fldCharType="end"/>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D:\Bestecke-Aurich\Beispiel.tmdx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p>
    <w:p>
      <w:pPr>
        <w:pStyle w:val="para12"/>
      </w:pPr>
      <w:r>
        <w:t>Anzahl der Seiten:</w:t>
        <w:tab/>
      </w:r>
      <w:r>
        <w:fldChar w:fldCharType="begin"/>
        <w:instrText xml:space="preserve"> NUMPAGES \* Arabic  \A </w:instrText>
        <w:fldChar w:fldCharType="separate"/>
        <w:t>2</w:t>
        <w:fldChar w:fldCharType="end"/>
      </w:r>
    </w:p>
    <w:p>
      <w:pPr>
        <w:pStyle w:val="para12"/>
      </w:pPr>
      <w:r>
        <w:t>Erstellt:</w:t>
        <w:tab/>
        <w:tab/>
      </w:r>
      <w:r>
        <w:fldChar w:fldCharType="begin"/>
        <w:instrText xml:space="preserve"> CREATEDATE \@ "dd.MM.yyyy" </w:instrText>
        <w:fldChar w:fldCharType="separate"/>
        <w:t>08.02.2020</w:t>
        <w:fldChar w:fldCharType="end"/>
      </w:r>
    </w:p>
    <w:p>
      <w:pPr>
        <w:pStyle w:val="para12"/>
      </w:pPr>
      <w:r>
        <w:t>Geändert:</w:t>
        <w:tab/>
        <w:tab/>
      </w:r>
      <w:r>
        <w:fldChar w:fldCharType="begin"/>
        <w:instrText xml:space="preserve"> SAVEDATE \@ "dd.MM.yyyy" </w:instrText>
        <w:fldChar w:fldCharType="separate"/>
        <w:t>19.01.2021</w:t>
        <w:fldChar w:fldCharType="end"/>
      </w:r>
    </w:p>
    <w:p>
      <w:pPr>
        <w:pStyle w:val="para12"/>
      </w:pPr>
      <w:r>
        <w:t>Letzter Druck:</w:t>
        <w:tab/>
        <w:tab/>
      </w:r>
      <w:r>
        <w:fldChar w:fldCharType="begin"/>
        <w:instrText xml:space="preserve"> PRINTDATE \@ "dd.MM.yyyy" </w:instrText>
        <w:fldChar w:fldCharType="separate"/>
        <w:t>18.01.2021</w:t>
        <w:fldChar w:fldCharType="end"/>
      </w:r>
    </w:p>
    <w:p>
      <w:pPr>
        <w:pStyle w:val="para12"/>
      </w:pPr>
      <w:r/>
    </w:p>
    <w:p>
      <w:pPr>
        <w:pStyle w:val="para12"/>
      </w:pPr>
      <w:r>
        <w:t>Zeeuws Archief Middelburg, Rekenkamer C:</w:t>
      </w:r>
    </w:p>
    <w:p>
      <w:pPr>
        <w:pStyle w:val="para12"/>
      </w:pPr>
      <w:r>
        <w:t>Admiralität Middelburg in Zeeland/ Niederlande</w:t>
      </w:r>
    </w:p>
    <w:p>
      <w:pPr>
        <w:pStyle w:val="para12"/>
      </w:pPr>
      <w:r>
        <w:t>Zugangsnummer:</w:t>
        <w:tab/>
        <w:t>508</w:t>
      </w:r>
    </w:p>
    <w:p>
      <w:pPr>
        <w:pStyle w:val="para12"/>
      </w:pPr>
      <w:r>
        <w:t>Inv. Nr.:</w:t>
        <w:tab/>
        <w:tab/>
      </w:r>
      <w:r>
        <w:fldChar w:fldCharType="begin"/>
        <w:instrText xml:space="preserve"> COMMENTS </w:instrText>
        <w:fldChar w:fldCharType="separate"/>
        <w:fldChar w:fldCharType="end"/>
      </w:r>
      <w:r>
        <w:t>Div.</w:t>
      </w:r>
      <w:r>
        <w:br w:type="page"/>
      </w:r>
    </w:p>
    <w:p>
      <w:pPr>
        <w:pStyle w:val="para20"/>
      </w:pPr>
      <w:r/>
    </w:p>
    <w:p>
      <w:pPr>
        <w:pStyle w:val="para2"/>
        <w:numPr>
          <w:ilvl w:val="1"/>
          <w:numId w:val="1"/>
        </w:numPr>
      </w:pPr>
      <w:bookmarkStart w:id="2" w:name="_REF000018"/>
      <w:r>
        <w:t>Der Kiel</w:t>
      </w:r>
      <w:bookmarkEnd w:id="2"/>
      <w:r/>
    </w:p>
    <w:p>
      <w:pPr>
        <w:pStyle w:val="para20"/>
      </w:pPr>
      <w:r>
        <w:t>Das klassische Vlieboot ohne zusätzliche Decks hatte am Anfang eine Kiellänge von 52 Fuß. Im Laufe der Entwicklung der Vlieboote verlängerte man den Kiel bis zu 75 Fuß.</w:t>
      </w:r>
    </w:p>
    <w:p>
      <w:pPr>
        <w:pStyle w:val="para20"/>
      </w:pPr>
      <w:r>
        <w:t xml:space="preserve">Das Vlieboot </w:t>
      </w:r>
      <w:r>
        <w:t>Vlieboot 1595-07-20</w:t>
      </w:r>
      <w:r>
        <w:t xml:space="preserve"> auf Seite </w:t>
      </w:r>
      <w:r>
        <w:t>75</w:t>
      </w:r>
      <w:r>
        <w:t xml:space="preserve"> und das </w:t>
      </w:r>
      <w:r>
        <w:t>Vlieboot 1595-07-27</w:t>
      </w:r>
      <w:r>
        <w:t xml:space="preserve"> auf Seite </w:t>
      </w:r>
      <w:r>
        <w:t>79</w:t>
      </w:r>
      <w:r>
        <w:t xml:space="preserve"> weisen eine Besonderheit auf. Wurde bei den meisten Vliebooten die Gesamtlänge des Kiels vorgegeben, verhielt es sich bei diesen Vliebooten etwas anders. Hier wurde die Länge des Kiels ohne die vordere Kiellasche mit 54 Fuß festgelegt. Wir müssen also für die Gesamtlänge noch die Länge der Lasche hinzurechnen. Wenn wir das Maß nicht zu hoch ansetzen, sind 8 Fuß ein gutes Maß.</w:t>
      </w:r>
    </w:p>
    <w:p>
      <w:pPr>
        <w:pStyle w:val="para20"/>
      </w:pPr>
      <w:r/>
    </w:p>
    <w:tbl>
      <w:tblPr>
        <w:name w:val="Tabelle-Kiel"/>
        <w:tabOrder w:val="0"/>
        <w:jc w:val="center"/>
        <w:tblInd w:w="0" w:type="dxa"/>
        <w:tblW w:w="7397" w:type="dxa"/>
        <w:pPr>
          <w:pStyle w:val="para20"/>
          <w:ind w:firstLine="0"/>
          <w:spacing/>
          <w:jc w:val="center"/>
        </w:pPr>
      </w:tblPr>
      <w:tblGrid>
        <w:gridCol w:w="1984"/>
        <w:gridCol w:w="948"/>
        <w:gridCol w:w="960"/>
        <w:gridCol w:w="801"/>
        <w:gridCol w:w="1199"/>
        <w:gridCol w:w="1505"/>
      </w:tblGrid>
      <w:tr>
        <w:trPr>
          <w:tblHeader w:val="0"/>
          <w:trKeepWithNext w:val="0"/>
          <w:trBreak w:val="0"/>
          <w:cantSplit w:val="0"/>
          <w:trHeight w:val="397" w:hRule="exact"/>
        </w:trPr>
        <w:tc>
          <w:tcPr>
            <w:tcW w:w="1984" w:type="dxa"/>
            <w:vMerge w:val="restar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single" w:sz="8" w:space="0" w:color="000000" tmln="20, 20, 20, 0, 0"/>
              <w:tr2bl w:val="nil" w:sz="0" w:space="0" w:color="000000" tmln="20, 20, 20, 0, 0"/>
            </w:tcBorders>
            <w:tmTcPr id="1611079790" protected="0"/>
          </w:tcPr>
          <w:p>
            <w:pPr>
              <w:pStyle w:val="para30"/>
              <w:spacing/>
              <w:jc w:val="both"/>
            </w:pPr>
            <w:r/>
          </w:p>
        </w:tc>
        <w:tc>
          <w:tcPr>
            <w:tcW w:w="948" w:type="dxa"/>
            <w:vAlign w:val="cente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Länge</w:t>
            </w:r>
          </w:p>
        </w:tc>
        <w:tc>
          <w:tcPr>
            <w:tcW w:w="960" w:type="dxa"/>
            <w:vAlign w:val="cente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Breite</w:t>
            </w:r>
          </w:p>
        </w:tc>
        <w:tc>
          <w:tcPr>
            <w:tcW w:w="801" w:type="dxa"/>
            <w:vAlign w:val="cente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Höhe</w:t>
            </w:r>
          </w:p>
        </w:tc>
        <w:tc>
          <w:tcPr>
            <w:tcW w:w="1199" w:type="dxa"/>
            <w:vAlign w:val="cente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Lasche</w:t>
            </w:r>
          </w:p>
        </w:tc>
        <w:tc>
          <w:tcPr>
            <w:tcW w:w="1505" w:type="dxa"/>
            <w:vAlign w:val="cente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Verlängerung</w:t>
            </w:r>
          </w:p>
        </w:tc>
      </w:tr>
      <w:tr>
        <w:trPr>
          <w:tblHeader w:val="0"/>
          <w:trKeepWithNext w:val="0"/>
          <w:trBreak w:val="0"/>
          <w:cantSplit w:val="0"/>
          <w:trHeight w:val="397" w:hRule="exact"/>
        </w:trPr>
        <w:tc>
          <w:tcPr>
            <w:tcW w:w="1984" w:type="dxa"/>
            <w:vMerge/>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single" w:sz="8" w:space="0" w:color="000000" tmln="20, 20, 20, 0, 0"/>
              <w:tr2bl w:val="nil" w:sz="0" w:space="0" w:color="000000" tmln="20, 20, 20, 0, 0"/>
            </w:tcBorders>
            <w:tmTcPr id="1611079790" protected="0"/>
          </w:tcPr>
          <w:p>
            <w:pPr>
              <w:pStyle w:val="para30"/>
              <w:spacing/>
              <w:jc w:val="both"/>
            </w:pP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[F]</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[D]</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[D]</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[F]</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left"/>
              <w:rPr>
                <w:b/>
                <w:bCs/>
              </w:rPr>
            </w:pPr>
            <w:r>
              <w:rPr>
                <w:b/>
                <w:bCs/>
              </w:rPr>
              <w:t>[F]</w:t>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1592</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52</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1594</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1594</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Voorloop</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1594</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18</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12</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1594</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15</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12</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1595</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15</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12</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8</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1595</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15</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12</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1595</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1596</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1597</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54</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14</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11</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Vlieboot 1598</w:t>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68</w:t>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15</w:t>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13</w:t>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t>-</w:t>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r>
        <w:trPr>
          <w:tblHeader w:val="0"/>
          <w:trKeepWithNext w:val="0"/>
          <w:trBreak w:val="0"/>
          <w:cantSplit w:val="0"/>
          <w:trHeight w:val="397" w:hRule="exact"/>
        </w:trPr>
        <w:tc>
          <w:tcPr>
            <w:tcW w:w="1984"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948"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960"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801"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199"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c>
          <w:tcPr>
            <w:tcW w:w="1505" w:type="dxa"/>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1079790" protected="0"/>
          </w:tcPr>
          <w:p>
            <w:pPr>
              <w:pStyle w:val="para30"/>
              <w:spacing/>
              <w:jc w:val="both"/>
            </w:pPr>
            <w:r/>
          </w:p>
        </w:tc>
      </w:tr>
    </w:tbl>
    <w:p>
      <w:pPr>
        <w:pStyle w:val="para20"/>
      </w:pPr>
      <w:r/>
    </w:p>
    <w:p>
      <w:pPr>
        <w:pStyle w:val="para2"/>
        <w:numPr>
          <w:ilvl w:val="1"/>
          <w:numId w:val="1"/>
        </w:numPr>
      </w:pPr>
      <w:r>
        <w:t>Die Spanten</w:t>
      </w:r>
    </w:p>
    <w:p>
      <w:pPr>
        <w:pStyle w:val="para20"/>
      </w:pPr>
      <w:r>
        <w:t xml:space="preserve">Der Aufbau der Spanten war im untersuchten Zeitraum immer gleich. Die Höhe der Wrangen auf dem Kiel betrug 1 Fuß. In der Kimm reduzierte sich das Maß auf 7 Daumen, im Bereich des Überlaufs verringerte sich das Material auf 6 Daumen. Im Bereich des Dolbooms fiel die Tiefe noch geringer aus. Sie reduzierte sich bis auf 4 Daumen. Siehe </w:t>
      </w:r>
      <w:r>
        <w:t>Abbildung 5</w:t>
      </w:r>
      <w:r>
        <w:t xml:space="preserve"> auf Seite </w:t>
      </w:r>
      <w:r>
        <w:t>3</w:t>
      </w:r>
      <w:r>
        <w:t>. Der Abstand zwischen den Wrangen wurde 1 Daumen geringer als die Breite der Wrange in Schiffslängsrichtung gewählt. Das würde sich auch mit weiteren Angaben in einem der späteren Bestecke decken. Hier wurde angegeben, dass die Breite in Schiffslängsrichtung 9, beziehungsweise 8 Daumen betragen müsste. In der Kimm des Schiffes wollte man immer gerne eine volle Holzlage haben. So wurde im Zuge der Rekonstruktion die Wrange auf dem Kiel 9 Daumen, die weiteren Hölzer nach oben nur 8 Daumen breit ausgeführt.</w:t>
      </w:r>
    </w:p>
    <w:p>
      <w:pPr>
        <w:pStyle w:val="para20"/>
      </w:pPr>
      <w:r>
        <w:t>Das feste Werk, also die Innenhölzer des Schiffes, reichten bis in einer Höhe von 13 Fuß. In dieser Höhe wurden auch die Spantköpfe mit einer Planke von 2 Daumen dicke abgeschlossen. Die Ausführung bis in eine Höhe von 14 Fuß ist noch nicht deutlich.</w:t>
      </w:r>
    </w:p>
    <w:p>
      <w:pPr>
        <w:pStyle w:val="para2"/>
        <w:numPr>
          <w:ilvl w:val="1"/>
          <w:numId w:val="1"/>
        </w:numPr>
      </w:pPr>
      <w:r>
        <w:t>Das Kielschwein</w:t>
      </w:r>
    </w:p>
    <w:p>
      <w:pPr>
        <w:pStyle w:val="para20"/>
      </w:pPr>
      <w:r>
        <w:t>Auffallend war, dass das Kielschwein nicht so stark ausgeführt wurde. Es hatte im Gegensatz zum Kiel eine vergleichsweise schmale Ausführung mit einer Breite von 12 Daumen.</w:t>
      </w:r>
    </w:p>
    <w:p>
      <w:pPr>
        <w:pStyle w:val="para14"/>
      </w:pP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9"/>
      <w:footerReference w:type="default" r:id="rId10"/>
      <w:type w:val="continuous"/>
      <w:pgSz w:h="16839" w:w="11907"/>
      <w:pgMar w:left="1701" w:top="1134" w:right="567" w:bottom="1134" w:header="567" w:footer="567"/>
      <w:paperSrc w:first="0" w:other="0" a="0" b="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Courier New">
    <w:panose1 w:val="02070309020205020404"/>
    <w:charset w:val="00"/>
    <w:family w:val="modern"/>
    <w:pitch w:val="default"/>
  </w:font>
  <w:font w:name="Mangal">
    <w:panose1 w:val="02040503050203030202"/>
    <w:charset w:val="00"/>
    <w:family w:val="auto"/>
    <w:pitch w:val="default"/>
  </w:font>
  <w:font w:name="Tahoma">
    <w:panose1 w:val="020B0604030504040204"/>
    <w:charset w:val="00"/>
    <w:family w:val="auto"/>
    <w:pitch w:val="default"/>
  </w:font>
  <w:font w:name="Lucida Sans Unicode">
    <w:panose1 w:val="020B0602030504020204"/>
    <w:charset w:val="00"/>
    <w:family w:val="auto"/>
    <w:pitch w:val="default"/>
  </w:font>
  <w:font w:name="Wingdings">
    <w:panose1 w:val="05000000000000000000"/>
    <w:charset w:val="02"/>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fldChar w:fldCharType="begin"/>
      <w:instrText xml:space="preserve"> STYLEREF "Überschrift 1"  </w:instrText>
      <w:fldChar w:fldCharType="separate"/>
      <w:t>Vorlagenverweis: Kein passender Text gefunden</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1"/>
    <w:lvl w:ilvl="0">
      <w:start w:val="1"/>
      <w:numFmt w:val="decimal"/>
      <w:pStyle w:val="para1"/>
      <w:suff w:val="dxa"/>
      <w:lvlText w:val="%1."/>
      <w:lvlJc w:val="left"/>
      <w:addIndent w:val="0"/>
      <w:bPr>
        <w:type w:val="num"/>
        <w:numType w:val="1"/>
        <w:position w:dxa="397" w:dya="0"/>
      </w:bPr>
    </w:lvl>
    <w:lvl w:ilvl="1">
      <w:start w:val="1"/>
      <w:numFmt w:val="decimal"/>
      <w:pStyle w:val="para2"/>
      <w:suff w:val="dxa"/>
      <w:lvlText w:val="%1.%2."/>
      <w:lvlJc w:val="left"/>
      <w:addIndent w:val="0"/>
      <w:bPr>
        <w:type w:val="num"/>
        <w:numType w:val="1"/>
        <w:position w:dxa="501" w:dya="0"/>
      </w:bPr>
    </w:lvl>
    <w:lvl w:ilvl="2">
      <w:start w:val="1"/>
      <w:numFmt w:val="decimal"/>
      <w:suff w:val="dxa"/>
      <w:lvlText w:val="%1.%2.%3."/>
      <w:lvlJc w:val="left"/>
      <w:addIndent w:val="0"/>
      <w:bPr>
        <w:type w:val="num"/>
        <w:numType w:val="1"/>
        <w:position w:dxa="642" w:dya="0"/>
      </w:bPr>
    </w:lvl>
    <w:lvl w:ilvl="3">
      <w:start w:val="1"/>
      <w:numFmt w:val="decimal"/>
      <w:suff w:val="dxa"/>
      <w:lvlText w:val="%1.%2.%3.%4."/>
      <w:lvlJc w:val="left"/>
      <w:addIndent w:val="0"/>
      <w:bPr>
        <w:type w:val="num"/>
        <w:numType w:val="1"/>
        <w:position w:dxa="783" w:dya="0"/>
      </w:bPr>
    </w:lvl>
    <w:lvl w:ilvl="4">
      <w:start w:val="1"/>
      <w:numFmt w:val="decimal"/>
      <w:suff w:val="dxa"/>
      <w:lvlText w:val="%1.%2.%3.%4.%5."/>
      <w:lvlJc w:val="left"/>
      <w:addIndent w:val="0"/>
      <w:bPr>
        <w:type w:val="num"/>
        <w:numType w:val="1"/>
        <w:position w:dxa="924" w:dya="0"/>
      </w:bPr>
    </w:lvl>
    <w:lvl w:ilvl="5">
      <w:start w:val="1"/>
      <w:numFmt w:val="decimal"/>
      <w:suff w:val="dxa"/>
      <w:lvlText w:val="%1.%2.%3.%4.%5.%6."/>
      <w:lvlJc w:val="left"/>
      <w:addIndent w:val="0"/>
      <w:bPr>
        <w:type w:val="num"/>
        <w:numType w:val="1"/>
        <w:position w:dxa="1065" w:dya="0"/>
      </w:bPr>
    </w:lvl>
    <w:lvl w:ilvl="6">
      <w:start w:val="1"/>
      <w:numFmt w:val="decimal"/>
      <w:suff w:val="dxa"/>
      <w:lvlText w:val="%1.%2.%3.%4.%5.%6.%7."/>
      <w:lvlJc w:val="left"/>
      <w:addIndent w:val="0"/>
      <w:bPr>
        <w:type w:val="num"/>
        <w:numType w:val="1"/>
        <w:position w:dxa="1206" w:dya="0"/>
      </w:bPr>
    </w:lvl>
    <w:lvl w:ilvl="7">
      <w:start w:val="1"/>
      <w:numFmt w:val="decimal"/>
      <w:suff w:val="dxa"/>
      <w:lvlText w:val="%1.%2.%3.%4.%5.%6.%7.%8."/>
      <w:lvlJc w:val="left"/>
      <w:addIndent w:val="0"/>
      <w:bPr>
        <w:type w:val="num"/>
        <w:numType w:val="1"/>
        <w:position w:dxa="1347" w:dya="0"/>
      </w:bPr>
    </w:lvl>
    <w:lvl w:ilvl="8">
      <w:start w:val="1"/>
      <w:numFmt w:val="decimal"/>
      <w:suff w:val="dxa"/>
      <w:lvlText w:val="%1.%2.%3.%4.%5.%6.%7.%8.%9."/>
      <w:lvlJc w:val="left"/>
      <w:addIndent w:val="0"/>
      <w:bPr>
        <w:type w:val="num"/>
        <w:numType w:val="1"/>
        <w:position w:dxa="1488" w:dya="0"/>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11079790" w:val="1024" w:fileVer="342" w:fileVer64="64" w:fileVerOS="4"/>
  <w:zoom w:percent="175"/>
  <w:view w:val="print"/>
  <w:mailMerge>
    <w:mainDocumentType w:val="formLetters"/>
    <w:linkToQuery/>
    <w:dataType w:val="odbc"/>
    <w:connectString w:val="DSN=dBASE Files;DBQ=D:\D\Datenbanken;DefaultDir=D:\D\Datenbanken;FIL=dBase 5.0;MaxBufferSize=2048;PageTimeout=5;"/>
    <w:query w:val="SELECT * FROM &quot;biblioSM&quot;"/>
    <w:dataSource r:id="rId1"/>
    <w:dataSourceType w:val="3" w:hasFldNames="1" w:table="biblioSM" w:char="59" w:qFormat="34"/>
  </w:mailMerge>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0" w:insDel="0" w:formatting="0"/>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73"/>
  <w:tmFmtPref w:val="1396715531"/>
  <w:tmCommentsPr>
    <w:tmCommentsPlace w:val="0"/>
    <w:tmCommentsWidth w:val="3120"/>
    <w:tmCommentsColor w:val="-1"/>
  </w:tmCommentsPr>
  <w:tmReviewPr>
    <w:tmReviewEnabled w:val="0"/>
    <w:tmReviewShow w:val="0"/>
    <w:tmReviewPrint w:val="0"/>
    <w:tmRevisionNum w:val="54"/>
    <w:tmReviewMarkIns w:val="4"/>
    <w:tmReviewColorIns w:val="-1"/>
    <w:tmReviewMarkDel w:val="6"/>
    <w:tmReviewColorDel w:val="-1"/>
    <w:tmReviewMarkFmt w:val="1"/>
    <w:tmReviewColorFmt w:val="-1"/>
    <w:tmReviewMarkLn w:val="1"/>
    <w:tmReviewColorLn w:val="0"/>
    <w:tmReviewToolTip w:val="0"/>
  </w:tmReviewPr>
  <w:tmLastPos>
    <w:tmLastPosPage w:val="1"/>
    <w:tmLastPosSelect w:val="4"/>
    <w:tmLastPosFrameIdx w:val="-1"/>
    <w:tmLastPosCaret>
      <w:tmLastPosPgfIdx w:val="0"/>
      <w:tmLastPosIdx w:val="0"/>
    </w:tmLastPosCaret>
    <w:tmLastPosAnchor>
      <w:tmLastPosPgfIdx w:val="0"/>
      <w:tmLastPosIdx w:val="0"/>
    </w:tmLastPosAnchor>
    <w:tmLastPosTblRect w:left="0" w:top="0" w:right="0" w:bottom="0"/>
  </w:tmLastPos>
  <w:indexPr w:heading="letter" w:char="dot"/>
  <bibliography>
    <bibdatabase name="D:\D\Datenbanken\biblioSM.sqlite" type="3" titles="1" charset="0" w:table="biblioSM" w:hasFldNames="1" w:char="59" w:qFormat="34"/>
    <bibkey val="REFERENCE"/>
    <bibauthor val="AUTHOR"/>
    <bibtitle val="TITLE"/>
    <bibmask val="\fn&quot;Comic Sans MS&quot;\fs150 [\field {#REF} ]: \field {AUTHOR} , \field {TITLE} \field {ZEITSCHRIF}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omic Sans MS" w:hAnsi="Comic Sans MS" w:eastAsia="Comic Sans MS" w:cs="Comic Sans MS"/>
    </w:rPr>
    <w:key w:val="1072"/>
  </w:style>
  <w:style w:type="paragraph" w:styleId="para1">
    <w:name w:val="heading 1"/>
    <w:qFormat/>
    <w:basedOn w:val="para0"/>
    <w:next w:val="para0"/>
    <w:pPr>
      <w:numPr>
        <w:ilvl w:val="0"/>
        <w:numId w:val="1"/>
      </w:numPr>
      <w:ind w:left="360"/>
      <w:spacing w:before="80" w:after="60"/>
      <w:jc w:val="center"/>
      <w:suppressAutoHyphens/>
      <w:hyphenationLines w:val="0"/>
      <w:pageBreakBefore/>
      <w:keepNext/>
      <w:outlineLvl w:val="0"/>
      <w:keepLines/>
    </w:pPr>
    <w:rPr>
      <w:b/>
      <w:bCs/>
      <w:color w:val="ff0000"/>
    </w:rPr>
    <w:key w:val="1073"/>
  </w:style>
  <w:style w:type="paragraph" w:styleId="para2">
    <w:name w:val="heading 2"/>
    <w:qFormat/>
    <w:basedOn w:val="para1"/>
    <w:next w:val="para0"/>
    <w:pPr>
      <w:numPr>
        <w:ilvl w:val="1"/>
        <w:numId w:val="1"/>
      </w:numPr>
      <w:ind w:left="501"/>
      <w:spacing w:before="40" w:after="40"/>
      <w:pageBreakBefore w:val="0"/>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next w:val="para9"/>
    <w:pPr>
      <w:ind w:firstLine="283"/>
      <w:spacing w:after="80"/>
    </w:pPr>
    <w:rPr>
      <w:lang w:val="nl-nl"/>
    </w:rPr>
    <w:key w:val="1113"/>
  </w:style>
  <w:style w:type="paragraph" w:styleId="para5">
    <w:name w:val="Footnote Text"/>
    <w:qFormat/>
    <w:basedOn w:val="para0"/>
    <w:pPr>
      <w:ind w:left="397" w:hanging="397"/>
      <w:spacing w:before="20" w:after="40"/>
      <w:suppressAutoHyphens/>
      <w:hyphenationLines w:val="0"/>
      <w:tabs defTabSz="708">
        <w:tab w:val="left" w:pos="397" w:leader="none"/>
      </w:tabs>
    </w:pPr>
    <w:rPr>
      <w:sz w:val="18"/>
      <w:szCs w:val="18"/>
      <w:lang w:val="de-de" w:eastAsia="de-de" w:bidi="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567"/>
      <w:spacing w:after="80"/>
    </w:pPr>
    <w:rPr>
      <w:lang w:val="nl-nl"/>
    </w:rPr>
  </w:style>
  <w:style w:type="paragraph" w:styleId="para8">
    <w:name w:val="Header"/>
    <w:qFormat/>
    <w:basedOn w:val="para0"/>
    <w:pPr>
      <w:ind w:left="360"/>
      <w:spacing w:after="100"/>
      <w:outlineLvl w:val="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firstLine="0"/>
      <w:spacing/>
      <w:jc w:val="center"/>
      <w:suppressAutoHyphens/>
      <w:hyphenationLines w:val="0"/>
      <w:keepNext/>
    </w:pPr>
    <w:rPr>
      <w:b/>
      <w:bCs/>
      <w:color w:val="ff0000"/>
    </w:rPr>
    <w:key w:val="1090"/>
  </w:style>
  <w:style w:type="paragraph" w:styleId="para10" w:customStyle="1">
    <w:name w:val="Seitenwechsel"/>
    <w:qFormat/>
    <w:basedOn w:val="para9"/>
    <w:next w:val="para4"/>
  </w:style>
  <w:style w:type="paragraph" w:styleId="para11">
    <w:name w:val="caption"/>
    <w:qFormat/>
    <w:basedOn w:val="para0"/>
    <w:pPr>
      <w:suppressAutoHyphens/>
      <w:hyphenationLines w:val="0"/>
    </w:pPr>
    <w:rPr>
      <w:i/>
      <w:sz w:val="18"/>
      <w:szCs w:val="18"/>
    </w:rPr>
  </w:style>
  <w:style w:type="paragraph" w:styleId="para12" w:customStyle="1">
    <w:name w:val="Erste-Seite-Infos"/>
    <w:qFormat/>
    <w:basedOn w:val="para4"/>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spacing w:after="20"/>
      <w:suppressAutoHyphens/>
      <w:hyphenationLines w:val="0"/>
      <w:keepLines/>
      <w:tabs defTabSz="708">
        <w:tab w:val="right" w:pos="9639" w:leader="dot"/>
      </w:tabs>
    </w:pPr>
    <w:rPr>
      <w:sz w:val="18"/>
      <w:szCs w:val="18"/>
    </w:rPr>
  </w:style>
  <w:style w:type="paragraph" w:styleId="para15">
    <w:name w:val="Index Heading"/>
    <w:qFormat/>
    <w:basedOn w:val="para0"/>
    <w:next w:val="para14"/>
    <w:pPr>
      <w:ind w:left="283"/>
      <w:spacing w:before="120" w:after="10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Plain Text"/>
    <w:qFormat/>
    <w:basedOn w:val="para0"/>
    <w:pPr>
      <w:suppressAutoHyphens/>
      <w:hyphenationLines w:val="0"/>
    </w:pPr>
    <w:rPr>
      <w:rFonts w:ascii="Courier New" w:hAnsi="Courier New" w:eastAsia="Courier New" w:cs="Courier New"/>
    </w:rPr>
  </w:style>
  <w:style w:type="paragraph" w:styleId="para18">
    <w:name w:val="Table of Authorities"/>
    <w:qFormat/>
    <w:basedOn w:val="para0"/>
    <w:next w:val="para0"/>
  </w:style>
  <w:style w:type="paragraph" w:styleId="para19">
    <w:name w:val="toc 1"/>
    <w:qFormat/>
    <w:basedOn w:val="para0"/>
    <w:next w:val="para0"/>
    <w:pPr>
      <w:spacing w:after="20"/>
      <w:suppressAutoHyphens/>
      <w:hyphenationLines w:val="0"/>
    </w:pPr>
    <w:rPr>
      <w:sz w:val="18"/>
      <w:szCs w:val="18"/>
    </w:rPr>
  </w:style>
  <w:style w:type="paragraph" w:styleId="para20" w:customStyle="1">
    <w:name w:val="Schiffbau"/>
    <w:qFormat/>
    <w:basedOn w:val="para4"/>
    <w:pPr>
      <w:spacing w:after="40"/>
      <w:hyphenationLines w:val="2"/>
    </w:pPr>
    <w:rPr>
      <w:lang w:val="de-de" w:eastAsia="de-de" w:bidi="de-de"/>
    </w:rPr>
  </w:style>
  <w:style w:type="paragraph" w:styleId="para21" w:customStyle="1">
    <w:name w:val="Standard"/>
    <w:qFormat/>
    <w:basedOn w:val="para0"/>
    <w:pPr>
      <w:suppressAutoHyphens/>
      <w:hyphenationLines w:val="0"/>
      <w:tabs defTabSz="709"/>
    </w:pPr>
    <w:rPr>
      <w:rFonts w:eastAsia="Lucida Sans Unicode" w:cs="Tahoma"/>
      <w:szCs w:val="24"/>
      <w:lang w:val="de-de"/>
    </w:rPr>
  </w:style>
  <w:style w:type="paragraph" w:styleId="para22" w:customStyle="1">
    <w:name w:val="Text body"/>
    <w:qFormat/>
    <w:basedOn w:val="para21"/>
    <w:pPr>
      <w:spacing w:after="120"/>
      <w:jc w:val="center"/>
      <w:hyphenationLines w:val="1"/>
      <w:widowControl/>
      <w:tabs defTabSz="709">
        <w:tab w:val="left" w:pos="2149" w:leader="none"/>
        <w:tab w:val="decimal" w:pos="3074" w:leader="none"/>
        <w:tab w:val="decimal" w:pos="3672" w:leader="none"/>
        <w:tab w:val="decimal" w:pos="4366" w:leader="none"/>
        <w:tab w:val="left" w:pos="4521" w:leader="none"/>
      </w:tabs>
    </w:pPr>
    <w:rPr>
      <w:color w:val="000000"/>
    </w:rPr>
  </w:style>
  <w:style w:type="paragraph" w:styleId="para23" w:customStyle="1">
    <w:name w:val="Artikel-Textkörper"/>
    <w:qFormat/>
    <w:basedOn w:val="para22"/>
    <w:pPr>
      <w:spacing w:after="85"/>
      <w:jc w:val="left"/>
      <w:suppressAutoHyphens/>
      <w:hyphenationLines w:val="0"/>
      <w:widowControl w:val="0"/>
      <w:tabs defTabSz="708">
        <w:tab w:val="left" w:pos="2149" w:leader="none"/>
        <w:tab w:val="left" w:pos="2269" w:leader="none"/>
        <w:tab w:val="decimal" w:pos="3074" w:leader="none"/>
        <w:tab w:val="decimal" w:pos="3672" w:leader="none"/>
        <w:tab w:val="decimal" w:pos="3970" w:leader="none"/>
        <w:tab w:val="left" w:pos="4081" w:leader="none"/>
        <w:tab w:val="decimal" w:pos="4366" w:leader="none"/>
        <w:tab w:val="left" w:pos="4521" w:leader="none"/>
      </w:tabs>
    </w:pPr>
    <w:rPr>
      <w:rFonts w:eastAsia="Comic Sans MS" w:cs="Comic Sans MS"/>
      <w:szCs w:val="20"/>
    </w:rPr>
  </w:style>
  <w:style w:type="paragraph" w:styleId="para24" w:customStyle="1">
    <w:name w:val="Artikel-Zitat"/>
    <w:qFormat/>
    <w:basedOn w:val="para0"/>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i/>
      <w:iCs/>
      <w:color w:val="000000"/>
      <w:sz w:val="18"/>
      <w:szCs w:val="18"/>
      <w:lang w:val="nl-nl"/>
    </w:rPr>
  </w:style>
  <w:style w:type="paragraph" w:styleId="para25">
    <w:name w:val="toc 3"/>
    <w:qFormat/>
    <w:basedOn w:val="para0"/>
    <w:next w:val="para0"/>
    <w:pPr>
      <w:ind w:left="566"/>
    </w:pPr>
    <w:rPr>
      <w:sz w:val="18"/>
      <w:szCs w:val="18"/>
    </w:rPr>
  </w:style>
  <w:style w:type="paragraph" w:styleId="para26">
    <w:name w:val="toc 2"/>
    <w:qFormat/>
    <w:basedOn w:val="para0"/>
    <w:next w:val="para0"/>
    <w:pPr>
      <w:ind w:left="283"/>
    </w:pPr>
    <w:rPr>
      <w:sz w:val="18"/>
      <w:szCs w:val="18"/>
    </w:rPr>
  </w:style>
  <w:style w:type="paragraph" w:styleId="para27">
    <w:name w:val="Bibliography"/>
    <w:qFormat/>
    <w:pPr>
      <w:ind w:left="850" w:hanging="850"/>
      <w:suppressAutoHyphens/>
      <w:hyphenationLines w:val="0"/>
    </w:pPr>
    <w:rPr>
      <w:rFonts w:ascii="Comic Sans MS" w:hAnsi="Comic Sans MS" w:eastAsia="Comic Sans MS" w:cs="Comic Sans MS"/>
      <w:kern w:val="1" kern="1"/>
      <w:sz w:val="18"/>
      <w:szCs w:val="18"/>
      <w:lang w:val="de-de" w:eastAsia="de-de" w:bidi="de-de"/>
    </w:rPr>
  </w:style>
  <w:style w:type="paragraph" w:styleId="para28">
    <w:name w:val="Table of Figures"/>
    <w:qFormat/>
    <w:basedOn w:val="para0"/>
    <w:next w:val="para0"/>
    <w:pPr>
      <w:ind w:left="1191" w:hanging="1191"/>
      <w:suppressAutoHyphens/>
      <w:hyphenationLines w:val="0"/>
      <w:tabs defTabSz="708">
        <w:tab w:val="left" w:pos="1417" w:leader="dot"/>
        <w:tab w:val="right" w:pos="9639" w:leader="dot"/>
      </w:tabs>
    </w:pPr>
    <w:rPr>
      <w:sz w:val="18"/>
      <w:szCs w:val="18"/>
    </w:rPr>
  </w:style>
  <w:style w:type="paragraph" w:styleId="para29">
    <w:name w:val="Quote"/>
    <w:qFormat/>
    <w:basedOn w:val="para0"/>
    <w:next w:val="para0"/>
    <w:pPr>
      <w:ind w:left="567" w:right="567"/>
      <w:spacing w:before="100" w:after="100"/>
    </w:pPr>
    <w:rPr>
      <w:i/>
      <w:iCs/>
    </w:rPr>
  </w:style>
  <w:style w:type="paragraph" w:styleId="para30" w:customStyle="1">
    <w:name w:val="Schiffbau-Tabellen"/>
    <w:qFormat/>
    <w:basedOn w:val="para20"/>
    <w:pPr>
      <w:spacing w:before="100" w:after="100"/>
      <w:jc w:val="center"/>
    </w:pPr>
    <w:rPr>
      <w:sz w:val="16"/>
      <w:szCs w:val="16"/>
    </w:rPr>
  </w:style>
  <w:style w:type="character" w:styleId="char0" w:default="1">
    <w:name w:val="Default Paragraph Font"/>
  </w:style>
  <w:style w:type="character" w:styleId="char1">
    <w:name w:val="Footnote Reference"/>
    <w:rPr>
      <w:rFonts w:ascii="Comic Sans MS" w:hAnsi="Comic Sans MS"/>
      <w:b w:val="0"/>
      <w:i w:val="0"/>
      <w:sz w:val="18"/>
      <w:vertAlign w:val="superscript" ssSize="80" ssDist="15"/>
      <w:lang w:val="de-de"/>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omic Sans MS" w:hAnsi="Comic Sans MS" w:eastAsia="Comic Sans MS" w:cs="Comic Sans MS"/>
    </w:rPr>
    <w:key w:val="1072"/>
  </w:style>
  <w:style w:type="paragraph" w:styleId="para1">
    <w:name w:val="heading 1"/>
    <w:qFormat/>
    <w:basedOn w:val="para0"/>
    <w:next w:val="para0"/>
    <w:pPr>
      <w:numPr>
        <w:ilvl w:val="0"/>
        <w:numId w:val="1"/>
      </w:numPr>
      <w:ind w:left="360"/>
      <w:spacing w:before="80" w:after="60"/>
      <w:jc w:val="center"/>
      <w:suppressAutoHyphens/>
      <w:hyphenationLines w:val="0"/>
      <w:pageBreakBefore/>
      <w:keepNext/>
      <w:outlineLvl w:val="0"/>
      <w:keepLines/>
    </w:pPr>
    <w:rPr>
      <w:b/>
      <w:bCs/>
      <w:color w:val="ff0000"/>
    </w:rPr>
    <w:key w:val="1073"/>
  </w:style>
  <w:style w:type="paragraph" w:styleId="para2">
    <w:name w:val="heading 2"/>
    <w:qFormat/>
    <w:basedOn w:val="para1"/>
    <w:next w:val="para0"/>
    <w:pPr>
      <w:numPr>
        <w:ilvl w:val="1"/>
        <w:numId w:val="1"/>
      </w:numPr>
      <w:ind w:left="501"/>
      <w:spacing w:before="40" w:after="40"/>
      <w:pageBreakBefore w:val="0"/>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next w:val="para9"/>
    <w:pPr>
      <w:ind w:firstLine="283"/>
      <w:spacing w:after="80"/>
    </w:pPr>
    <w:rPr>
      <w:lang w:val="nl-nl"/>
    </w:rPr>
    <w:key w:val="1113"/>
  </w:style>
  <w:style w:type="paragraph" w:styleId="para5">
    <w:name w:val="Footnote Text"/>
    <w:qFormat/>
    <w:basedOn w:val="para0"/>
    <w:pPr>
      <w:ind w:left="397" w:hanging="397"/>
      <w:spacing w:before="20" w:after="40"/>
      <w:suppressAutoHyphens/>
      <w:hyphenationLines w:val="0"/>
      <w:tabs defTabSz="708">
        <w:tab w:val="left" w:pos="397" w:leader="none"/>
      </w:tabs>
    </w:pPr>
    <w:rPr>
      <w:sz w:val="18"/>
      <w:szCs w:val="18"/>
      <w:lang w:val="de-de" w:eastAsia="de-de" w:bidi="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567"/>
      <w:spacing w:after="80"/>
    </w:pPr>
    <w:rPr>
      <w:lang w:val="nl-nl"/>
    </w:rPr>
  </w:style>
  <w:style w:type="paragraph" w:styleId="para8">
    <w:name w:val="Header"/>
    <w:qFormat/>
    <w:basedOn w:val="para0"/>
    <w:pPr>
      <w:ind w:left="360"/>
      <w:spacing w:after="100"/>
      <w:outlineLvl w:val="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firstLine="0"/>
      <w:spacing/>
      <w:jc w:val="center"/>
      <w:suppressAutoHyphens/>
      <w:hyphenationLines w:val="0"/>
      <w:keepNext/>
    </w:pPr>
    <w:rPr>
      <w:b/>
      <w:bCs/>
      <w:color w:val="ff0000"/>
    </w:rPr>
    <w:key w:val="1090"/>
  </w:style>
  <w:style w:type="paragraph" w:styleId="para10" w:customStyle="1">
    <w:name w:val="Seitenwechsel"/>
    <w:qFormat/>
    <w:basedOn w:val="para9"/>
    <w:next w:val="para4"/>
  </w:style>
  <w:style w:type="paragraph" w:styleId="para11">
    <w:name w:val="caption"/>
    <w:qFormat/>
    <w:basedOn w:val="para0"/>
    <w:pPr>
      <w:suppressAutoHyphens/>
      <w:hyphenationLines w:val="0"/>
    </w:pPr>
    <w:rPr>
      <w:i/>
      <w:sz w:val="18"/>
      <w:szCs w:val="18"/>
    </w:rPr>
  </w:style>
  <w:style w:type="paragraph" w:styleId="para12" w:customStyle="1">
    <w:name w:val="Erste-Seite-Infos"/>
    <w:qFormat/>
    <w:basedOn w:val="para4"/>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spacing w:after="20"/>
      <w:suppressAutoHyphens/>
      <w:hyphenationLines w:val="0"/>
      <w:keepLines/>
      <w:tabs defTabSz="708">
        <w:tab w:val="right" w:pos="9639" w:leader="dot"/>
      </w:tabs>
    </w:pPr>
    <w:rPr>
      <w:sz w:val="18"/>
      <w:szCs w:val="18"/>
    </w:rPr>
  </w:style>
  <w:style w:type="paragraph" w:styleId="para15">
    <w:name w:val="Index Heading"/>
    <w:qFormat/>
    <w:basedOn w:val="para0"/>
    <w:next w:val="para14"/>
    <w:pPr>
      <w:ind w:left="283"/>
      <w:spacing w:before="120" w:after="10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Plain Text"/>
    <w:qFormat/>
    <w:basedOn w:val="para0"/>
    <w:pPr>
      <w:suppressAutoHyphens/>
      <w:hyphenationLines w:val="0"/>
    </w:pPr>
    <w:rPr>
      <w:rFonts w:ascii="Courier New" w:hAnsi="Courier New" w:eastAsia="Courier New" w:cs="Courier New"/>
    </w:rPr>
  </w:style>
  <w:style w:type="paragraph" w:styleId="para18">
    <w:name w:val="Table of Authorities"/>
    <w:qFormat/>
    <w:basedOn w:val="para0"/>
    <w:next w:val="para0"/>
  </w:style>
  <w:style w:type="paragraph" w:styleId="para19">
    <w:name w:val="toc 1"/>
    <w:qFormat/>
    <w:basedOn w:val="para0"/>
    <w:next w:val="para0"/>
    <w:pPr>
      <w:spacing w:after="20"/>
      <w:suppressAutoHyphens/>
      <w:hyphenationLines w:val="0"/>
    </w:pPr>
    <w:rPr>
      <w:sz w:val="18"/>
      <w:szCs w:val="18"/>
    </w:rPr>
  </w:style>
  <w:style w:type="paragraph" w:styleId="para20" w:customStyle="1">
    <w:name w:val="Schiffbau"/>
    <w:qFormat/>
    <w:basedOn w:val="para4"/>
    <w:pPr>
      <w:spacing w:after="40"/>
      <w:hyphenationLines w:val="2"/>
    </w:pPr>
    <w:rPr>
      <w:lang w:val="de-de" w:eastAsia="de-de" w:bidi="de-de"/>
    </w:rPr>
  </w:style>
  <w:style w:type="paragraph" w:styleId="para21" w:customStyle="1">
    <w:name w:val="Standard"/>
    <w:qFormat/>
    <w:basedOn w:val="para0"/>
    <w:pPr>
      <w:suppressAutoHyphens/>
      <w:hyphenationLines w:val="0"/>
      <w:tabs defTabSz="709"/>
    </w:pPr>
    <w:rPr>
      <w:rFonts w:eastAsia="Lucida Sans Unicode" w:cs="Tahoma"/>
      <w:szCs w:val="24"/>
      <w:lang w:val="de-de"/>
    </w:rPr>
  </w:style>
  <w:style w:type="paragraph" w:styleId="para22" w:customStyle="1">
    <w:name w:val="Text body"/>
    <w:qFormat/>
    <w:basedOn w:val="para21"/>
    <w:pPr>
      <w:spacing w:after="120"/>
      <w:jc w:val="center"/>
      <w:hyphenationLines w:val="1"/>
      <w:widowControl/>
      <w:tabs defTabSz="709">
        <w:tab w:val="left" w:pos="2149" w:leader="none"/>
        <w:tab w:val="decimal" w:pos="3074" w:leader="none"/>
        <w:tab w:val="decimal" w:pos="3672" w:leader="none"/>
        <w:tab w:val="decimal" w:pos="4366" w:leader="none"/>
        <w:tab w:val="left" w:pos="4521" w:leader="none"/>
      </w:tabs>
    </w:pPr>
    <w:rPr>
      <w:color w:val="000000"/>
    </w:rPr>
  </w:style>
  <w:style w:type="paragraph" w:styleId="para23" w:customStyle="1">
    <w:name w:val="Artikel-Textkörper"/>
    <w:qFormat/>
    <w:basedOn w:val="para22"/>
    <w:pPr>
      <w:spacing w:after="85"/>
      <w:jc w:val="left"/>
      <w:suppressAutoHyphens/>
      <w:hyphenationLines w:val="0"/>
      <w:widowControl w:val="0"/>
      <w:tabs defTabSz="708">
        <w:tab w:val="left" w:pos="2149" w:leader="none"/>
        <w:tab w:val="left" w:pos="2269" w:leader="none"/>
        <w:tab w:val="decimal" w:pos="3074" w:leader="none"/>
        <w:tab w:val="decimal" w:pos="3672" w:leader="none"/>
        <w:tab w:val="decimal" w:pos="3970" w:leader="none"/>
        <w:tab w:val="left" w:pos="4081" w:leader="none"/>
        <w:tab w:val="decimal" w:pos="4366" w:leader="none"/>
        <w:tab w:val="left" w:pos="4521" w:leader="none"/>
      </w:tabs>
    </w:pPr>
    <w:rPr>
      <w:rFonts w:eastAsia="Comic Sans MS" w:cs="Comic Sans MS"/>
      <w:szCs w:val="20"/>
    </w:rPr>
  </w:style>
  <w:style w:type="paragraph" w:styleId="para24" w:customStyle="1">
    <w:name w:val="Artikel-Zitat"/>
    <w:qFormat/>
    <w:basedOn w:val="para0"/>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i/>
      <w:iCs/>
      <w:color w:val="000000"/>
      <w:sz w:val="18"/>
      <w:szCs w:val="18"/>
      <w:lang w:val="nl-nl"/>
    </w:rPr>
  </w:style>
  <w:style w:type="paragraph" w:styleId="para25">
    <w:name w:val="toc 3"/>
    <w:qFormat/>
    <w:basedOn w:val="para0"/>
    <w:next w:val="para0"/>
    <w:pPr>
      <w:ind w:left="566"/>
    </w:pPr>
    <w:rPr>
      <w:sz w:val="18"/>
      <w:szCs w:val="18"/>
    </w:rPr>
  </w:style>
  <w:style w:type="paragraph" w:styleId="para26">
    <w:name w:val="toc 2"/>
    <w:qFormat/>
    <w:basedOn w:val="para0"/>
    <w:next w:val="para0"/>
    <w:pPr>
      <w:ind w:left="283"/>
    </w:pPr>
    <w:rPr>
      <w:sz w:val="18"/>
      <w:szCs w:val="18"/>
    </w:rPr>
  </w:style>
  <w:style w:type="paragraph" w:styleId="para27">
    <w:name w:val="Bibliography"/>
    <w:qFormat/>
    <w:pPr>
      <w:ind w:left="850" w:hanging="850"/>
      <w:suppressAutoHyphens/>
      <w:hyphenationLines w:val="0"/>
    </w:pPr>
    <w:rPr>
      <w:rFonts w:ascii="Comic Sans MS" w:hAnsi="Comic Sans MS" w:eastAsia="Comic Sans MS" w:cs="Comic Sans MS"/>
      <w:kern w:val="1" kern="1"/>
      <w:sz w:val="18"/>
      <w:szCs w:val="18"/>
      <w:lang w:val="de-de" w:eastAsia="de-de" w:bidi="de-de"/>
    </w:rPr>
  </w:style>
  <w:style w:type="paragraph" w:styleId="para28">
    <w:name w:val="Table of Figures"/>
    <w:qFormat/>
    <w:basedOn w:val="para0"/>
    <w:next w:val="para0"/>
    <w:pPr>
      <w:ind w:left="1191" w:hanging="1191"/>
      <w:suppressAutoHyphens/>
      <w:hyphenationLines w:val="0"/>
      <w:tabs defTabSz="708">
        <w:tab w:val="left" w:pos="1417" w:leader="dot"/>
        <w:tab w:val="right" w:pos="9639" w:leader="dot"/>
      </w:tabs>
    </w:pPr>
    <w:rPr>
      <w:sz w:val="18"/>
      <w:szCs w:val="18"/>
    </w:rPr>
  </w:style>
  <w:style w:type="paragraph" w:styleId="para29">
    <w:name w:val="Quote"/>
    <w:qFormat/>
    <w:basedOn w:val="para0"/>
    <w:next w:val="para0"/>
    <w:pPr>
      <w:ind w:left="567" w:right="567"/>
      <w:spacing w:before="100" w:after="100"/>
    </w:pPr>
    <w:rPr>
      <w:i/>
      <w:iCs/>
    </w:rPr>
  </w:style>
  <w:style w:type="paragraph" w:styleId="para30" w:customStyle="1">
    <w:name w:val="Schiffbau-Tabellen"/>
    <w:qFormat/>
    <w:basedOn w:val="para20"/>
    <w:pPr>
      <w:spacing w:before="100" w:after="100"/>
      <w:jc w:val="center"/>
    </w:pPr>
    <w:rPr>
      <w:sz w:val="16"/>
      <w:szCs w:val="16"/>
    </w:rPr>
  </w:style>
  <w:style w:type="character" w:styleId="char0" w:default="1">
    <w:name w:val="Default Paragraph Font"/>
  </w:style>
  <w:style w:type="character" w:styleId="char1">
    <w:name w:val="Footnote Reference"/>
    <w:rPr>
      <w:rFonts w:ascii="Comic Sans MS" w:hAnsi="Comic Sans MS"/>
      <w:b w:val="0"/>
      <w:i w:val="0"/>
      <w:sz w:val="18"/>
      <w:vertAlign w:val="superscript" ssSize="80" ssDist="15"/>
      <w:lang w:val="de-de"/>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D:\D\Datenbanken\biblioSM.sql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Bestecke der Vlieboote von 1592 bis 1598</dc:title>
  <dc:subject>Bestecke für Aurich</dc:subject>
  <dc:creator>Werner Ulrich</dc:creator>
  <cp:keywords/>
  <dc:description/>
  <cp:lastModifiedBy>Werner Ulrich</cp:lastModifiedBy>
  <cp:revision>54</cp:revision>
  <cp:lastPrinted>2021-01-18T13:54:48Z</cp:lastPrinted>
  <dcterms:created xsi:type="dcterms:W3CDTF">2020-02-08T12:33:42Z</dcterms:created>
  <dcterms:modified xsi:type="dcterms:W3CDTF">2021-01-19T18:09:50Z</dcterms:modified>
</cp:coreProperties>
</file>