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r/>
      <w:r>
        <w:br w:type="page"/>
      </w:r>
    </w:p>
    <w:p>
      <w:pPr>
        <w:pStyle w:val="para6"/>
        <w:tabs defTabSz="708">
          <w:tab w:val="right" w:pos="9639" w:leader="dot"/>
        </w:tabs>
      </w:pPr>
      <w:r>
        <w:fldChar w:fldCharType="begin"/>
      </w:r>
      <w:r>
        <w:instrText xml:space="preserve"> TOC \o "1 - 9" </w:instrText>
      </w:r>
      <w:r>
        <w:fldChar w:fldCharType="separate"/>
      </w:r>
      <w:r>
        <w:rPr>
          <w:hyperlink w:anchor="_TOC000001"/>
        </w:rPr>
        <w:t>Allgemeines zu den Bestecken.</w:t>
        <w:tab/>
        <w:t>4</w:t>
      </w:r>
    </w:p>
    <w:p>
      <w:pPr>
        <w:pStyle w:val="para6"/>
        <w:tabs defTabSz="708">
          <w:tab w:val="right" w:pos="9639" w:leader="dot"/>
        </w:tabs>
      </w:pPr>
      <w:r>
        <w:rPr>
          <w:hyperlink w:anchor="_TOC000014"/>
        </w:rPr>
        <w:t>Konstruktionswerkzeuge in den Niederlanden</w:t>
        <w:tab/>
        <w:t>6</w:t>
      </w:r>
    </w:p>
    <w:p>
      <w:pPr>
        <w:pStyle w:val="para7"/>
        <w:tabs defTabSz="708">
          <w:tab w:val="right" w:pos="9639" w:leader="dot"/>
        </w:tabs>
      </w:pPr>
      <w:r>
        <w:rPr>
          <w:hyperlink w:anchor="_TOC000003"/>
        </w:rPr>
        <w:t>Die Senten</w:t>
        <w:tab/>
        <w:t>6</w:t>
      </w:r>
    </w:p>
    <w:p>
      <w:pPr>
        <w:pStyle w:val="para7"/>
        <w:tabs defTabSz="708">
          <w:tab w:val="right" w:pos="9639" w:leader="dot"/>
        </w:tabs>
      </w:pPr>
      <w:r>
        <w:rPr>
          <w:hyperlink w:anchor="_TOC000004"/>
        </w:rPr>
        <w:t>Der Entwurf vor 1700</w:t>
        <w:tab/>
        <w:t>7</w:t>
      </w:r>
    </w:p>
    <w:p>
      <w:pPr>
        <w:pStyle w:val="para7"/>
        <w:tabs defTabSz="708">
          <w:tab w:val="right" w:pos="9639" w:leader="dot"/>
        </w:tabs>
      </w:pPr>
      <w:r>
        <w:rPr>
          <w:hyperlink w:anchor="_TOC000005"/>
        </w:rPr>
        <w:t>Das Heck der frühen Schiffe</w:t>
        <w:tab/>
        <w:t>8</w:t>
      </w:r>
    </w:p>
    <w:p>
      <w:pPr>
        <w:pStyle w:val="para7"/>
        <w:tabs defTabSz="708">
          <w:tab w:val="right" w:pos="9639" w:leader="dot"/>
        </w:tabs>
      </w:pPr>
      <w:r>
        <w:rPr>
          <w:hyperlink w:anchor="_TOC000066"/>
        </w:rPr>
        <w:t>Ausgang der Betrachtung</w:t>
        <w:tab/>
        <w:t>8</w:t>
      </w:r>
    </w:p>
    <w:p>
      <w:pPr>
        <w:pStyle w:val="para7"/>
        <w:tabs defTabSz="708">
          <w:tab w:val="right" w:pos="9639" w:leader="dot"/>
        </w:tabs>
      </w:pPr>
      <w:r>
        <w:rPr>
          <w:hyperlink w:anchor="_TOC000066"/>
        </w:rPr>
        <w:t>Die Anfänge des Kriegsschiffbaus</w:t>
        <w:tab/>
        <w:t>10</w:t>
      </w:r>
    </w:p>
    <w:p>
      <w:pPr>
        <w:pStyle w:val="para7"/>
        <w:tabs defTabSz="708">
          <w:tab w:val="right" w:pos="9639" w:leader="dot"/>
        </w:tabs>
      </w:pPr>
      <w:r>
        <w:rPr>
          <w:hyperlink w:anchor="_TOC000066"/>
        </w:rPr>
        <w:t>Die Veränderungen am Heck</w:t>
        <w:tab/>
        <w:t>11</w:t>
      </w:r>
    </w:p>
    <w:p>
      <w:pPr>
        <w:pStyle w:val="para7"/>
        <w:tabs defTabSz="708">
          <w:tab w:val="right" w:pos="9639" w:leader="dot"/>
        </w:tabs>
      </w:pPr>
      <w:r>
        <w:rPr>
          <w:hyperlink w:anchor="_TOC000066"/>
        </w:rPr>
        <w:t>Bestecke nach 1600</w:t>
        <w:tab/>
        <w:t>12</w:t>
      </w:r>
    </w:p>
    <w:p>
      <w:pPr>
        <w:pStyle w:val="para7"/>
        <w:tabs defTabSz="708">
          <w:tab w:val="right" w:pos="9639" w:leader="dot"/>
        </w:tabs>
      </w:pPr>
      <w:r>
        <w:rPr>
          <w:hyperlink w:anchor="_TOC000066"/>
        </w:rPr>
        <w:t>Menschliche Aspekte</w:t>
        <w:tab/>
        <w:t>12</w:t>
      </w:r>
    </w:p>
    <w:p>
      <w:pPr>
        <w:pStyle w:val="para7"/>
        <w:tabs defTabSz="708">
          <w:tab w:val="right" w:pos="9639" w:leader="dot"/>
        </w:tabs>
      </w:pPr>
      <w:r>
        <w:rPr>
          <w:hyperlink w:anchor="_TOC000066"/>
        </w:rPr>
        <w:t>Regeln im 17. Jahrhundert</w:t>
        <w:tab/>
        <w:t>13</w:t>
      </w:r>
    </w:p>
    <w:p>
      <w:pPr>
        <w:pStyle w:val="para7"/>
        <w:tabs defTabSz="708">
          <w:tab w:val="right" w:pos="9639" w:leader="dot"/>
        </w:tabs>
      </w:pPr>
      <w:r>
        <w:rPr>
          <w:hyperlink w:anchor="_TOC000066"/>
        </w:rPr>
        <w:t>Beurteilung der Bestecke 1652</w:t>
        <w:tab/>
        <w:t>13</w:t>
      </w:r>
    </w:p>
    <w:p>
      <w:pPr>
        <w:pStyle w:val="para7"/>
        <w:tabs defTabSz="708">
          <w:tab w:val="right" w:pos="9639" w:leader="dot"/>
        </w:tabs>
      </w:pPr>
      <w:r>
        <w:rPr>
          <w:hyperlink w:anchor="_TOC000066"/>
        </w:rPr>
        <w:t>Leichte Verbesserungen an den Schiffen</w:t>
        <w:tab/>
        <w:t>14</w:t>
      </w:r>
    </w:p>
    <w:p>
      <w:pPr>
        <w:pStyle w:val="para7"/>
        <w:tabs defTabSz="708">
          <w:tab w:val="right" w:pos="9639" w:leader="dot"/>
        </w:tabs>
      </w:pPr>
      <w:r>
        <w:rPr>
          <w:hyperlink w:anchor="_TOC000066"/>
        </w:rPr>
        <w:t>Reparatur der Brederode</w:t>
        <w:tab/>
        <w:t>14</w:t>
      </w:r>
    </w:p>
    <w:p>
      <w:pPr>
        <w:pStyle w:val="para7"/>
        <w:tabs defTabSz="708">
          <w:tab w:val="right" w:pos="9639" w:leader="dot"/>
        </w:tabs>
      </w:pPr>
      <w:r>
        <w:rPr>
          <w:hyperlink w:anchor="_TOC000015"/>
        </w:rPr>
        <w:t>Tradition ändert sich zwangsläufig</w:t>
        <w:tab/>
        <w:t>15</w:t>
      </w:r>
    </w:p>
    <w:p>
      <w:pPr>
        <w:pStyle w:val="para7"/>
        <w:tabs defTabSz="708">
          <w:tab w:val="right" w:pos="9639" w:leader="dot"/>
        </w:tabs>
      </w:pPr>
      <w:r>
        <w:rPr>
          <w:hyperlink w:anchor="_TOC000016"/>
        </w:rPr>
        <w:t>Weitere Werkzeuge der Schiffbauer</w:t>
        <w:tab/>
        <w:t>15</w:t>
      </w:r>
    </w:p>
    <w:p>
      <w:pPr>
        <w:pStyle w:val="para6"/>
        <w:tabs defTabSz="708">
          <w:tab w:val="left" w:pos="567" w:leader="none"/>
          <w:tab w:val="right" w:pos="9639" w:leader="dot"/>
        </w:tabs>
      </w:pPr>
      <w:r>
        <w:rPr>
          <w:hyperlink w:anchor="_TOC000017"/>
        </w:rPr>
        <w:tab/>
        <w:t xml:space="preserve"> Vergatte</w:t>
        <w:tab/>
        <w:t>17</w:t>
      </w:r>
    </w:p>
    <w:p>
      <w:pPr>
        <w:pStyle w:val="para6"/>
        <w:tabs defTabSz="708">
          <w:tab w:val="right" w:pos="9639" w:leader="dot"/>
        </w:tabs>
      </w:pPr>
      <w:r>
        <w:rPr>
          <w:hyperlink w:anchor="_TOC000018"/>
        </w:rPr>
        <w:t>Vlieboot</w:t>
        <w:tab/>
        <w:t>17</w:t>
      </w:r>
    </w:p>
    <w:p>
      <w:pPr>
        <w:pStyle w:val="para8"/>
        <w:tabs defTabSz="708">
          <w:tab w:val="right" w:pos="9639" w:leader="dot"/>
        </w:tabs>
      </w:pPr>
      <w:r>
        <w:rPr>
          <w:hyperlink w:anchor="_TOC000019"/>
        </w:rPr>
        <w:t>Allgemeines zu den Vliebooten</w:t>
        <w:tab/>
        <w:t>17</w:t>
      </w:r>
    </w:p>
    <w:p>
      <w:pPr>
        <w:pStyle w:val="para8"/>
        <w:tabs defTabSz="708">
          <w:tab w:val="right" w:pos="9639" w:leader="dot"/>
        </w:tabs>
      </w:pPr>
      <w:r>
        <w:rPr>
          <w:hyperlink w:anchor="_TOC000020"/>
        </w:rPr>
        <w:t>Achterschiff</w:t>
        <w:tab/>
        <w:t>20</w:t>
      </w:r>
    </w:p>
    <w:p>
      <w:pPr>
        <w:pStyle w:val="para8"/>
        <w:tabs defTabSz="708">
          <w:tab w:val="right" w:pos="9639" w:leader="dot"/>
        </w:tabs>
      </w:pPr>
      <w:r>
        <w:rPr>
          <w:hyperlink w:anchor="_TOC000021"/>
        </w:rPr>
        <w:t>Vorschiff</w:t>
        <w:tab/>
        <w:t>20</w:t>
      </w:r>
    </w:p>
    <w:p>
      <w:pPr>
        <w:pStyle w:val="para6"/>
        <w:tabs defTabSz="708">
          <w:tab w:val="right" w:pos="9639" w:leader="dot"/>
        </w:tabs>
      </w:pPr>
      <w:r>
        <w:rPr>
          <w:hyperlink w:anchor="_TOC000022"/>
        </w:rPr>
        <w:t>Fleute</w:t>
        <w:tab/>
        <w:t>21</w:t>
      </w:r>
    </w:p>
    <w:p>
      <w:pPr>
        <w:pStyle w:val="para6"/>
        <w:tabs defTabSz="708">
          <w:tab w:val="right" w:pos="9639" w:leader="dot"/>
        </w:tabs>
      </w:pPr>
      <w:r>
        <w:rPr>
          <w:hyperlink w:anchor="_TOC000023"/>
        </w:rPr>
        <w:t>Pinasse</w:t>
        <w:tab/>
        <w:t>21</w:t>
      </w:r>
    </w:p>
    <w:p>
      <w:pPr>
        <w:pStyle w:val="para6"/>
        <w:tabs defTabSz="708">
          <w:tab w:val="right" w:pos="9639" w:leader="dot"/>
        </w:tabs>
      </w:pPr>
      <w:r>
        <w:rPr>
          <w:hyperlink w:anchor="_TOC000024"/>
        </w:rPr>
        <w:t>Vergatte</w:t>
        <w:tab/>
        <w:t>21</w:t>
      </w:r>
    </w:p>
    <w:p>
      <w:pPr>
        <w:pStyle w:val="para6"/>
        <w:tabs defTabSz="708">
          <w:tab w:val="right" w:pos="9639" w:leader="dot"/>
        </w:tabs>
      </w:pPr>
      <w:r>
        <w:rPr>
          <w:hyperlink w:anchor="_TOC000025"/>
        </w:rPr>
        <w:t>Fregatte</w:t>
        <w:tab/>
        <w:t>21</w:t>
      </w:r>
    </w:p>
    <w:p>
      <w:pPr>
        <w:pStyle w:val="para6"/>
        <w:tabs defTabSz="708">
          <w:tab w:val="right" w:pos="9639" w:leader="dot"/>
        </w:tabs>
      </w:pPr>
      <w:r>
        <w:rPr>
          <w:hyperlink w:anchor="_TOC000026"/>
        </w:rPr>
        <w:t>Boot ofte Schip</w:t>
        <w:tab/>
        <w:t>21</w:t>
      </w:r>
    </w:p>
    <w:p>
      <w:pPr>
        <w:pStyle w:val="para6"/>
        <w:tabs defTabSz="708">
          <w:tab w:val="right" w:pos="9639" w:leader="dot"/>
        </w:tabs>
      </w:pPr>
      <w:r>
        <w:rPr>
          <w:hyperlink w:anchor="_TOC000027"/>
        </w:rPr>
        <w:t>Oorlogschip</w:t>
        <w:tab/>
        <w:t>21</w:t>
      </w:r>
    </w:p>
    <w:p>
      <w:pPr>
        <w:pStyle w:val="para6"/>
        <w:tabs defTabSz="708">
          <w:tab w:val="right" w:pos="9639" w:leader="dot"/>
        </w:tabs>
      </w:pPr>
      <w:r>
        <w:rPr>
          <w:hyperlink w:anchor="_TOC000028"/>
        </w:rPr>
        <w:t>Oorlog Craveel</w:t>
        <w:tab/>
        <w:t>21</w:t>
      </w:r>
    </w:p>
    <w:p>
      <w:pPr>
        <w:pStyle w:val="para6"/>
        <w:tabs defTabSz="708">
          <w:tab w:val="right" w:pos="9639" w:leader="dot"/>
        </w:tabs>
      </w:pPr>
      <w:r>
        <w:rPr>
          <w:hyperlink w:anchor="_TOC000029"/>
        </w:rPr>
        <w:t>Binnen Oorloch Schip</w:t>
        <w:tab/>
        <w:t>21</w:t>
      </w:r>
    </w:p>
    <w:p>
      <w:pPr>
        <w:pStyle w:val="para6"/>
        <w:tabs defTabSz="708">
          <w:tab w:val="right" w:pos="9639" w:leader="dot"/>
        </w:tabs>
      </w:pPr>
      <w:r>
        <w:rPr>
          <w:hyperlink w:anchor="_TOC000030"/>
        </w:rPr>
        <w:t>Cerveelschip</w:t>
        <w:tab/>
        <w:t>22</w:t>
      </w:r>
    </w:p>
    <w:p>
      <w:pPr>
        <w:pStyle w:val="para6"/>
        <w:tabs defTabSz="708">
          <w:tab w:val="right" w:pos="9639" w:leader="dot"/>
        </w:tabs>
      </w:pPr>
      <w:r>
        <w:rPr>
          <w:hyperlink w:anchor="_TOC000031"/>
        </w:rPr>
        <w:t>Jacht ofte Craveelschip</w:t>
        <w:tab/>
        <w:t>22</w:t>
      </w:r>
    </w:p>
    <w:p>
      <w:pPr>
        <w:pStyle w:val="para6"/>
        <w:tabs defTabSz="708">
          <w:tab w:val="right" w:pos="9639" w:leader="dot"/>
        </w:tabs>
      </w:pPr>
      <w:r>
        <w:rPr>
          <w:hyperlink w:anchor="_TOC000032"/>
        </w:rPr>
        <w:t>Bootschip</w:t>
        <w:tab/>
        <w:t>22</w:t>
      </w:r>
    </w:p>
    <w:p>
      <w:pPr>
        <w:pStyle w:val="para6"/>
        <w:tabs defTabSz="708">
          <w:tab w:val="right" w:pos="9639" w:leader="dot"/>
        </w:tabs>
      </w:pPr>
      <w:r>
        <w:rPr>
          <w:hyperlink w:anchor="_TOC000033"/>
        </w:rPr>
        <w:t>Hamenboot</w:t>
        <w:tab/>
        <w:t>22</w:t>
      </w:r>
    </w:p>
    <w:p>
      <w:pPr>
        <w:pStyle w:val="para6"/>
        <w:tabs defTabSz="708">
          <w:tab w:val="right" w:pos="9639" w:leader="dot"/>
        </w:tabs>
      </w:pPr>
      <w:r>
        <w:rPr>
          <w:hyperlink w:anchor="_TOC000034"/>
        </w:rPr>
        <w:t>Bojer</w:t>
        <w:tab/>
        <w:t>22</w:t>
      </w:r>
    </w:p>
    <w:p>
      <w:pPr>
        <w:pStyle w:val="para6"/>
        <w:tabs defTabSz="708">
          <w:tab w:val="right" w:pos="9639" w:leader="dot"/>
        </w:tabs>
      </w:pPr>
      <w:r>
        <w:rPr>
          <w:hyperlink w:anchor="_TOC000035"/>
        </w:rPr>
        <w:t>Büse</w:t>
        <w:tab/>
        <w:t>22</w:t>
      </w:r>
    </w:p>
    <w:p>
      <w:pPr>
        <w:pStyle w:val="para6"/>
        <w:tabs defTabSz="708">
          <w:tab w:val="right" w:pos="9639" w:leader="dot"/>
        </w:tabs>
      </w:pPr>
      <w:r>
        <w:rPr>
          <w:hyperlink w:anchor="_TOC000036"/>
        </w:rPr>
        <w:t>Schip</w:t>
        <w:tab/>
        <w:t>22</w:t>
      </w:r>
    </w:p>
    <w:p>
      <w:pPr>
        <w:pStyle w:val="para6"/>
        <w:tabs defTabSz="708">
          <w:tab w:val="right" w:pos="9639" w:leader="dot"/>
        </w:tabs>
      </w:pPr>
      <w:r>
        <w:rPr>
          <w:hyperlink w:anchor="_TOC000037"/>
        </w:rPr>
        <w:t>Binnenschip</w:t>
        <w:tab/>
        <w:t>22</w:t>
      </w:r>
    </w:p>
    <w:p>
      <w:pPr>
        <w:pStyle w:val="para6"/>
        <w:tabs defTabSz="708">
          <w:tab w:val="right" w:pos="9639" w:leader="dot"/>
        </w:tabs>
      </w:pPr>
      <w:r>
        <w:rPr>
          <w:hyperlink w:anchor="_TOC000038"/>
        </w:rPr>
        <w:t>Binnen Jacht</w:t>
        <w:tab/>
        <w:t>22</w:t>
      </w:r>
    </w:p>
    <w:p>
      <w:pPr>
        <w:pStyle w:val="para6"/>
        <w:tabs defTabSz="708">
          <w:tab w:val="right" w:pos="9639" w:leader="dot"/>
        </w:tabs>
      </w:pPr>
      <w:r>
        <w:rPr>
          <w:hyperlink w:anchor="_TOC000039"/>
        </w:rPr>
        <w:t>Segel Jacht</w:t>
        <w:tab/>
        <w:t>22</w:t>
      </w:r>
    </w:p>
    <w:p>
      <w:pPr>
        <w:pStyle w:val="para6"/>
        <w:tabs defTabSz="708">
          <w:tab w:val="right" w:pos="9639" w:leader="dot"/>
        </w:tabs>
      </w:pPr>
      <w:r>
        <w:rPr>
          <w:hyperlink w:anchor="_TOC000040"/>
        </w:rPr>
        <w:t>Staten Jacht</w:t>
        <w:tab/>
        <w:t>22</w:t>
      </w:r>
    </w:p>
    <w:p>
      <w:pPr>
        <w:pStyle w:val="para6"/>
        <w:tabs defTabSz="708">
          <w:tab w:val="right" w:pos="9639" w:leader="dot"/>
        </w:tabs>
      </w:pPr>
      <w:r>
        <w:rPr>
          <w:hyperlink w:anchor="_TOC000041"/>
        </w:rPr>
        <w:t>Speeljagt</w:t>
        <w:tab/>
        <w:t>22</w:t>
      </w:r>
    </w:p>
    <w:p>
      <w:pPr>
        <w:pStyle w:val="para6"/>
        <w:tabs defTabSz="708">
          <w:tab w:val="right" w:pos="9639" w:leader="dot"/>
        </w:tabs>
      </w:pPr>
      <w:r>
        <w:rPr>
          <w:hyperlink w:anchor="_TOC000042"/>
        </w:rPr>
        <w:t>Sloup</w:t>
        <w:tab/>
        <w:t>22</w:t>
      </w:r>
    </w:p>
    <w:p>
      <w:pPr>
        <w:pStyle w:val="para6"/>
        <w:tabs defTabSz="708">
          <w:tab w:val="right" w:pos="9639" w:leader="dot"/>
        </w:tabs>
      </w:pPr>
      <w:r>
        <w:rPr>
          <w:hyperlink w:anchor="_TOC000043"/>
        </w:rPr>
        <w:t>Royjacht</w:t>
        <w:tab/>
        <w:t>22</w:t>
      </w:r>
    </w:p>
    <w:p>
      <w:pPr>
        <w:pStyle w:val="para6"/>
        <w:tabs defTabSz="708">
          <w:tab w:val="right" w:pos="9639" w:leader="dot"/>
        </w:tabs>
      </w:pPr>
      <w:r>
        <w:rPr>
          <w:hyperlink w:anchor="_TOC000044"/>
        </w:rPr>
        <w:t>Chaloupe</w:t>
        <w:tab/>
        <w:t>22</w:t>
      </w:r>
    </w:p>
    <w:p>
      <w:pPr>
        <w:pStyle w:val="para6"/>
        <w:tabs defTabSz="708">
          <w:tab w:val="right" w:pos="9639" w:leader="dot"/>
        </w:tabs>
      </w:pPr>
      <w:r>
        <w:rPr>
          <w:hyperlink w:anchor="_TOC000045"/>
        </w:rPr>
        <w:t>Galeyen</w:t>
        <w:tab/>
        <w:t>22</w:t>
      </w:r>
    </w:p>
    <w:p>
      <w:pPr>
        <w:pStyle w:val="para6"/>
        <w:tabs defTabSz="708">
          <w:tab w:val="right" w:pos="9639" w:leader="dot"/>
        </w:tabs>
      </w:pPr>
      <w:r>
        <w:rPr>
          <w:hyperlink w:anchor="_TOC000046"/>
        </w:rPr>
        <w:t>Galjasse</w:t>
        <w:tab/>
        <w:t>22</w:t>
      </w:r>
    </w:p>
    <w:p>
      <w:pPr>
        <w:pStyle w:val="para6"/>
        <w:tabs defTabSz="708">
          <w:tab w:val="right" w:pos="9639" w:leader="dot"/>
        </w:tabs>
      </w:pPr>
      <w:r>
        <w:rPr>
          <w:hyperlink w:anchor="_TOC000047"/>
        </w:rPr>
        <w:t>Boot ofte Spiegelschip</w:t>
        <w:tab/>
        <w:t>23</w:t>
      </w:r>
    </w:p>
    <w:p>
      <w:pPr>
        <w:pStyle w:val="para6"/>
        <w:tabs defTabSz="708">
          <w:tab w:val="right" w:pos="9639" w:leader="dot"/>
        </w:tabs>
      </w:pPr>
      <w:r>
        <w:rPr>
          <w:hyperlink w:anchor="_TOC000048"/>
        </w:rPr>
        <w:t>Spiegelschip</w:t>
        <w:tab/>
        <w:t>23</w:t>
      </w:r>
    </w:p>
    <w:p>
      <w:pPr>
        <w:pStyle w:val="para6"/>
        <w:tabs defTabSz="708">
          <w:tab w:val="right" w:pos="9639" w:leader="dot"/>
        </w:tabs>
      </w:pPr>
      <w:r>
        <w:rPr>
          <w:hyperlink w:anchor="_TOC000049"/>
        </w:rPr>
        <w:t>Schepen</w:t>
        <w:tab/>
        <w:t>23</w:t>
      </w:r>
    </w:p>
    <w:p>
      <w:pPr>
        <w:pStyle w:val="para6"/>
        <w:tabs defTabSz="708">
          <w:tab w:val="right" w:pos="9639" w:leader="dot"/>
        </w:tabs>
      </w:pPr>
      <w:r>
        <w:rPr>
          <w:hyperlink w:anchor="_TOC000050"/>
        </w:rPr>
        <w:t>Weitere Information zu den Schiffen</w:t>
        <w:tab/>
        <w:t>24</w:t>
      </w:r>
    </w:p>
    <w:p>
      <w:pPr>
        <w:pStyle w:val="para7"/>
        <w:tabs defTabSz="708">
          <w:tab w:val="right" w:pos="9639" w:leader="dot"/>
        </w:tabs>
      </w:pPr>
      <w:r>
        <w:rPr>
          <w:hyperlink w:anchor="_TOC000051"/>
        </w:rPr>
        <w:t>Beteiligte am Bau eines Schiffs</w:t>
        <w:tab/>
        <w:t>24</w:t>
      </w:r>
    </w:p>
    <w:p>
      <w:pPr>
        <w:pStyle w:val="para7"/>
        <w:tabs defTabSz="708">
          <w:tab w:val="right" w:pos="9639" w:leader="dot"/>
        </w:tabs>
      </w:pPr>
      <w:r>
        <w:rPr>
          <w:hyperlink w:anchor="_TOC000052"/>
        </w:rPr>
        <w:t>Arbeitszeiten</w:t>
        <w:tab/>
        <w:t>24</w:t>
      </w:r>
    </w:p>
    <w:p>
      <w:pPr>
        <w:pStyle w:val="para7"/>
        <w:tabs defTabSz="708">
          <w:tab w:val="right" w:pos="9639" w:leader="dot"/>
        </w:tabs>
      </w:pPr>
      <w:r>
        <w:rPr>
          <w:hyperlink w:anchor="_TOC000053"/>
        </w:rPr>
        <w:t>Gehaltslisten</w:t>
        <w:tab/>
        <w:t>24</w:t>
      </w:r>
    </w:p>
    <w:p>
      <w:pPr>
        <w:pStyle w:val="para7"/>
        <w:tabs defTabSz="708">
          <w:tab w:val="right" w:pos="9639" w:leader="dot"/>
        </w:tabs>
      </w:pPr>
      <w:r>
        <w:rPr>
          <w:hyperlink w:anchor="_TOC000054"/>
        </w:rPr>
        <w:t>Rundhölzer</w:t>
        <w:tab/>
        <w:t>24</w:t>
      </w:r>
    </w:p>
    <w:p>
      <w:pPr>
        <w:pStyle w:val="para7"/>
        <w:tabs defTabSz="708">
          <w:tab w:val="right" w:pos="9639" w:leader="dot"/>
        </w:tabs>
      </w:pPr>
      <w:r>
        <w:rPr>
          <w:hyperlink w:anchor="_TOC000055"/>
        </w:rPr>
        <w:t>Takelung</w:t>
        <w:tab/>
        <w:t>24</w:t>
      </w:r>
    </w:p>
    <w:p>
      <w:pPr>
        <w:pStyle w:val="para7"/>
        <w:tabs defTabSz="708">
          <w:tab w:val="right" w:pos="9639" w:leader="dot"/>
        </w:tabs>
      </w:pPr>
      <w:r>
        <w:rPr>
          <w:hyperlink w:anchor="_TOC000056"/>
        </w:rPr>
        <w:t>Segel</w:t>
        <w:tab/>
        <w:t>24</w:t>
      </w:r>
    </w:p>
    <w:p>
      <w:pPr>
        <w:pStyle w:val="para7"/>
        <w:tabs defTabSz="708">
          <w:tab w:val="right" w:pos="9639" w:leader="dot"/>
        </w:tabs>
      </w:pPr>
      <w:r>
        <w:rPr>
          <w:hyperlink w:anchor="_TOC000057"/>
        </w:rPr>
        <w:t>Flaggen</w:t>
        <w:tab/>
        <w:t>24</w:t>
      </w:r>
    </w:p>
    <w:p>
      <w:pPr>
        <w:pStyle w:val="para7"/>
        <w:tabs defTabSz="708">
          <w:tab w:val="right" w:pos="9639" w:leader="dot"/>
        </w:tabs>
      </w:pPr>
      <w:r>
        <w:rPr>
          <w:hyperlink w:anchor="_TOC000058"/>
        </w:rPr>
        <w:t>Blöcke</w:t>
        <w:tab/>
        <w:t>24</w:t>
      </w:r>
    </w:p>
    <w:p>
      <w:pPr>
        <w:pStyle w:val="para7"/>
        <w:tabs defTabSz="708">
          <w:tab w:val="right" w:pos="9639" w:leader="dot"/>
        </w:tabs>
      </w:pPr>
      <w:r>
        <w:rPr>
          <w:hyperlink w:anchor="_TOC000059"/>
        </w:rPr>
        <w:t>Tauwerk</w:t>
        <w:tab/>
        <w:t>24</w:t>
      </w:r>
    </w:p>
    <w:p>
      <w:pPr>
        <w:pStyle w:val="para7"/>
        <w:tabs defTabSz="708">
          <w:tab w:val="right" w:pos="9639" w:leader="dot"/>
        </w:tabs>
      </w:pPr>
      <w:r>
        <w:rPr>
          <w:hyperlink w:anchor="_TOC000060"/>
        </w:rPr>
        <w:t>Bewaffnung</w:t>
        <w:tab/>
        <w:t>24</w:t>
      </w:r>
    </w:p>
    <w:p>
      <w:pPr>
        <w:pStyle w:val="para7"/>
        <w:tabs defTabSz="708">
          <w:tab w:val="right" w:pos="9639" w:leader="dot"/>
        </w:tabs>
      </w:pPr>
      <w:r>
        <w:rPr>
          <w:hyperlink w:anchor="_TOC000061"/>
        </w:rPr>
        <w:t>Ramparden</w:t>
        <w:tab/>
        <w:t>24</w:t>
      </w:r>
    </w:p>
    <w:p>
      <w:pPr>
        <w:pStyle w:val="para7"/>
        <w:tabs defTabSz="708">
          <w:tab w:val="right" w:pos="9639" w:leader="dot"/>
        </w:tabs>
      </w:pPr>
      <w:r>
        <w:rPr>
          <w:hyperlink w:anchor="_TOC000062"/>
        </w:rPr>
        <w:t>Ausrüstung</w:t>
        <w:tab/>
        <w:t>24</w:t>
      </w:r>
    </w:p>
    <w:p>
      <w:pPr>
        <w:pStyle w:val="para7"/>
        <w:tabs defTabSz="708">
          <w:tab w:val="right" w:pos="9639" w:leader="dot"/>
        </w:tabs>
      </w:pPr>
      <w:r>
        <w:rPr>
          <w:hyperlink w:anchor="_TOC000063"/>
        </w:rPr>
        <w:t>Farbe im Schiffbau</w:t>
        <w:tab/>
        <w:t>24</w:t>
      </w:r>
    </w:p>
    <w:p>
      <w:pPr>
        <w:pStyle w:val="para7"/>
        <w:tabs defTabSz="708">
          <w:tab w:val="right" w:pos="9639" w:leader="dot"/>
        </w:tabs>
      </w:pPr>
      <w:r>
        <w:rPr>
          <w:hyperlink w:anchor="_TOC000064"/>
        </w:rPr>
        <w:t>Verzierungen</w:t>
        <w:tab/>
        <w:t>24</w:t>
      </w:r>
    </w:p>
    <w:p>
      <w:pPr>
        <w:pStyle w:val="para7"/>
        <w:tabs defTabSz="708">
          <w:tab w:val="right" w:pos="9639" w:leader="dot"/>
        </w:tabs>
      </w:pPr>
      <w:r>
        <w:rPr>
          <w:hyperlink w:anchor="_TOC000065"/>
        </w:rPr>
        <w:t>Monsterrolle</w:t>
        <w:tab/>
        <w:t>24</w:t>
      </w:r>
    </w:p>
    <w:p>
      <w:pPr>
        <w:pStyle w:val="para7"/>
        <w:tabs defTabSz="708">
          <w:tab w:val="right" w:pos="9639" w:leader="dot"/>
        </w:tabs>
      </w:pPr>
      <w:r>
        <w:rPr>
          <w:hyperlink w:anchor="_TOC000006"/>
        </w:rPr>
        <w:t>Überschrift 2d</w:t>
        <w:tab/>
        <w:t>26</w:t>
      </w:r>
    </w:p>
    <w:p>
      <w:pPr>
        <w:pStyle w:val="para7"/>
        <w:tabs defTabSz="708">
          <w:tab w:val="right" w:pos="9639" w:leader="dot"/>
        </w:tabs>
      </w:pPr>
      <w:r>
        <w:rPr>
          <w:hyperlink w:anchor="_TOC000007"/>
        </w:rPr>
        <w:t>Überschrift 2e</w:t>
        <w:tab/>
        <w:t>26</w:t>
      </w:r>
    </w:p>
    <w:p>
      <w:pPr>
        <w:pStyle w:val="para7"/>
        <w:tabs defTabSz="708">
          <w:tab w:val="right" w:pos="9639" w:leader="dot"/>
        </w:tabs>
      </w:pPr>
      <w:r>
        <w:rPr>
          <w:hyperlink w:anchor="_TOC000008"/>
        </w:rPr>
        <w:t>Überschrift 2f</w:t>
        <w:tab/>
        <w:t>27</w:t>
      </w:r>
    </w:p>
    <w:p>
      <w:pPr>
        <w:pStyle w:val="para6"/>
        <w:tabs defTabSz="708">
          <w:tab w:val="right" w:pos="9639" w:leader="dot"/>
        </w:tabs>
      </w:pPr>
      <w:r>
        <w:rPr>
          <w:hyperlink w:anchor="_TOC000009"/>
        </w:rPr>
        <w:t>Überschrift 1B</w:t>
        <w:tab/>
        <w:t>27</w:t>
      </w:r>
    </w:p>
    <w:p>
      <w:pPr>
        <w:pStyle w:val="para8"/>
        <w:tabs defTabSz="708">
          <w:tab w:val="right" w:pos="9639" w:leader="dot"/>
        </w:tabs>
      </w:pPr>
      <w:r>
        <w:rPr>
          <w:hyperlink w:anchor="_TOC000010"/>
        </w:rPr>
        <w:t>Überschrift 3</w:t>
        <w:tab/>
        <w:t>27</w:t>
      </w:r>
    </w:p>
    <w:p>
      <w:pPr>
        <w:pStyle w:val="para8"/>
        <w:tabs defTabSz="708">
          <w:tab w:val="right" w:pos="9639" w:leader="dot"/>
        </w:tabs>
      </w:pPr>
      <w:r>
        <w:rPr>
          <w:hyperlink w:anchor="_TOC000011"/>
        </w:rPr>
        <w:t>Überschrift 3a</w:t>
        <w:tab/>
        <w:t>27</w:t>
      </w:r>
    </w:p>
    <w:p>
      <w:pPr>
        <w:pStyle w:val="para6"/>
        <w:tabs defTabSz="708">
          <w:tab w:val="right" w:pos="9639" w:leader="dot"/>
        </w:tabs>
      </w:pPr>
      <w:r>
        <w:rPr>
          <w:hyperlink w:anchor="_TOC000012"/>
        </w:rPr>
        <w:t>Überschrift 1C</w:t>
        <w:tab/>
        <w:t>27</w:t>
      </w:r>
    </w:p>
    <w:p>
      <w:pPr>
        <w:pStyle w:val="para6"/>
        <w:tabs defTabSz="708">
          <w:tab w:val="right" w:pos="9639" w:leader="dot"/>
        </w:tabs>
      </w:pPr>
      <w:r>
        <w:rPr>
          <w:hyperlink w:anchor="_TOC000013"/>
        </w:rPr>
        <w:t>Überschrift 1D</w:t>
        <w:tab/>
        <w:t>27</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fldChar w:fldCharType="end"/>
      </w:r>
      <w:r>
        <w:rPr>
          <w:rFonts w:ascii="Helvetica Neue" w:hAnsi="Helvetica Neue" w:eastAsia="Helvetica Neue" w:cs="Helvetica Neue"/>
          <w:sz w:val="22"/>
          <w:szCs w:val="22"/>
        </w:rPr>
      </w:r>
    </w:p>
    <w:p>
      <w:r/>
    </w:p>
    <w:p>
      <w:pPr>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8"/>
          <w:footerReference w:type="default" r:id="rId9"/>
          <w:type w:val="continuous"/>
          <w:pgSz w:h="16839" w:w="11907"/>
          <w:pgMar w:left="1134" w:top="1134" w:right="1134" w:bottom="1134"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1"/>
      </w:pPr>
      <w:bookmarkStart w:id="0" w:name="_TOC000001"/>
      <w:r>
        <w:t>Allgemeines zu den Bestecken.</w:t>
      </w:r>
      <w:bookmarkEnd w:id="0"/>
      <w:r/>
    </w:p>
    <w:p>
      <w:pPr>
        <w:pStyle w:val="para9"/>
        <w:rPr>
          <w:lang w:bidi="de-de"/>
        </w:rPr>
      </w:pPr>
      <w:r>
        <w:rPr>
          <w:lang w:bidi="de-de"/>
        </w:rPr>
        <w:t>Die europäischen Schiffbauer haben zu allen Zeiten selbst ihre größeren Schiffe nur zum Teil ohne schriftliche Fixierung entworfen und gebaut. Schriftliche Zeugnisse aus der frühen Neuzeit sind allerdings eher selten. Die Archive, hier vor allem die der Niederlande, sind zwar gut gefüllt, aber die zweckgebundenen Dokumente zum Bau eines Schiffes tauchen leider in der Zeit vor 1570 eher selten auf. Nach 1570 lassen sich in einigen niederländischen Archiven Kontrakte zwischen Kunde und Werft finden. In den Niederlanden handelt es sich in der Regel um einen Baukontrakt zwischen diesen beiden Partnern. Wir reden hier also über Begriffe wie Zerter, Bauzerter oder Besteck. In Emden sprach man zum Beispiel von Kontraktenprotokollen. Alle Dokumente regelten aber den Bau oder den Verkauf eines Schiffes.</w:t>
      </w:r>
    </w:p>
    <w:p>
      <w:pPr>
        <w:pStyle w:val="para9"/>
        <w:rPr>
          <w:lang w:bidi="de-de"/>
        </w:rPr>
      </w:pPr>
      <w:r>
        <w:rPr>
          <w:lang w:bidi="de-de"/>
        </w:rPr>
        <w:t>Man muss bei den überlieferten Bestecken unterscheiden zwischen Handels- und Kriegsschiff. Während man bei den Kriegsschiffen immer auch detailliertere Unterlagen in den Archiven findet, verhält es sich bei den Verträgen zu den Handelsschiffen etwas anders. Hier wurde häufig nur das Notwendige formuliert.</w:t>
      </w:r>
    </w:p>
    <w:p>
      <w:pPr>
        <w:pStyle w:val="para9"/>
        <w:rPr>
          <w:lang w:bidi="de-de"/>
        </w:rPr>
      </w:pPr>
      <w:r>
        <w:rPr>
          <w:lang w:bidi="de-de"/>
        </w:rPr>
        <w:t>Beschäftigt man sich eingehender mit den mittlerweile vielen bekannten Bestecken, wird eine große Übereinkunft im Aufbau derselben festgestellt. Im Kopf des Vertragswerks wird in der Regel in kurzer Form das zu Bauende Schiff genannt. Häufig wird auch darauf hingewiesen, dass es einen juristisch, kaufmännischen Abschnitt gibt. Waren die Beteiligten nicht in der Lage, den Vertragstext selbst zu lesen, wurde ein Notar beauftragt, die schriftliche Formgebung zu übernehmen.</w:t>
      </w:r>
    </w:p>
    <w:p>
      <w:pPr>
        <w:pStyle w:val="para9"/>
        <w:rPr>
          <w:lang w:bidi="de-de"/>
        </w:rPr>
      </w:pPr>
      <w:r>
        <w:rPr>
          <w:lang w:bidi="de-de"/>
        </w:rPr>
        <w:t>Die ganz frühen Bestecke waren sehr kurz gehalten. Die Schiffbauer, aber auch die Kunden, hielten nicht viel von langen schriftlich fixierten Verträgen. Sie legten noch viel Wert auf die fachliche Ausführung vor Ort und überließen es oft dem Schiffbauer, das Schiff zu entwerfen und dann zu bauen. Die Bestecke waren aber schon so ausgelegt, dass es wenig Spielraum für Pfusch oder Betrügereien gab.</w:t>
      </w:r>
    </w:p>
    <w:p>
      <w:pPr>
        <w:pStyle w:val="para9"/>
        <w:rPr>
          <w:lang w:bidi="de-de"/>
        </w:rPr>
      </w:pPr>
      <w:r>
        <w:rPr>
          <w:lang w:bidi="de-de"/>
        </w:rPr>
        <w:t>Dann, nach dem ersten Abschnitt, ging es in der Regel ganz schnell um die Details der schiffbaulichen Ausführung. Wichtige Parameter waren die Hauptabmessungen des Schiffes, die Länge, die Schiffsweite und die Raumtiefe. Zur Länge eines Schiffes gab es bis in die ersten Jahrzehnte des 17. Jahrhunderts zwei verschiedene Sichtweisen. In der nördlichen Provinz Holland sprach man von der Länge über die Außenkanten der Steven. In Zeeland hingegen wurde die Länge des Kiels zu Grunde gelegt. Auch in England war die Länge des Kiels ausschlaggebend. Als Nächstes wurden die Steven beschrieben. Ihre Länge und ihr Stevenfall wurden standardmäßig fixiert. Die weitere Beschreibung des Schiffes hing nun von der Region, sprich Standort der Werft ab. In den nördlichen Landstrichen um Hoorn, Enkhuizen, Medemblick, Zaandam und Amsterdam, um nur einige zu nennen, folgte das Besteck nun der Bautradition. Man setzte zuerst die Kielplanke. Dann wurde eine Richtwrange am Hals des Schiffes bis über die Kimm auf dem Kiel befestigt. Danach legten die Schiffbauer die Außenhaut des Schiffes bis in die Kimm oder darüber hinaus. Der Schiffbauer hatte gut gehütete Erfahrungswerte, wie die Rumpfform aussehen sollte. Nachdem die Bodenstruktur dem Erbauer zusagte, wurde dieser Bereich mit entsprechend geformten Innenhölzern aufgefüllt. Also geht es in den entsprechenden Bestecken auch zuerst um die Außenhaut des Schiffes.</w:t>
      </w:r>
    </w:p>
    <w:p>
      <w:pPr>
        <w:pStyle w:val="para9"/>
        <w:rPr>
          <w:lang w:bidi="de-de"/>
        </w:rPr>
      </w:pPr>
      <w:r>
        <w:rPr>
          <w:lang w:bidi="de-de"/>
        </w:rPr>
        <w:t>In den südlichen Niederlanden und vermutlich auch in Zeeland verfolgte man beim Bau eines Schiffes eine andere Vorgehensweise. Hier wurden wie im Norden der Provinz Holland, zuerst Kiel und Steven aufgerichtet, danach die Kielplanke gesetzt. Hiernach setzte man die sogenannten Richtspanten. In den Mitte des Schiffes stellte man eine Reihe von Mittelspanten auf. Am vorderen Ende des Kiels und im hinteren Bereich wurden noch je ein Spant gestellt. In Verbindung mit dem Heck und den Spanten wurden dann eine Reihe von Senten um das Schiff gelegt. Sie dienten der Findung der Schiffsform. Auch hier hatte ein jeder Schiffbauer seine eigenen Einsichten. Da kann es nicht verwundern, dass es selten Schiffe gab, die sich wie ein Ei dem anderen glichen. Es hat lange Zeit gedauert, bis man in er Lage war Schiffe zu reproduzieren.</w:t>
      </w:r>
    </w:p>
    <w:p>
      <w:pPr>
        <w:pStyle w:val="para9"/>
        <w:rPr>
          <w:lang w:bidi="de-de"/>
        </w:rPr>
      </w:pPr>
      <w:r>
        <w:rPr>
          <w:lang w:bidi="de-de"/>
        </w:rPr>
        <w:t>Es wird in der heutigen Zeit viel darüber diskutiert, warum denn die Menschen des 16. und 17. Jahrhunderts ihre Schiffe nach einem Besteck gebaut haben. Das für uns unmöglich erscheinende war für den Schiffbauer der damaligen Zeit alltägliche Praxis. Für ihn war das Besteck das, was für uns heute die Zeichnung mit detaillierter Bauspezifikation darstellt. Mit etwas Übung und entsprechendem Fachwissen kann man auch heute ein Besteck sehen und lesen wie eine Zeichnung. Denn man darf nicht außer Acht lassen, dass unsere heutige Vorstellung von Technik und Genauigkeit, den damaligen Menschen vollkommen fremd war. Das hat nichts damit zu tun, dass die Menschen nicht innovativ genug waren. Gerade in den letzten Jahrzehnten des 16. Jahrhunderts hat sich viel im Schiffbau getan. Leider lassen sich die einzelnen Stationen der Veränderungen nicht direkt nachvollziehen. Die Änderungen wurden nicht über Nacht, sondern peu à peu eingeführt.</w:t>
      </w:r>
    </w:p>
    <w:p>
      <w:pPr>
        <w:pStyle w:val="para9"/>
        <w:rPr>
          <w:lang w:bidi="de-de"/>
        </w:rPr>
      </w:pPr>
      <w:r>
        <w:rPr>
          <w:noProof/>
        </w:rPr>
        <mc:AlternateContent>
          <mc:Choice Requires="wpg">
            <w:drawing>
              <wp:inline distT="144145" distB="144145" distL="0" distR="0">
                <wp:extent cx="5985510" cy="3740150"/>
                <wp:effectExtent l="0" t="0" r="0" b="0"/>
                <wp:docPr id="1" name="Gruppe1"/>
                <wp:cNvGraphicFramePr/>
                <a:graphic xmlns:a="http://schemas.openxmlformats.org/drawingml/2006/main">
                  <a:graphicData uri="http://schemas.microsoft.com/office/word/2010/wordprocessingGroup">
                    <wpg:wgp>
                      <wpg:cNvGrpSpPr>
                        <a:extLst>
                          <a:ext uri="smNativeData">
                            <sm:smNativeData xmlns:sm="smNativeData" val="SMDATA_6_hjsDXxMAAAAlAAAAAQAAAA0BAAAAkAAAAEgAAACQAAAASAAAAAAAAAAAAAAAAAAAABcAAAAUAAAA0iQAAAIXAADSJAAAAhcAAAACAAAJAAAABAAAAAAAAAAMAAAAEAAAAAAAAAAAAAAAAAAAAAAAAAAhAAAAQAAAADwAAABnAAAAAKIAACAAAAAAAAAAAQAAAAEAAAAAAAAAAQAAAAEAAADcCAAA0iQAAAIXAAAFAAAANwIAAEoNAAAoAAAACAAAAAEAAAABAAAA"/>
                          </a:ext>
                        </a:extLst>
                      </wpg:cNvGrpSpPr>
                      <wpg:grpSpPr>
                        <a:xfrm>
                          <a:off x="0" y="0"/>
                          <a:ext cx="5985510" cy="3740150"/>
                          <a:chOff x="0" y="0"/>
                          <a:chExt cx="5985510" cy="3740150"/>
                        </a:xfrm>
                      </wpg:grpSpPr>
                      <pic:pic xmlns:pic="http://schemas.openxmlformats.org/drawingml/2006/picture">
                        <pic:nvPicPr>
                          <pic:cNvPr id="2" name="Grafik4"/>
                          <pic:cNvPicPr>
                            <a:picLocks noChangeAspect="1"/>
                            <a:extLst>
                              <a:ext uri="smNativeData">
                                <sm:smNativeData xmlns:sm="smNativeData" val="SMDATA_18_hjs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0iQAAHIVAAAAAAAANwIAAEoNAAAoAAAACAAAAAEAAAABAAAAMAAAABQAAAAAAAAAAAD//wAAAQAAAP//AAABAA=="/>
                              </a:ext>
                            </a:extLst>
                          </pic:cNvPicPr>
                        </pic:nvPicPr>
                        <pic:blipFill>
                          <a:blip/>
                          <a:stretch>
                            <a:fillRect/>
                          </a:stretch>
                        </pic:blipFill>
                        <pic:spPr>
                          <a:xfrm>
                            <a:off x="0" y="0"/>
                            <a:ext cx="5985510" cy="3486150"/>
                          </a:xfrm>
                          <a:prstGeom prst="rect">
                            <a:avLst/>
                          </a:prstGeom>
                          <a:noFill/>
                          <a:ln w="12700">
                            <a:noFill/>
                          </a:ln>
                        </pic:spPr>
                      </pic:pic>
                      <wps:wsp>
                        <wps:cNvPr id="3" name="Textbox4"/>
                        <wps:cNvSpPr txBox="1">
                          <a:extLst>
                            <a:ext uri="smNativeData">
                              <sm:smNativeData xmlns:sm="smNativeData" val="SMDATA_16_hjsDX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DSJAAAkAEAAAAAAAA3AgAAvCIAACgAAAAIAAAAAQAAAAIAAAAwAAAAFAAAAAAAAAAAAP//AAABAAAA//8AAAEA"/>
                            </a:ext>
                          </a:extLst>
                        </wps:cNvSpPr>
                        <wps:spPr>
                          <a:xfrm>
                            <a:off x="0" y="3486150"/>
                            <a:ext cx="5985510" cy="254000"/>
                          </a:xfrm>
                          <a:prstGeom prst="rect">
                            <a:avLst/>
                          </a:prstGeom>
                          <a:noFill/>
                          <a:ln w="12700">
                            <a:noFill/>
                          </a:ln>
                        </wps:spPr>
                        <wps:txbx>
                          <w:txbxContent>
                            <w:p>
                              <w:pPr>
                                <w:pStyle w:val="para12"/>
                              </w:pPr>
                              <w:r>
                                <w:t xml:space="preserve">Abbildung </w:t>
                              </w:r>
                              <w:r>
                                <w:fldChar w:fldCharType="begin"/>
                                <w:instrText xml:space="preserve"> SEQ "Abbildung" \* Arabic </w:instrText>
                                <w:fldChar w:fldCharType="separate"/>
                                <w:t>1</w:t>
                                <w:fldChar w:fldCharType="end"/>
                              </w:r>
                              <w:r>
                                <w:t>: Eine moderne Darstellung der Bauweise in den südlichen Niederlanden. ©Zeichnung Werner Ulrich.</w:t>
                              </w:r>
                            </w:p>
                          </w:txbxContent>
                        </wps:txbx>
                        <wps:bodyPr spcFirstLastPara="1" vertOverflow="clip" horzOverflow="clip" upright="1">
                          <a:prstTxWarp prst="textNoShape">
                            <a:avLst/>
                          </a:prstTxWarp>
                          <a:spAutoFit/>
                        </wps:bodyPr>
                      </wps:wsp>
                    </wpg:wgp>
                  </a:graphicData>
                </a:graphic>
              </wp:inline>
            </w:drawing>
          </mc:Choice>
          <mc:Fallback>
            <w:object>
              <v:group style="width:471.30pt;height:294.50pt;z-index:251658241;mso-wrap-distance-left:0.00pt;mso-wrap-distance-top:11.35pt;mso-wrap-distance-right:0.00pt;mso-wrap-distance-bottom:11.35pt" coordorigin="567,3402" coordsize="9426,5890">
                <v:shapetype id="_x0000_t75" coordsize="21600,21600" o:spt="75" o:preferrelative="t" path="m,l,21600r21600,l21600,xe">
                  <v:path gradientshapeok="t" o:connecttype="rect"/>
                </v:shapetype>
                <v:shape id="Grafik4" o:spid="_x0000_s1026" type="#_x0000_t75" style="position:absolute;left:567;top:3402;width:9426;height:5490" stroked="f" filled="f" v:ext="SMDATA_17_hjsDXx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o:title="C:/Zeichnungen/17-Jahrhundert/1650/1654-De-Eendracht/Zeichnungen-Neu/1100-00-01-Abbildungen-aus-Caddy/Abbildungen-Caddy/Senten-Bau.JPG"/>
                </v:shape>
                <v:shapetype id="_x0000_t202" coordsize="21600,21600" o:spt="202" path="m,l,21600r21600,l21600,xe">
                  <v:path gradientshapeok="t" o:connecttype="rect"/>
                </v:shapetype>
                <v:shape id="Textbox4" o:spid="_x0000_s1027" type="#_x0000_t202" style="position:absolute;left:567;top:8892;width:9426;height:400" stroked="f" filled="f" v:ext="SMDATA_15_hjsDXx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2"/>
                        </w:pPr>
                        <w:r>
                          <w:t xml:space="preserve">Abbildung </w:t>
                        </w:r>
                        <w:r>
                          <w:fldChar w:fldCharType="begin"/>
                          <w:instrText xml:space="preserve"> SEQ "Abbildung" \* Arabic </w:instrText>
                          <w:fldChar w:fldCharType="separate"/>
                          <w:t>1</w:t>
                          <w:fldChar w:fldCharType="end"/>
                        </w:r>
                        <w:r>
                          <w:t>: Eine moderne Darstellung der Bauweise in den südlichen Niederlanden. ©Zeichnung Werner Ulrich.</w:t>
                        </w:r>
                      </w:p>
                    </w:txbxContent>
                  </v:textbox>
                </v:shape>
              </v:group>
            </w:object>
          </mc:Fallback>
        </mc:AlternateContent>
      </w:r>
      <w:r>
        <w:rPr>
          <w:lang w:bidi="de-de"/>
        </w:rPr>
      </w:r>
    </w:p>
    <w:p>
      <w:pPr>
        <w:pStyle w:val="para9"/>
        <w:rPr>
          <w:lang w:bidi="de-de"/>
        </w:rPr>
      </w:pPr>
      <w:r>
        <w:rPr>
          <w:lang w:bidi="de-de"/>
        </w:rPr>
        <w:t>In den Niederlanden war man nach 1567 gezwungen, sich ständig der spanischen Macht zu entziehen und mit militärischen Mitteln das Land von den Spaniern zu befreien. Dieses geschah zu Wasser und zu Lande. Nachdem Prins Maurits (1567</w:t>
        <w:noBreakHyphen/>
        <w:t>1625)</w:t>
      </w:r>
      <w:r>
        <w:rPr>
          <w:rStyle w:val="char1"/>
          <w:lang w:bidi="de-de"/>
        </w:rPr>
      </w:r>
      <w:r>
        <w:rPr>
          <w:rStyle w:val="char1"/>
          <w:lang w:bidi="de-de"/>
        </w:rPr>
        <w:footnoteReference w:id="2"/>
      </w:r>
      <w:r>
        <w:rPr>
          <w:lang w:bidi="de-de"/>
        </w:rPr>
        <w:t xml:space="preserve"> nach 1580 anfing, das Heerwesen zu reformieren, einheitliche Waffensysteme entwickeln ließ und somit die Niederlande auf dem Gebiet der Kriegsführung in Europa eine führende Rolle einnahm, konnten die Spanier nach und nach zurückgedrängt werden. Diese Entwicklung ist aber an anderer Stelle in vielen Publikationen ausführlich behandelt worden, sodass hier nicht weiter darauf eingegangen wird.</w:t>
      </w:r>
      <w:r>
        <w:rPr>
          <w:rStyle w:val="char1"/>
          <w:rFonts w:ascii="Comic Sans MS" w:hAnsi="Comic Sans MS" w:cs="Comic Sans MS"/>
          <w:lang w:bidi="de-de"/>
        </w:rPr>
      </w:r>
      <w:r>
        <w:rPr>
          <w:rStyle w:val="char1"/>
          <w:rFonts w:ascii="Comic Sans MS" w:hAnsi="Comic Sans MS" w:cs="Comic Sans MS"/>
          <w:lang w:bidi="de-de"/>
        </w:rPr>
        <w:footnoteReference w:id="3"/>
      </w:r>
      <w:r>
        <w:rPr>
          <w:lang w:bidi="de-de"/>
        </w:rPr>
      </w:r>
    </w:p>
    <w:p>
      <w:pPr>
        <w:pStyle w:val="para9"/>
        <w:rPr>
          <w:lang w:bidi="de-de"/>
        </w:rPr>
      </w:pPr>
      <w:r>
        <w:rPr>
          <w:lang w:bidi="de-de"/>
        </w:rPr>
        <w:t>Maurits hatte sich aber auch um die Belange der Marine gekümmert. Seinem Einfluss ist es zu danken, dass es zu einheitlichen Neubauten für die Marine hätte kommen können. Sein Mitarbeiterstab schaute sich im Lande um und machte geeignete Vorschläge, wie die Marineschiffe gut und günstig gebaut werden konnten. Einer der Berater Maurits war der Erfinder der Fleute</w:t>
      </w:r>
      <w:r>
        <w:rPr>
          <w:rStyle w:val="char1"/>
          <w:lang w:bidi="de-de"/>
        </w:rPr>
      </w:r>
      <w:r>
        <w:rPr>
          <w:rStyle w:val="char1"/>
          <w:lang w:bidi="de-de"/>
        </w:rPr>
        <w:footnoteReference w:id="4"/>
      </w:r>
      <w:r>
        <w:rPr>
          <w:lang w:bidi="de-de"/>
        </w:rPr>
        <w:t>, Pieter Jansz. Liorne (1561</w:t>
        <w:noBreakHyphen/>
        <w:t>1620). Er entwickelt mit anderen zusammen im Auftrag Maurits ein tragfähiges Konzept zum Flottenbauprogramm. Zum Beispiel wurden die Schiffbauer der Provinzen Zeeland und Holland gebeten, ihre besten Bestecke vorzulegen. Nach diesen Bestecken wurde ein Schiffbauer in Amsterdam beauftragt, ein Modell anzufertigen. Dieses Modell und Weitere stellte man Maurits vor. Erst nach reiflicher Prüfung wurden dann die Aufträge öffentlich ausgeschrieben und vergeben.</w:t>
      </w:r>
    </w:p>
    <w:p>
      <w:pPr>
        <w:pStyle w:val="para9"/>
        <w:rPr>
          <w:lang w:bidi="de-de"/>
        </w:rPr>
      </w:pPr>
      <w:r>
        <w:rPr>
          <w:lang w:bidi="de-de"/>
        </w:rPr>
        <w:t>Es handelte sich zunächst bei den Neubauten nicht um die ganz großen Kriegsschiffe, sondern um Schiffstypen wie Vlieboote, Pinassen, Royjachten und das Craveelschip. Vereinzelt wurden auch größere Kriegsschiffe gebaut. Man nannte sie schlicht Oorlogschip, oder Boot ofte Schip. Auch tauchen die ersten Fregatten auf. Sie waren aber in den Abmessungen noch recht klein und wurden neben den Segeln auch mit Riemen angetrieben. Selbst Galeeren wurden in den Niederlanden entwickelt und gebaut. Man stellte aber recht schnell fest, dass dieser Schiffstyp für die raue Nordsee nicht geeignet war. Neben den Neubauten wurden aber ganz überwiegend Handelsschiffe angemietet.</w:t>
      </w:r>
    </w:p>
    <w:p>
      <w:pPr>
        <w:pStyle w:val="para9"/>
        <w:rPr>
          <w:lang w:bidi="de-de"/>
        </w:rPr>
      </w:pPr>
      <w:r>
        <w:rPr>
          <w:lang w:bidi="de-de"/>
        </w:rPr>
        <w:t>Man folgte der Überzeugung, dass ein der Tradition geschultertes Mittel zur Wahl der Schiffe sicher in Ordnung wäre. Der Unterschied zwischen einem Handelsschiff und einem Kriegsschiff war zur damaligen Zeit nicht sonderlich groß. Die Argumente der Verantwortlichen konnten nicht unbedingt ausgeräumt werden, denn es standen nach ihrer Aussage gut 2700 Schiffe ständig zur Auswahl.</w:t>
      </w:r>
    </w:p>
    <w:p>
      <w:pPr>
        <w:pStyle w:val="para9"/>
        <w:rPr>
          <w:lang w:bidi="de-de"/>
        </w:rPr>
      </w:pPr>
      <w:r>
        <w:rPr>
          <w:lang w:bidi="de-de"/>
        </w:rPr>
        <w:t>In den niederländischen Archiven sind in den letzten Jahren ca. 200 Bestecke gesichtet worden, die nun nach und nach ausgewertet werden. Für alle hier aufgeführten Schiffstypen gibt es auch die entsprechenden Bestecke. Besonders ergiebig ist hier das Zeeuws Archief in Middelburg.</w:t>
      </w:r>
    </w:p>
    <w:p>
      <w:pPr>
        <w:pStyle w:val="para1"/>
      </w:pPr>
      <w:bookmarkStart w:id="4" w:name="_TOC000014"/>
      <w:r/>
      <w:r>
        <w:rPr>
          <w:bCs w:val="0"/>
          <w:sz w:val="22"/>
          <w:szCs w:val="22"/>
          <w:lang w:val="de-de" w:bidi="de-de"/>
        </w:rPr>
        <w:t>Konstruktionswerkzeuge in den Niederlanden</w:t>
      </w:r>
      <w:bookmarkEnd w:id="4"/>
      <w:r>
        <w:rPr>
          <w:bCs w:val="0"/>
          <w:sz w:val="22"/>
          <w:szCs w:val="22"/>
          <w:lang w:val="de-de" w:bidi="de-de"/>
        </w:rPr>
      </w:r>
    </w:p>
    <w:p>
      <w:pPr>
        <w:pStyle w:val="para9"/>
        <w:rPr>
          <w:lang w:bidi="de-de"/>
        </w:rPr>
      </w:pPr>
      <w:r>
        <w:rPr>
          <w:lang w:bidi="de-de"/>
        </w:rPr>
        <w:t>Wenn es um die eigentliche Konstruktion des Schiffes geht, wird schnell sichtbar, dass diese Angelegenheit gerade in der Zeit vor 1700 schwierig zu fassen ist. Es gibt kaum schriftliche Zeugnisse, aus denen man einen Schiffsentwurf ableiten kann. Die Entwurfspraktik unserer Zeit war den Menschen in den Niederlanden unbekannt. Während man in Portugal, Spanien, vermutlich auch in Italien und ganz besonders in England schon vor 1600 Schiffsentwürfe im kleinen Maßstab kannte</w:t>
      </w:r>
      <w:r>
        <w:rPr>
          <w:rStyle w:val="char1"/>
          <w:rFonts w:ascii="Comic Sans MS" w:hAnsi="Comic Sans MS" w:eastAsia="Comic Sans MS" w:cs="Comic Sans MS"/>
          <w:lang w:bidi="de-de"/>
        </w:rPr>
      </w:r>
      <w:r>
        <w:rPr>
          <w:rStyle w:val="char1"/>
          <w:rFonts w:ascii="Comic Sans MS" w:hAnsi="Comic Sans MS" w:eastAsia="Comic Sans MS" w:cs="Comic Sans MS"/>
          <w:lang w:bidi="de-de"/>
        </w:rPr>
        <w:footnoteReference w:id="6"/>
      </w:r>
      <w:r>
        <w:rPr>
          <w:lang w:bidi="de-de"/>
        </w:rPr>
        <w:t xml:space="preserve">, gab es in den Niederlanden nur wenige Begrifflichkeiten, die auf eine Entwurfspraktik hinweisen könnte. Hier wäre der </w:t>
      </w:r>
      <w:r>
        <w:rPr>
          <w:i/>
          <w:lang w:bidi="de-de"/>
        </w:rPr>
        <w:t>Scheerstrook</w:t>
      </w:r>
      <w:r>
        <w:rPr>
          <w:lang w:bidi="de-de"/>
        </w:rPr>
        <w:t xml:space="preserve"> oder </w:t>
      </w:r>
      <w:r>
        <w:rPr>
          <w:i/>
          <w:lang w:bidi="de-de"/>
        </w:rPr>
        <w:t>Scheergang</w:t>
      </w:r>
      <w:r>
        <w:rPr>
          <w:lang w:bidi="de-de"/>
        </w:rPr>
        <w:t xml:space="preserve"> zu nennen. Beim </w:t>
      </w:r>
      <w:r>
        <w:rPr>
          <w:i/>
          <w:lang w:bidi="de-de"/>
        </w:rPr>
        <w:t>Scheerstrook/Scheergang</w:t>
      </w:r>
      <w:r>
        <w:rPr>
          <w:lang w:bidi="de-de"/>
        </w:rPr>
        <w:t xml:space="preserve"> handelte es sich um die größte Weite eines Schiffes entlang der Außenhaut von vorne nach hinten. Der </w:t>
      </w:r>
      <w:r>
        <w:rPr>
          <w:i/>
          <w:lang w:bidi="de-de"/>
        </w:rPr>
        <w:t>Scheerstrook</w:t>
      </w:r>
      <w:r>
        <w:rPr>
          <w:lang w:bidi="de-de"/>
        </w:rPr>
        <w:t xml:space="preserve"> war nicht nur ein theoretisches Werkzeug, sondern wurde auch praktisch verwendet. Diesen </w:t>
      </w:r>
      <w:r>
        <w:rPr>
          <w:i/>
          <w:lang w:bidi="de-de"/>
        </w:rPr>
        <w:t>Scheerstrook</w:t>
      </w:r>
      <w:r>
        <w:rPr>
          <w:lang w:bidi="de-de"/>
        </w:rPr>
        <w:t xml:space="preserve"> bewahrte der Schiffbauer in der Regel auf, um bei einem späteren Neubau das Rad nicht neu erfinden zu müssen. Wir würden heute gerne von einem Mall sprechen. Dieser Begriff taucht auch in ganz wenigen Dokumenten des 17. und 18. Jahrhunderts auf. In diesen überlieferten Fällen wurden die Schiffbauer oder die Zulieferer angewiesen, sich die für den Bau von bestimmten Teilen vorhandenen Mallen, bei der Admiralität zu kopieren oder auszuleihen. Details dieser Vorgänge sind leider nicht näher bekannt.</w:t>
      </w:r>
    </w:p>
    <w:p>
      <w:pPr>
        <w:pStyle w:val="para2"/>
      </w:pPr>
      <w:bookmarkStart w:id="6" w:name="_TOC000003"/>
      <w:r>
        <w:t>Die Senten</w:t>
      </w:r>
      <w:bookmarkEnd w:id="6"/>
      <w:r/>
    </w:p>
    <w:p>
      <w:pPr>
        <w:pStyle w:val="para9"/>
        <w:rPr>
          <w:lang w:bidi="de-de"/>
        </w:rPr>
      </w:pPr>
      <w:r>
        <w:rPr>
          <w:lang w:bidi="de-de"/>
        </w:rPr>
        <w:t>Ein wichtiges, weiteres Werkzeug waren die Senten. Sie wurden auch praktisch angewendet. Diese Senten wurden benötigt, um die endgültige Schiffsform zu entwickeln. Gegen Ende des 17. Jahrhunderts hatten verantwortliche Schiffbauer der Ost Indische Compagnie den Versuch unternommen, die praktisch angewendeten Senten in ein eher theoretisches Gerüst zu packen.</w:t>
      </w:r>
      <w:r>
        <w:rPr>
          <w:rStyle w:val="char1"/>
          <w:rFonts w:ascii="Comic Sans MS" w:hAnsi="Comic Sans MS" w:eastAsia="Comic Sans MS" w:cs="Comic Sans MS"/>
          <w:lang w:bidi="de-de"/>
        </w:rPr>
      </w:r>
      <w:r>
        <w:rPr>
          <w:rStyle w:val="char1"/>
          <w:rFonts w:ascii="Comic Sans MS" w:hAnsi="Comic Sans MS" w:eastAsia="Comic Sans MS" w:cs="Comic Sans MS"/>
          <w:lang w:bidi="de-de"/>
        </w:rPr>
        <w:footnoteReference w:id="8"/>
      </w:r>
      <w:r>
        <w:rPr>
          <w:lang w:bidi="de-de"/>
        </w:rPr>
        <w:t xml:space="preserve"> Sie hatten dazu gut gebaute Schiffe nach einem festgelegten System vermessen und diese Aufmaße schriftlich dokumentiert. Neben einer Reihe von anderen wichtigen Parametern war es nun theoretisch möglich, die Form eines Schiffes zu reproduzieren. Selbst heute ist es möglich, die Linien dieser Typschiffe reproduzierbar zu entwerfen. Abbildung 4 auf Seite 7 zeigt die Rekonstruktion eines von den damaligen Schiffbauern vermessenen Schiffs.</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pStyle w:val="para2"/>
      </w:pPr>
      <w:bookmarkStart w:id="8" w:name="_TOC000004"/>
      <w:r>
        <w:t>Der Entwurf vor 1700</w:t>
      </w:r>
      <w:bookmarkEnd w:id="8"/>
      <w:r/>
    </w:p>
    <w:p>
      <w:pPr>
        <w:spacing w:before="120" w:after="120"/>
        <w:rPr>
          <w:rFonts w:ascii="Helvetica Neue" w:hAnsi="Helvetica Neue" w:eastAsia="Helvetica Neue" w:cs="Helvetica Neue"/>
          <w:sz w:val="22"/>
          <w:szCs w:val="22"/>
        </w:rPr>
      </w:pPr>
      <w:r>
        <w:rPr>
          <w:noProof/>
        </w:rPr>
        <mc:AlternateContent>
          <mc:Choice Requires="wpg">
            <w:drawing>
              <wp:inline distT="89535" distB="89535" distL="89535" distR="89535">
                <wp:extent cx="6120130" cy="4509135"/>
                <wp:effectExtent l="0" t="0" r="0" b="0"/>
                <wp:docPr id="4" name="Gruppe2"/>
                <wp:cNvGraphicFramePr/>
                <a:graphic xmlns:a="http://schemas.openxmlformats.org/drawingml/2006/main">
                  <a:graphicData uri="http://schemas.microsoft.com/office/word/2010/wordprocessingGroup">
                    <wpg:wgp>
                      <wpg:cNvGrpSpPr>
                        <a:extLst>
                          <a:ext uri="smNativeData">
                            <sm:smNativeData xmlns:sm="smNativeData" val="SMDATA_6_hjsDXxMAAAAlAAAAAQAAAA0BAAAAkAAAAEgAAACQAAAASAAAAAAAAAAAAAAAAAAAABcAAAAUAAAAAAAAAAAAAAD/fwAA/38AAAACAAAJAAAABAAAAAAAAAAMAAAAEAAAAAAAAAAAAAAAAAAAAAAAAAAhAAAAQAAAADwAAABxAAAAAKIAACAAAAAAAAAAAAAAAAAAAAA3AgAAAAAAAAAAAABuBAAApiUAAL0bAAAHAAAANwIAAG4EAAAoAAAACAAAAAEAAAABAAAA"/>
                          </a:ext>
                        </a:extLst>
                      </wpg:cNvGrpSpPr>
                      <wpg:grpSpPr>
                        <a:xfrm>
                          <a:off x="0" y="0"/>
                          <a:ext cx="6120130" cy="4509135"/>
                          <a:chOff x="0" y="0"/>
                          <a:chExt cx="6120130" cy="4509135"/>
                        </a:xfrm>
                      </wpg:grpSpPr>
                      <pic:pic xmlns:pic="http://schemas.openxmlformats.org/drawingml/2006/picture">
                        <pic:nvPicPr>
                          <pic:cNvPr id="5" name="Grafik5"/>
                          <pic:cNvPicPr>
                            <a:picLocks noChangeAspect="1"/>
                            <a:extLst>
                              <a:ext uri="smNativeData">
                                <sm:smNativeData xmlns:sm="smNativeData" val="SMDATA_18_hjsDXx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iUAACsaAAAAAAAANwIAAG4EAAAoAAAACAAAAAEAAAABAAAAMAAAABQAAAAAAAAAAAD//wAAAQAAAP//AAABAA=="/>
                              </a:ext>
                            </a:extLst>
                          </pic:cNvPicPr>
                        </pic:nvPicPr>
                        <pic:blipFill>
                          <a:blip r:embed="rId11"/>
                          <a:stretch>
                            <a:fillRect/>
                          </a:stretch>
                        </pic:blipFill>
                        <pic:spPr>
                          <a:xfrm>
                            <a:off x="0" y="0"/>
                            <a:ext cx="6120130" cy="4253865"/>
                          </a:xfrm>
                          <a:prstGeom prst="rect">
                            <a:avLst/>
                          </a:prstGeom>
                          <a:noFill/>
                          <a:ln w="12700">
                            <a:noFill/>
                          </a:ln>
                        </pic:spPr>
                      </pic:pic>
                      <wps:wsp>
                        <wps:cNvPr id="6" name="Textbox5"/>
                        <wps:cNvSpPr txBox="1">
                          <a:extLst>
                            <a:ext uri="smNativeData">
                              <sm:smNativeData xmlns:sm="smNativeData" val="SMDATA_16_hjs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mJQAAkgEAAAAAAAA3AgAAmR4AACgAAAAIAAAAAQAAAAIAAAAwAAAAFAAAAAAAAAAAAP//AAABAAAA//8AAAEA"/>
                            </a:ext>
                          </a:extLst>
                        </wps:cNvSpPr>
                        <wps:spPr>
                          <a:xfrm>
                            <a:off x="0" y="4253865"/>
                            <a:ext cx="6120130" cy="255270"/>
                          </a:xfrm>
                          <a:prstGeom prst="rect">
                            <a:avLst/>
                          </a:prstGeom>
                          <a:noFill/>
                          <a:ln w="12700">
                            <a:noFill/>
                          </a:ln>
                        </wps:spPr>
                        <wps:txbx>
                          <w:txbxContent>
                            <w:p>
                              <w:pPr>
                                <w:pStyle w:val="para12"/>
                              </w:pPr>
                              <w:bookmarkStart w:id="9" w:name="_REF000002"/>
                              <w:r/>
                              <w:bookmarkStart w:id="10" w:name="_REF000001"/>
                              <w:r>
                                <w:t xml:space="preserve">Abbildung </w:t>
                              </w:r>
                              <w:r>
                                <w:fldChar w:fldCharType="begin"/>
                                <w:instrText xml:space="preserve"> SEQ "Abbildung" \* Arabic </w:instrText>
                                <w:fldChar w:fldCharType="separate"/>
                                <w:t>2</w:t>
                                <w:fldChar w:fldCharType="end"/>
                              </w:r>
                              <w:bookmarkEnd w:id="10"/>
                              <w:r>
                                <w:t>: Linien nach Van Dam um 1700.</w:t>
                              </w:r>
                              <w:bookmarkEnd w:id="9"/>
                              <w:r>
                                <w:t xml:space="preserve"> ©Rekonstruktion Werner Ulrich.</w:t>
                              </w:r>
                            </w:p>
                          </w:txbxContent>
                        </wps:txbx>
                        <wps:bodyPr spcFirstLastPara="1" vertOverflow="clip" horzOverflow="clip" upright="1">
                          <a:prstTxWarp prst="textNoShape">
                            <a:avLst/>
                          </a:prstTxWarp>
                          <a:spAutoFit/>
                        </wps:bodyPr>
                      </wps:wsp>
                    </wpg:wgp>
                  </a:graphicData>
                </a:graphic>
              </wp:inline>
            </w:drawing>
          </mc:Choice>
          <mc:Fallback>
            <w:object>
              <v:group style="width:481.90pt;height:355.05pt;z-index:251658244;mso-wrap-distance-left:7.05pt;mso-wrap-distance-top:7.05pt;mso-wrap-distance-right:7.05pt;mso-wrap-distance-bottom:7.05pt" coordorigin="567,1134" coordsize="9638,7101">
                <v:shape id="Grafik5" o:spid="_x0000_s1028" type="#_x0000_t75" style="position:absolute;left:567;top:1134;width:9638;height:6699" stroked="f" filled="f" v:ext="SMDATA_17_hjsDXxMAAAAlAAAAEQAAAG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1" o:title="image1"/>
                </v:shape>
                <v:shape id="Textbox5" o:spid="_x0000_s1029" type="#_x0000_t202" style="position:absolute;left:567;top:7833;width:9638;height:402" stroked="f" filled="f" v:ext="SMDATA_15_hjsDXxMAAAAlAAAAEgAAAE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iUAABsBAAD/fwAA/38AAAACAAAJAAAABAAAAAAAAAAMAAAAEAAAAAAAAAAAAAAAA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2"/>
                        </w:pPr>
                        <w:bookmarkStart w:id="9" w:name="_REF000002"/>
                        <w:r/>
                        <w:bookmarkStart w:id="10" w:name="_REF000001"/>
                        <w:r>
                          <w:t xml:space="preserve">Abbildung </w:t>
                        </w:r>
                        <w:r>
                          <w:fldChar w:fldCharType="begin"/>
                          <w:instrText xml:space="preserve"> SEQ "Abbildung" \* Arabic </w:instrText>
                          <w:fldChar w:fldCharType="separate"/>
                          <w:t>2</w:t>
                          <w:fldChar w:fldCharType="end"/>
                        </w:r>
                        <w:bookmarkEnd w:id="10"/>
                        <w:r>
                          <w:t>: Linien nach Van Dam um 1700.</w:t>
                        </w:r>
                        <w:bookmarkEnd w:id="9"/>
                        <w:r>
                          <w:t xml:space="preserve"> ©Rekonstruktion Werner Ulrich.</w:t>
                        </w:r>
                      </w:p>
                    </w:txbxContent>
                  </v:textbox>
                </v:shape>
              </v:group>
            </w:object>
          </mc:Fallback>
        </mc:AlternateContent>
      </w:r>
      <w:r>
        <w:rPr>
          <w:rFonts w:ascii="Helvetica Neue" w:hAnsi="Helvetica Neue" w:eastAsia="Helvetica Neue" w:cs="Helvetica Neue"/>
          <w:sz w:val="22"/>
          <w:szCs w:val="22"/>
        </w:rPr>
      </w:r>
    </w:p>
    <w:p>
      <w:pPr>
        <w:pStyle w:val="para9"/>
        <w:rPr>
          <w:lang w:bidi="de-de"/>
        </w:rPr>
      </w:pPr>
      <w:r>
        <w:rPr>
          <w:lang w:bidi="de-de"/>
        </w:rPr>
        <w:t>Versuchen wir, dem niederländischen Schiffbauer bei seiner Arbeit über die Schulter zu schauen, müssen wir auf zwei Bücher aus der zweiten Hälfte des 17. Jahrhunderts zurückgreifen. Beide Autoren haben in unterschiedlicher Form die damalige Sichtweise anschaulich dargestellt. Es geht zum einen um das Buch von Nicolaes Witsen aus dem Jahre 1671 und zum anderen um Cornelis van Yk aus dem Jahre 1697.</w:t>
      </w:r>
      <w:r>
        <w:rPr>
          <w:rStyle w:val="char1"/>
          <w:rFonts w:ascii="Comic Sans MS" w:hAnsi="Comic Sans MS" w:eastAsia="Comic Sans MS" w:cs="Comic Sans MS"/>
          <w:lang w:bidi="de-de"/>
        </w:rPr>
      </w:r>
      <w:r>
        <w:rPr>
          <w:rStyle w:val="char1"/>
          <w:rFonts w:ascii="Comic Sans MS" w:hAnsi="Comic Sans MS" w:eastAsia="Comic Sans MS" w:cs="Comic Sans MS"/>
          <w:lang w:bidi="de-de"/>
        </w:rPr>
        <w:footnoteReference w:id="12"/>
      </w:r>
      <w:r>
        <w:rPr>
          <w:lang w:bidi="de-de"/>
        </w:rPr>
        <w:t xml:space="preserve"> Witsen versuchte beispielsweise, die in den nördlichen Teilen der Provinz Holland angewendete Baupraxis in ein theoretisches Gerüst zu bannen. Dieses ist ihm aus heutiger Sicht sogar gut gelungen, denn man kann mit dem entsprechenden Wissen ein Schiff danach konstruieren. Leider ist bis dato kein Entwurf nach seinen Aufzeichnungen bekannt. Den Zeitgenossen Witsens waren diese theoretische Überlegungen mit anschließender zeichnerischer Umsetzung zu abstrakt. Dem „normalen“ Schiffbauer war mit diesen Ansätzen nicht beizukommen. Nebenbei sei angemerkt, dass auch Witsen seinen Entwurfsansatz nicht zur Gänze ausgefeilt hatte. Es blieb ein Ansatz, um zu zeigen, dass man es ähnlich wie die Nachbarn in England konnte. Cornelis van Yk bescherte seinen Lesern eine praktische Unterweisung über den Bau eines Schiffes. Er zeigte auf, dass man mit nur vier richtig gesetzten Spanten und dem Heck ein Schiff praktisch entwerfen konnte. Auch hier kamen Scheerstrook und Senten zum Tragen. Dieses Entwurfsverfahren muss aber schon länger praktiziert worden sein, denn er beschrieb es so, als sei dieses ganz selbstverständlich. Nur auch Van Yk musste dem Leser zwischendurch immer wieder vorsichtig gestehen, dass es für bestimmte Dinge keine reproduzierbaren Vorgehensweisen gab. Das geschah zum Beispiel bei der Formgestaltung des hinteren Spants. Der Bereich unterhalb der Wasserlinie durfte nicht falsch eingeschätzt werden, sonst lief der Entwerfer Gefahr, sein Schiff zu steuerlastig zu bauen. Denn ein zu schmales, schlankes Achterschiff ließ ein Schiff schnell hinten zu tief liegen. Umgekehrt konnte passieren, dass wiederum das Vorschiff zu tief eintauchte. Hierüber waren sich die Schiffbauer sicher im Klaren, aber ein ausgewogenes Konzept ist nicht sichtbar. Noch um 1700 wurde nach diesem Verfahren gearbeitet. Aber schon um 1708 findet sich ein erweitertes Verfahren in den Bestecken der Admiralität. Die Anzahl der Richtspanten wurde auf neun bis zwölf erhöht. Man hatte wohl erkannt, dass vier Spanten zu wenig waren. Aber auch im 18. Jahrhundert wurden die Schiffe eher praktisch entworfen. Denn Senten und Scheerstrook kamen weiterhin zum Einsatz. Parallel zu dieser Entwurfspraktik gab es auch in den Niederlanden Bestrebungen, einen theoretischen Entwurf zu entwickeln.</w:t>
      </w:r>
      <w:r>
        <w:rPr>
          <w:rStyle w:val="char1"/>
          <w:lang w:bidi="de-de"/>
        </w:rPr>
      </w:r>
      <w:r>
        <w:rPr>
          <w:rStyle w:val="char1"/>
          <w:lang w:bidi="de-de"/>
        </w:rPr>
        <w:footnoteReference w:id="13"/>
      </w:r>
      <w:r>
        <w:rPr>
          <w:lang w:bidi="de-de"/>
        </w:rPr>
      </w:r>
    </w:p>
    <w:p>
      <w:pPr>
        <w:pStyle w:val="para9"/>
        <w:rPr>
          <w:lang w:bidi="de-de"/>
        </w:rPr>
      </w:pPr>
      <w:r>
        <w:rPr>
          <w:lang w:bidi="de-de"/>
        </w:rPr>
        <w:t>In Schweden erschien 1691 eine interessante Arbeit zum Thema Schiffbau.</w:t>
      </w:r>
      <w:r>
        <w:rPr>
          <w:rStyle w:val="char1"/>
          <w:rFonts w:ascii="Comic Sans MS" w:hAnsi="Comic Sans MS" w:eastAsia="Comic Sans MS" w:cs="Comic Sans MS"/>
          <w:lang w:bidi="de-de"/>
        </w:rPr>
      </w:r>
      <w:r>
        <w:rPr>
          <w:rStyle w:val="char1"/>
          <w:rFonts w:ascii="Comic Sans MS" w:hAnsi="Comic Sans MS" w:eastAsia="Comic Sans MS" w:cs="Comic Sans MS"/>
          <w:lang w:bidi="de-de"/>
        </w:rPr>
        <w:footnoteReference w:id="14"/>
      </w:r>
      <w:r>
        <w:rPr>
          <w:lang w:bidi="de-de"/>
        </w:rPr>
        <w:t xml:space="preserve"> In dieser kleinen Schrift wurde der Versuch unternommen, die Konstruktion in eine Zeichnung zu übertragen. Dabei ging es um verschiedene Schiffstypen, die der Autor</w:t>
      </w:r>
      <w:r>
        <w:rPr>
          <w:rFonts w:eastAsia="Times New Roman"/>
          <w:lang w:bidi="de-de"/>
        </w:rPr>
        <w:t xml:space="preserve"> Rålamb </w:t>
      </w:r>
      <w:r>
        <w:rPr>
          <w:lang w:bidi="de-de"/>
        </w:rPr>
        <w:t>recht gut in Linien gebracht hatte. Es wird schnell deutlich, dass auch dieser Autor die Senten für seine Zeichnungen nutzen konnte. In der Draufsicht dieser Zeichnungen sehen wir auch den Scheerstrook. Die sogenannte Flursente findet sich überwiegend in den Seitenansichten der Schiffe. Sie ist für die Konstruktion eines Schiffes ein wichtiges Element. Selbst in der berühmten Arbeit von F.H. af Chapman</w:t>
      </w:r>
      <w:r>
        <w:rPr>
          <w:rStyle w:val="char1"/>
          <w:rFonts w:ascii="Comic Sans MS" w:hAnsi="Comic Sans MS" w:cs="Comic Sans MS"/>
          <w:lang w:bidi="de-de"/>
        </w:rPr>
      </w:r>
      <w:r>
        <w:rPr>
          <w:rStyle w:val="char1"/>
          <w:rFonts w:ascii="Comic Sans MS" w:hAnsi="Comic Sans MS" w:cs="Comic Sans MS"/>
          <w:lang w:bidi="de-de"/>
        </w:rPr>
        <w:footnoteReference w:id="15"/>
      </w:r>
      <w:r>
        <w:rPr>
          <w:lang w:bidi="de-de"/>
        </w:rPr>
        <w:t xml:space="preserve"> sehen wir noch die Grundzüge der Konstruktion auf Basis der Senten. Betrachten wir die Portugiesische, Englische, schwedische, und eben auch die in den südlichen Niederlanden praktizierte Konstruktionsmethode, gibt es grobe Übereinstimmungen. Alle Entwurfssysteme arbeiten mit einer Flursente, einer Herzsente und einer Toppsente.</w:t>
      </w:r>
    </w:p>
    <w:p>
      <w:pPr>
        <w:pStyle w:val="para9"/>
        <w:rPr>
          <w:lang w:bidi="de-de"/>
        </w:rPr>
      </w:pPr>
      <w:r>
        <w:rPr>
          <w:lang w:bidi="de-de"/>
        </w:rPr>
        <w:t>Die in den Niederlanden verwendeten Maßsysteme sind ähnlich wie im übrigen Europa höchst unterschiedlich. Leider sind nicht für alle Plätze in den Niederlanden die Einheiten überliefert. Um dennoch die Unterschiede aufzuzeigen, sollten einige wichtige Maßeinheiten gezeigt werden. Der Amsterdamer Fuß hatte im 16. und 17. Jahrhundert eine Länge von 283 mm und 11 Daumen. Der rheinländische Fuß beinhaltet 314 mm, aber es ergaben sich 12 Daumen für den Fuß. Das Maß der Stadt Vlissingen hatte 301,42 mm und 12 Daumen. Veere hatte 306 mm und 12 Daumen. Middelburg wiederum hatte für den Fuß 299 mm mit 12 Daumen. In Rotterdam lag das Maß für den Fuß bei 302 mm mit 12 Daumen. Das Maß der Stadt Wesel können wir mit ca. 288 mm zugrunde legen.</w:t>
      </w:r>
    </w:p>
    <w:p>
      <w:pPr>
        <w:pStyle w:val="para2"/>
      </w:pPr>
      <w:bookmarkStart w:id="15" w:name="_TOC000005"/>
      <w:r>
        <w:t>Das Heck der frühen Schiffe</w:t>
      </w:r>
      <w:bookmarkEnd w:id="15"/>
      <w:r/>
    </w:p>
    <w:p>
      <w:pPr>
        <w:pStyle w:val="para9"/>
        <w:rPr>
          <w:lang w:bidi="de-de"/>
        </w:rPr>
      </w:pPr>
      <w:r>
        <w:rPr>
          <w:lang w:bidi="de-de"/>
        </w:rPr>
        <w:t>Im Gegensatz zu den Heckformen des 17. und 18. Jahrhunderts war das Heck des 16. Jahrhunderts tiefer zum Kiel hin gezogen. Einige Bestecke weisen darauf hin. Zum Beispiel ein Oorloogscreveel aus dem Jahre 1606</w:t>
      </w:r>
      <w:r>
        <w:rPr>
          <w:rStyle w:val="char1"/>
          <w:lang w:bidi="de-de"/>
        </w:rPr>
      </w:r>
      <w:r>
        <w:rPr>
          <w:rStyle w:val="char1"/>
          <w:lang w:bidi="de-de"/>
        </w:rPr>
        <w:footnoteReference w:id="17"/>
      </w:r>
      <w:r>
        <w:rPr>
          <w:lang w:bidi="de-de"/>
        </w:rPr>
        <w:t>. Hatte man im 17. Jahrhundert die Vorstellung, dass die halbe Heckbalkenlänge einen Viertelkreis ergab, ging es den Verantwortlichen des 16. Jahrhunderts darum, den unteren Spiegel möglichst weit nach unten zu ziehen. In besagtem Besteck gab es eine Achterstevenlänge (an der Hinterkante gemessen) von 13 Fuß mit einem Fall nach hinten von 4 Fuß. Die nicht genannten Randsomhölzer wurden in einer Höhe von 5 Fuß in den Achtersteven eingelassen. Das sind etwa 2/5 der Achterstevenlänge. Bei einem Oorlogschip aus dem Jahre 1603</w:t>
      </w:r>
      <w:r>
        <w:rPr>
          <w:rStyle w:val="char1"/>
          <w:lang w:bidi="de-de"/>
        </w:rPr>
      </w:r>
      <w:r>
        <w:rPr>
          <w:rStyle w:val="char1"/>
          <w:lang w:bidi="de-de"/>
        </w:rPr>
        <w:footnoteReference w:id="18"/>
      </w:r>
      <w:r>
        <w:rPr>
          <w:lang w:bidi="de-de"/>
        </w:rPr>
        <w:t xml:space="preserve"> wurde ein Achtersteven mit einer Länge von 21 1/2 Fuß gesetzt. Hier wurden die Randsomhölzer in 9 Fuß Höhe in den Achtersteven eingelassen. Das sind etwa 3/7 der Achterstevenlänge.</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bidi="de-de"/>
        </w:rPr>
      </w:pPr>
      <w:r>
        <w:rPr>
          <w:lang w:val="de-de" w:bidi="de-de"/>
        </w:rPr>
      </w:r>
    </w:p>
    <w:p>
      <w:pPr>
        <w:pStyle w:val="para2"/>
        <w:spacing w:after="100"/>
        <w:suppressAutoHyphens/>
        <w:hyphenationLines w:val="0"/>
        <w:keepNext w:val="0"/>
        <w:keepLines w:val="0"/>
      </w:pPr>
      <w:bookmarkStart w:id="18" w:name="_TOC000066"/>
      <w:r>
        <w:t>Ausgang der Betrachtung</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Ausgang dieser kurzen Betrachtung waren die sich im Laufe der letzten Jahrzehnte angesammelten Bestecke aus verschiedenen niederländischen und deutschen Archiven. Der Autor dieses Berichtes geht seit Jahren regelmäßig in die Archive, um die frühen Zeugnisse der Schiffbaugeschichte zu sichten. Oft werden diese Archivbesuche belohnt, denn es tauchen immer mal wieder neue Bestecke auf. Die Anfänge der schriftlichen Zusammenfassungen der Vertragstexte zwischen Schiffbauer und Kunde sind wenig erforscht und können zeitlich nur schwer eingeordnet werden. Es wird aber so sein, dass es zu allen Zeiten Verträge zwischen den Parteien gegeben hat. Ob diese immer in schriftlicher Form erfolgten, ist leider nicht überliefert. Die frühesten uns bekannten Zeugnisse dieser Verträge gehen auf die Mitte des 16. Jahrhunderts zurück. Es sind noch sehr einfach gehaltene Aufzeichnungen, die nur die wichtigsten Informationen zum Inhalt haben. Die Länge über die Außenkanten der Steven, die Schiffsweite und die Raumtiefe wurden meistens festgelegt. Diese Hauptabmessungen unterlagen für den untersuchten Zeitraum nur bedingt irgendwelchen Regeln. Im 16. Jahrhundert hatten die Schiffe noch überwiegend ein Verhältnis Länge/Breite von 3:1. Dieses verschob sich aber zum Anfang des 17. Jahrhunderts in die Richtung 4:1. Erst in der Mitte des 17. Jahrhunderts stabilisierte sich dieser Wert für geraume Zeit. Wobei natürlich unterschieden werden muss zwischen Handelsschiffen und Marinefahrzeugen. Die Vertragsparteien im zivilen Umfeld hatten bezüglich der Abmessungen der Bauteile und dem wichtigen Bereich des Hecks scheinbar keine klaren Vorstellungen. Zum Beispiel die Länge des Heckbalkens lässt immer wieder die Frage aufkommen, nach welchen Kriterien wurde sie festgelegt. Es kann auch davon ausgegangen werden, dass der Mensch des 16. Jahrhunderts noch mehr durch das eigentliche Handwerk geprägt war. Die Dürftigkeiten der Texte lassen die Vermutung zu, dass die Handhabung im Bau eines Schiffes weniger theoretisch war. Man vertraute mehr auf die Fähigkeiten der Fachleute als auf schriftlich formulierte Anweisungen. Selbst in den ersten Jahrzehnten des folgenden Jahrhunderts lässt sich das noch an der Ausführung der Bestecke ablesen.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Verschiedene, für den Schiffbau wichtige Aspekte sollen in diesem Beitrag aufgezeigt werden. Nun liegt es auf der Hand, dass in diesem Beitrag nicht der gesamte Schiffbau abgehandelt werden kann. Dieser Beitrag beschränkt sich somit auf einige Besonderheiten, wie sie aus den Bestecken dieser frühen Zeitepoche herausgelesen werden können. Es soll natürlich nicht unterschlagen werden, dass gerade in der Frühzeit des Militärschiffbaus, also dem ausgehenden 16. Jahrhundert, noch keine richtige Abgrenzung zu den Handelsschiffen erkennbar ist. Das Potenzial, also das geballte Wissen um den Marineschiffbau, war im 16. und selbst im frühen 17. Jahrhundert einfach noch nicht vorhanden. Selbst die englischen Nachbarn waren zu dieser Zeit noch bestrebt, den Kriegsschiffbau in ihrem Sinne zu entwickeln.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Hier soll noch kurz eingeworfen werden, dass mehrheitlich das Amsterdamer Maß benutzt wurde. Dieses kann aber nur für die Schiffe der O.I.C. und der Marine verbindlich ausgesagt werden. Wie die vielen zivilen, kleinen und größeren Werften es mit den Maßsystemen hielten, ist nicht überliefert. Leider wird nicht in jedem Besteck auf das Maßsystem hingewiesen. Bis etwa um die Mitte des 17. Jahrhunderts war es vielfach noch üblich, das auf der Werft gültige System zu übernehmen. Das hatte aber immer wieder zur Folge, dass die Vertragsparteien von verschiedenen Dingen redeten. Der Schiffbauer meinte das Rotterdamer, der Kunde das Maßsystem des Noorderkwartiers oder eines anderen Ortes in den Niederlanden. Das kam öfter vor, als uns heute bekannt ist.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Der Kiel und die Steven waren den Vertragspartnern stets eine Erwähnung wert. Beim Vor- und auch Achtersteven ging es um die Höhe bzw. Länge derselben und wenigstens den Fall des Stevens nach vorne/hinten. War es den Vertragspartnern wichtig, wurde auch die sogenannte Bucht der Steven vermerkt. Waren diese Informationen im 16. Jahrhundert noch in vielen Bestecken Bestandteil des Textes, änderte sich dieses im 17. Jahrhundert. Nur noch selten tauchen diese detaillierten Angaben zur Bucht derselben in den Bestecken auf.</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Gelegentlich kommt beim heutigen Betrachter der Gedanke auf, dass eingebürgertes Wissen nach einer gewissen Zeit die Bestecke wieder verlassen hat. Nach dem Motto, Bekanntes muss nicht unbedingt in ein Besteck aufgenommen werden.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Zum Kiel gab es verschiedene Informationen. Ganz wichtig war den Verantwortlichen, dass der Querschnitt im Bereich des Halses fixiert wurde. Schon früh wurde durch die Wahl der Bäume festgelegt, dass er nicht nur aus einem langen Baumstamm herausgearbeitet werden konnte. Meist gab es schon in den letzten Jahrzehnten des 16. Jahrhunderts kaum noch geeignete Bäume, die dieses zuließen. Waren die Angaben wie die Tiefe in Schiffsquerrichtung zu den Steven aussagefähig genug, wurden nur noch die Höhenangaben des Kiels am vorderen und hinteren Ende angegeben. In der Regel hatte die Höhe im vorderen Bereich einen größeren Wert als hinten. Das hing damit zusammen, dass der Bereich des Achterstevens in Verbindung mit dem großen Knie und des darunter befindlichen Kiels keine allzu große Höhe mehr erforderlich machte. Die hinteren Stecher, also die Spanten, die vertikal auf dem Kiel standen, waren steif genug, um einen in der Höhe dünneren Kiel zu zulassen. Das wussten die Schiffbauer auch ohne aufwändige Berechnungen, die wir heute durchführen könnten. Oft verringerte sich die Höhe unterhalb des Achterstevens um zwei bis vier Daumen des mittleren Wertes. Im Bereich des Vorstevens variierte der Wert stark, fiel aber wesentlich geringer aus. Hier war die Erfahrung der Verantwortlichen ein wichtiges Kriterium. Denn auch der Kunde wusste im Allgemeinen, was er wollte und verantworten konnte. Konnte ein Kiel nicht aus zwei Einzelteilen hergestellt werden, wurde in den Bestecken schon darauf hingewiesen. Bei einem Kriegsschiff der Größe von 165 Fuß wurde schon im Besteck</w:t>
      </w:r>
      <w:r>
        <w:rPr>
          <w:rStyle w:val="char1"/>
        </w:rPr>
      </w:r>
      <w:r>
        <w:rPr>
          <w:rStyle w:val="char1"/>
        </w:rPr>
        <w:footnoteReference w:id="20"/>
      </w:r>
      <w:r>
        <w:t xml:space="preserve"> festgelegt, dass der Querschnitt bei drei Enden 25 Daumen, bei vier Enden aber schon 27 Daumen betragen musste. Dieses geschah allerdings erst 1666. Im 16. Jahrhundert wurde ein Kiel allgemein aus zwei Teilen gebaut. Die Verantwortlichen legten zu allen Zeiten sehr viel Wert darauf, diese zwei oder drei gewaltigen Balken gut miteinander zu verbinden. Die Verbindung erfolgte mit sogenannten Laschen. Sie bekamen eine Länge zwischen 9 und 11 Fuß. Dabei spielte es keine Rolle, ob es sich um ein kleines, oder großes Schiff handelte. Die Befestigung der Laschen war in vielen Bestecken geregelt, sodass hier klare Aussagen gemacht werden können. Zwischen 10 und 13 eiserne Bolzen wurden für eine Lasche eingesetzt.</w:t>
      </w:r>
    </w:p>
    <w:p>
      <w:pPr>
        <w:pStyle w:val="para2"/>
        <w:spacing w:after="100"/>
        <w:suppressAutoHyphens/>
        <w:hyphenationLines w:val="0"/>
        <w:keepNext w:val="0"/>
        <w:keepLines w:val="0"/>
      </w:pPr>
      <w:bookmarkStart w:id="18" w:name="_TOC000066"/>
      <w:r>
        <w:t>Die Anfänge des Kriegsschiffbaus</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Anfänge der niederländischen Marine sind in der entsprechenden Fachliteratur ausgiebig beschrieben worden, sodass in diesem Beitrag nicht darauf eingegangen werden muss. Genau wie die Anfänge der Marine, sind auch die Vorgehensweisen während einer militärischen Auseinandersetzung an entsprechenden Stellen beschrieben worden.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Doch kommen wir auf eine anfängliche Entwicklung im Schiffbau gegen Ende des 16, Jahrhunderts zu sprechen. Man hatte bei der Admiralität Amsterdam einen Schiffstyp auf den Weg gebracht, der im Nachhinein mehr Probleme bereitete, als man wohl verkraften konnte. G.C.E. Crone hatte in seinem Buch </w:t>
      </w:r>
      <w:r>
        <w:rPr>
          <w:i/>
          <w:lang w:val="nl-nl"/>
        </w:rPr>
        <w:t>„Onze</w:t>
      </w:r>
      <w:r>
        <w:rPr>
          <w:i/>
        </w:rPr>
        <w:t xml:space="preserve"> </w:t>
      </w:r>
      <w:r>
        <w:rPr>
          <w:i/>
          <w:lang w:val="nl-nl"/>
        </w:rPr>
        <w:t>schepen</w:t>
      </w:r>
      <w:r>
        <w:rPr>
          <w:i/>
        </w:rPr>
        <w:t xml:space="preserve"> in de </w:t>
      </w:r>
      <w:r>
        <w:rPr>
          <w:i/>
          <w:lang w:val="nl-nl"/>
        </w:rPr>
        <w:t>gouden</w:t>
      </w:r>
      <w:r>
        <w:rPr>
          <w:i/>
        </w:rPr>
        <w:t xml:space="preserve"> </w:t>
      </w:r>
      <w:r>
        <w:rPr>
          <w:i/>
          <w:lang w:val="nl-nl"/>
        </w:rPr>
        <w:t>eeuw</w:t>
      </w:r>
      <w:r>
        <w:t>“</w:t>
      </w:r>
      <w:r>
        <w:rPr>
          <w:rStyle w:val="char1"/>
        </w:rPr>
      </w:r>
      <w:r>
        <w:rPr>
          <w:rStyle w:val="char1"/>
        </w:rPr>
        <w:footnoteReference w:id="21"/>
      </w:r>
      <w:r>
        <w:t xml:space="preserve"> einiges über die Anfänge der Flottenrüstung und den Bau der ersten großen Kriegsschiffe mitgeteilt.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Er und auch andere Autoren bezeichneten dieses Schiff als ein Kriegsschiff mit dem Namen </w:t>
      </w:r>
      <w:r>
        <w:rPr>
          <w:i/>
          <w:iCs/>
        </w:rPr>
        <w:t>„De </w:t>
      </w:r>
      <w:r>
        <w:rPr>
          <w:i/>
          <w:iCs/>
          <w:lang w:val="nl-nl"/>
        </w:rPr>
        <w:t>Hollandsche</w:t>
      </w:r>
      <w:r>
        <w:rPr>
          <w:i/>
          <w:iCs/>
        </w:rPr>
        <w:t> </w:t>
      </w:r>
      <w:r>
        <w:rPr>
          <w:i/>
          <w:iCs/>
          <w:lang w:val="nl-nl"/>
        </w:rPr>
        <w:t>Tuyn</w:t>
      </w:r>
      <w:r>
        <w:rPr>
          <w:i/>
          <w:iCs/>
          <w:lang w:val="nl-nl"/>
        </w:rPr>
        <w:fldChar w:fldCharType="begin"/>
        <w:instrText xml:space="preserve">XE "De Hollandsche Tuyn"</w:instrText>
        <w:fldChar w:fldCharType="end"/>
      </w:r>
      <w:r>
        <w:rPr>
          <w:i/>
          <w:iCs/>
          <w:lang w:val="nl-nl"/>
        </w:rPr>
        <w:t>“</w:t>
      </w:r>
      <w:r>
        <w:rPr>
          <w:lang w:val="nl-nl"/>
        </w:rPr>
        <w:t>.</w:t>
      </w:r>
      <w:r>
        <w:t xml:space="preserve"> Es wurde den Quellen zur Folge in den Jahren 1598/99 in Amsterdam gebaut. Die Flottenführung und selbst die Admiralität Amsterdam waren aber nach der Fertigstellung und Inbetriebnahme dieses wohl sehr großen Schiffes überhaupt nicht zufrieden. Nicht genug, dass man dieses Schiff mit größten Anstrengungen von Amsterdam weg ins tiefere Wasser bekam, man musste aufgrund der Abmessungen dieser scheinbar neuartigen Bauweise einen zu großen Tiefgang feststellen. In der Praxis stellte sich dann heraus, dass es sehr rank war. Man benötigte zudem wohl sehr viel Personal, um es in Betrieb zu halten. Kurz, das war dann wohl doch eine Fehlkonstruktion für die niederländischen Gewässer. Dieses kam aber auch in anderen Ländern vor, sodass man nicht von einem rein niederländischen Problem reden könnte. Die Auswirkungen einer veränderten Konstruktions- und Bauweise, oder schlicht die veränderten Hauptabmessungen konnten nicht im Vorwege abgeschätzt werden. Leider sind die Abmessungen gerade dieses interessanten Schiffes nicht überliefert.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Schauen wir uns aber die zum Ende des 16. Jahrhunderts veränderte Sichtweise auf die Hauptabmessungen und des damit einhergehenden Verhältnisses Länge zur Breite genauer an. Es kann schon vermutet werden, dass auch die Admiralität Amsterdam der Versuchung nicht widerstehen konnte, sich der neuen Entwicklung zu nähern. Eine Veränderung der Schiffslänge konnte aber wohl von den damaligen Schiffbauern noch nicht richtig eingeordnet werden.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Betrachten wir eine der beiden bekannten Abbildungen genauer, können wir eigentlich davon ausgehen, ein großes niederländisches Kriegsschiff vor Augen zu haben. Auf dem nebenstehenden Gemäldeausschnitt ist das genannte Schiff abgebildet und lässt einen Blick auf die Größenordnung erahnen. Würden wir die Maßstäbe späterer Regeln, etwa ab der Mitte des 17. Jahrhunderts zugrunde legen, könnte dieses Schiff um die 160 Fuß Länge gehabt haben.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Um die Mitte des 17. Jahrhunderts taucht eine handschriftlich verfasste Empfehlung</w:t>
      </w:r>
      <w:r>
        <w:rPr>
          <w:rStyle w:val="char1"/>
        </w:rPr>
      </w:r>
      <w:r>
        <w:rPr>
          <w:rStyle w:val="char1"/>
        </w:rPr>
        <w:footnoteReference w:id="22"/>
      </w:r>
      <w:r>
        <w:t xml:space="preserve"> zur Ausrüstung der neu zu bauenden Kriegsschiffe auf. Die mit dem Titel </w:t>
      </w:r>
      <w:r>
        <w:rPr>
          <w:i/>
        </w:rPr>
        <w:t>„Evenredige toerustinge</w:t>
      </w:r>
      <w:r>
        <w:t>“, vorliegende Arbeit, welche ein anonymer Autor der Admiralität Rotterdam erstellte, gibt Aufschluss darüber, wie man sich die Vorgehensweise im Schiffbau vorstellte. Er empfahl dem Leser, dass die Anzahl der Wanten am Großmast etwas mit der Länge des Schiffes zu tun hatte. Für ein 100-Fuß-Schiff benötigte man um 1650 sechs Wanten je Seite. Für alle 15 bis 16 Fuß mehr an Schiffslänge rechnete er ein Wantenpaar hinzu. Nun muss natürlich die Frage beantwortet werden, ob denn schon um 1600 herum eine derartige Regel existierte. Der Autor dieser Zeilen würde dieses infrage stellen und es dem geneigten Leser überlassen wollen, eine entsprechende Antwort darauf zu suchen. Schauen wir noch einmal Pieter van Dam über die Schulter. Er berichtete, dass die O.I.C. schon in den ersten Jahren ihres Bestehens Schiffe in der Größe von 300 bis 400 Lasten hat bauen lassen. Die Kammer Amsterdam hatte sogar ein Schiff in der Größenordnung von 500 Lasten. Es wurde durch die Kammer Hoorn sogar ein Schiff gebaut, welches später 20 Fuß Tiefgang hatte. Dieses Schiff konnte in späterer Zeit nur einige wenige Häfen in Zeeland anlaufen. Wenn wir uns dann noch vor Augen führen, dass die Aemilia</w:t>
      </w:r>
      <w:r>
        <w:fldChar w:fldCharType="begin"/>
        <w:instrText xml:space="preserve">XE "Aemilia"</w:instrText>
        <w:fldChar w:fldCharType="end"/>
      </w:r>
      <w:r>
        <w:t>, die ja 1632 für die Admiralität Rotterdam gebaut wurde, 300 Lasten groß war, können wir in etwa abschätzen, um welche Größenordnung es sich bei den ersten Schiffen der O.I.C. gehandelt hatte. Die Aemilia hatte eine Länge über Steven von 132 Rotterdamer Fuß. Doch kommen wir zurück zu unserem ersten, sehr großen niederländischen Kriegsschiff von 1598/99 zurück.</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Das Schiff hatte in der unteren Batterie 16 Geschütze aufgestellt. Auf dem darüber liegenden Deck zählen wir noch 14 Geschütze. So kommen wir auf ca. 30 Geschütze. Eine für das 16. Jahrhundert große Anzahl. Sie sagt natürlich nichts über die Kalibergrößen aus, dennoch war dieses Schiff etwas Besonderes.</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Wenden wir uns abschließend noch dem äußeren Erscheinungsbild dieses ungewöhnlichen Kriegsschiffes zu. Es hatte schon alle später wichtigen Bauelemente. So sehen wir ein Schiff in klassischer Ausführung mit zwei Geschützdecks, einem Halbdeck, einer Back, einer Kampanje und schließlich einer kleinen Hütte. Dem Backdeck kann man ansehen, dass es noch aus dem 16. Jahrhundert übernommen wurde. Der Fockmast stand sehr weit vorne außerhalb des Backdecks vor dem Backfrontschott. Das Halbdeck war noch ganz im Sinne des 16. Jahrhunderts ausgeführt. Man kann durchaus noch nicht von einem richtigen Deck sprechen, da es eine netzartige Konstruktion hatte. Die Seeleute nannten diese Konstruktion </w:t>
      </w:r>
      <w:r>
        <w:rPr>
          <w:i/>
          <w:iCs/>
          <w:lang w:val="nl-nl"/>
        </w:rPr>
        <w:t>„bovenet“</w:t>
      </w:r>
      <w:r>
        <w:rPr>
          <w:lang w:val="nl-nl"/>
        </w:rPr>
        <w:t>.</w:t>
      </w: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Das Heck war noch ganz in alter Tradition ausgeführt, will sagen, nach dem unteren Spiegel folgten die erste und zweite Gillung. Dann folgte darüber der kleine obere Spiegel. Dann fällt dem Betrachter sofort die umlaufende hintere Galerie auf. Sie war noch nach oben offen, hatte aber schon eine zierliche Konstruktion für eine Überdachung.</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Besonders sticht ins Auge, dass dieses Schiff noch mit vier Masten ausgestattet war. Groß-, Fock-, Besan- und Bonaventurmast</w:t>
      </w:r>
      <w:r>
        <w:fldChar w:fldCharType="begin"/>
        <w:instrText xml:space="preserve">XE "Bonaventurmast"</w:instrText>
        <w:fldChar w:fldCharType="end"/>
      </w:r>
      <w:r>
        <w:t>. Ein Bugspriet</w:t>
      </w:r>
      <w:r>
        <w:fldChar w:fldCharType="begin"/>
        <w:instrText xml:space="preserve">XE "Bugspriet"</w:instrText>
        <w:fldChar w:fldCharType="end"/>
      </w:r>
      <w:r>
        <w:t xml:space="preserve"> war mit der damals üblichen Länge zu sehen. Am Ende dieses Mastes ist wohl eine kleine Stenge gesetzt worden. Ob es sich schon um die spätere Sprietstenge handelt, kann nicht festgestellt werden. Es könnte sich auch noch um eine Flaggenstenge handeln.</w:t>
      </w:r>
    </w:p>
    <w:p>
      <w:pPr>
        <w:pStyle w:val="para2"/>
        <w:spacing w:after="100"/>
        <w:suppressAutoHyphens/>
        <w:hyphenationLines w:val="0"/>
        <w:keepNext w:val="0"/>
        <w:keepLines w:val="0"/>
      </w:pPr>
      <w:bookmarkStart w:id="18" w:name="_TOC000066"/>
      <w:r>
        <w:t>Die Veränderungen am Heck</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Es ist schwer einzuordnen, wann die Schiffbauer sich der neuen Heckform zuwandten. War es noch um 1600 mehr als üblich, oberhalb des unteren Spiegels zwei Gillungen und darüber dann einen kleinen oberen Spiegel zu gestalten, änderte sich die Sichtweise in der Zeit nach 1600. Die Aemilia ist eines der ersten bekannten Kriegsschiffe mit dem später als Standard ausgeführten neuen Heck. Nun gab es nur noch eine kleine Gillung oberhalb des Heckbalkens. Gerade so ausgeführt, dass das Ruder ein und ausgehängt werden konnte. Darauf folgten dann einige Hackeborde</w:t>
      </w:r>
      <w:r>
        <w:fldChar w:fldCharType="begin"/>
        <w:instrText xml:space="preserve">XE "Hackeborde"</w:instrText>
        <w:fldChar w:fldCharType="end"/>
      </w:r>
      <w:r>
        <w:t>, die den oberen Spiegel optisch aufteilten. Die sich eventuell dahinter verbergende Logik ist leider nicht überliefert. Möglich, dass man irgendwann erkannt hatte, dass die enorm hohen Aufbauten des 15. und 16. Jahrhundert durch die Weiterentwicklung des Geschützwesens nicht mehr erforderlich waren. Es könnte auch sein, dass die hohen Aufbauten dieser waffentechnischen Entwicklung im Wege standen. Schauen wir uns zu diesem Zweck ganz kurz die Bemühungen um das erste große Flottenbauprogramm der Jahre 1653-1655 an. Die kleinen Kriegsschiffe in der Größenordnung von 130 Fuß Länge hatten in der Planungsphase weder Halb- noch Backdeck. Selbst früher Kriegsschiffe der 40er Jahre hatten oft weder Halb- noch Backdeck. Man hatte vermutlich die Schiffsstruktur der neuen Sichtweise angepasst und auf wesentliche Bestandteile eines Schiffes verzichtet.</w:t>
      </w:r>
    </w:p>
    <w:p>
      <w:pPr>
        <w:pStyle w:val="para2"/>
        <w:spacing w:after="100"/>
        <w:suppressAutoHyphens/>
        <w:hyphenationLines w:val="0"/>
        <w:keepNext w:val="0"/>
        <w:keepLines w:val="0"/>
      </w:pPr>
      <w:bookmarkStart w:id="18" w:name="_TOC000066"/>
      <w:r>
        <w:t>Bestecke nach 1600</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Die Bestecke der Kriegsschiffe aus der Zeit vor 1600 bis ca. 1640 stammen ganz überwiegend aus Zeeland. Hierbei handelte es sich meist um kleinere Fregatten und Fahrzeuge für den Betrieb an der Küste und innerhalb des Landes. Angefangen bei 70 Fuß überschritten sie selten 115 Fuß Länge über Steven. Es fällt auf, dass die Fregatten, obwohl meist mit zwei durchlaufenden Decks ausgestattet, keine Stützen </w:t>
      </w:r>
      <w:r>
        <w:rPr>
          <w:i/>
          <w:iCs/>
        </w:rPr>
        <w:t>„Steunder“</w:t>
      </w:r>
      <w:r>
        <w:t xml:space="preserve"> an der Wegerung hatten. In den Bestecken wurden die Steunder</w:t>
      </w:r>
      <w:r>
        <w:fldChar w:fldCharType="begin"/>
        <w:instrText xml:space="preserve">XE "Steunder"</w:instrText>
        <w:fldChar w:fldCharType="end"/>
      </w:r>
      <w:r>
        <w:t xml:space="preserve"> nicht vorgesehen.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Schon im Jahre 1625 finden wir in den Bestecken einen Hinweis auf eine gute Verbesserung der Holzverbindungen, und damit auch eine Stärkung der Verbände. Bei den Decks, in diesem Fall des Overloops</w:t>
      </w:r>
      <w:r>
        <w:fldChar w:fldCharType="begin"/>
        <w:instrText xml:space="preserve">XE "Overloops"</w:instrText>
        <w:fldChar w:fldCharType="end"/>
      </w:r>
      <w:r>
        <w:t xml:space="preserve"> und dem Bovenet</w:t>
      </w:r>
      <w:r>
        <w:fldChar w:fldCharType="begin"/>
        <w:instrText xml:space="preserve">XE "Bovenet"</w:instrText>
        <w:fldChar w:fldCharType="end"/>
      </w:r>
      <w:r>
        <w:t>, wurden die Wassergänge nicht stramm an die Spanten angelegt, sondern man schnitt immer an einem Spant ein wenig Material aus dem Wassergang. Für den Overloop 1 1/2 und für das Bovenet 1 Daumen. So war gewährleistet, dass Spanten und Wassergang einen guten Kraftschluss bekamen. Die Spanten konnten nicht nach vorne oder hinten wandern und der Wassergang lag sicher auf den Decksbalken. Dieses Detail finden wir in einigen der untersuchten Bestecke, allerdings nur bei den Kriegsschiffen. Was sagt uns aber nun diese kleine, eher unscheinbare Ausklinkung des Wasserganges im Bereich der Spanten. Führen wir uns dazu den praktischen Ablauf beim Bau der Schiffe vor Augen. Um einen Wassergang beziehungsweise Gangbord so präzise zu bearbeiten, bedarf es schon der aufgestellten Spanten im Schiff. Außerdem dürfen die Spantstützen</w:t>
      </w:r>
      <w:r>
        <w:fldChar w:fldCharType="begin"/>
        <w:instrText xml:space="preserve">XE "Spantstützen"</w:instrText>
        <w:fldChar w:fldCharType="end"/>
      </w:r>
      <w:r>
        <w:t xml:space="preserve"> des oberen Bereichs nicht bis in den Bereich der Ausklinkung</w:t>
      </w:r>
      <w:r>
        <w:fldChar w:fldCharType="begin"/>
        <w:instrText xml:space="preserve">XE "Ausklinkung"</w:instrText>
        <w:fldChar w:fldCharType="end"/>
      </w:r>
      <w:r>
        <w:t xml:space="preserve"> des Wassergangs</w:t>
      </w:r>
      <w:r>
        <w:fldChar w:fldCharType="begin"/>
        <w:instrText xml:space="preserve">XE "Wassergangs"</w:instrText>
        <w:fldChar w:fldCharType="end"/>
      </w:r>
      <w:r>
        <w:t xml:space="preserve"> kommen. Im Sinne des Wortes war eine sehr genaue Planung und Auswahl des Materials von großer Bedeutung. Ob man diese Bauweise auch im nördlichen Holland, also Enkhuizen, Hoorn oder Amsterdam anwenden konnte, darf bezweifelt werden, da hier eine andere Bautradition</w:t>
      </w:r>
      <w:r>
        <w:rPr>
          <w:rStyle w:val="char1"/>
        </w:rPr>
      </w:r>
      <w:r>
        <w:rPr>
          <w:rStyle w:val="char1"/>
        </w:rPr>
        <w:footnoteReference w:id="23"/>
      </w:r>
      <w:r>
        <w:t xml:space="preserve"> gängig war. Sie wurde vielfach beschrieben und wird daher hier nicht behandelt. Ein wahlloses Auffüllen der Innenhölzer, wie in den nördlichen Bereichen der Provinz Holland wohl üblich, kam bei einer derartigen Bauweise eher nicht infrage.</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Das Oorlogschip vom 13. Mai 1625 mit einer Länge von 115 Fuß bekam schon, oder noch, drei Berghölzer</w:t>
      </w:r>
      <w:r>
        <w:rPr>
          <w:rStyle w:val="char1"/>
        </w:rPr>
      </w:r>
      <w:r>
        <w:rPr>
          <w:rStyle w:val="char1"/>
        </w:rPr>
        <w:footnoteReference w:id="24"/>
      </w:r>
      <w:r>
        <w:t xml:space="preserve"> unterhalb der unteren Geschützpforten angeordnet. Bei der Eendracht</w:t>
      </w:r>
      <w:r>
        <w:fldChar w:fldCharType="begin"/>
        <w:instrText xml:space="preserve">XE "Eendracht"</w:instrText>
        <w:fldChar w:fldCharType="end"/>
      </w:r>
      <w:r>
        <w:t xml:space="preserve"> und der Groot Holland</w:t>
      </w:r>
      <w:r>
        <w:fldChar w:fldCharType="begin"/>
        <w:instrText xml:space="preserve">XE "Groot Holland"</w:instrText>
        <w:fldChar w:fldCharType="end"/>
      </w:r>
      <w:r>
        <w:rPr>
          <w:rStyle w:val="char1"/>
        </w:rPr>
      </w:r>
      <w:r>
        <w:rPr>
          <w:rStyle w:val="char1"/>
        </w:rPr>
        <w:footnoteReference w:id="25"/>
      </w:r>
      <w:r>
        <w:t xml:space="preserve"> sehen wir noch unterhalb der Pforten drei Berghölzer. Wobei laut Besteck nur noch zwei vorgesehen waren. Hier hatte sicher die Tradition gesiegt und der Schiffbauer der Eendracht, der ja aus Dordrecht kam, konnte nicht über seinen Schatten springen, um das untere, nicht mehr erforderliche Bergholz wegzulassen. Aber wenn wir uns die Vasa</w:t>
      </w:r>
      <w:r>
        <w:rPr>
          <w:rStyle w:val="char1"/>
        </w:rPr>
      </w:r>
      <w:r>
        <w:rPr>
          <w:rStyle w:val="char1"/>
        </w:rPr>
        <w:footnoteReference w:id="26"/>
      </w:r>
      <w:r/>
      <w:r>
        <w:fldChar w:fldCharType="begin"/>
        <w:instrText xml:space="preserve">XE "Vasa"</w:instrText>
        <w:fldChar w:fldCharType="end"/>
      </w:r>
      <w:r>
        <w:t xml:space="preserve"> anschauen, die ja auch in den 20er Jahren des 17. Jahrhunderts gebaut worden ist, sehen wir sogar 4 Berghölzer unterhalb der Stückpforten. Und die Berghölzer wurden nicht durch die Stückpfortenöffnungen geschwächt. Ebenfalls finden wir auch bei diesem Schiff die Bauweise mit den Stützen an der Wegerung.</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Vermutlich hat sich im Laufe der Zeit herausgestellt, dass die große Anzahl der Berghölzer unterhalb der Pforten nicht notwendig waren, denn im Laufe der ersten Hälfte des 17. Jahrhunderts reduzierte man sie auf zwei.</w:t>
      </w:r>
    </w:p>
    <w:p>
      <w:pPr>
        <w:pStyle w:val="para2"/>
        <w:spacing w:after="100"/>
        <w:suppressAutoHyphens/>
        <w:hyphenationLines w:val="0"/>
        <w:keepNext w:val="0"/>
        <w:keepLines w:val="0"/>
      </w:pPr>
      <w:bookmarkStart w:id="18" w:name="_TOC000066"/>
      <w:r>
        <w:t>Menschliche Aspekte</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Der Mensch als solches, und der Schiffbauer im Besonderen stand Neuerungen nicht immer sonderlich aufgeschlossen gegenüber. Forderte zum Beispiel ein Kunde, dass ein neu zu bauendes Schiff 2 bis 4 Fuß weiter werden sollte, stellte diese Forderung den Schiffbauer vor eine große Herausforderung. Meistens konnte er diesen Wunsch nicht erfüllen, da sein Instrumentarium, also seine Erfahrung und die Familientradition dieses nicht zuließen. Er hatte von seinem Vater, Großvater und anderen Familienmitgliedern sein Handwerk erlernt, war also nicht aufgeschlossen genug, um eine derartige Hürde nehmen zu können. Da spielt es auch keine große Rolle, ob es sich wie im Fall der Eendracht um den besten Schiffbauer der Admiralität Rotterdam handelte. Jan Salomon van der Tempel</w:t>
      </w:r>
      <w:r>
        <w:fldChar w:fldCharType="begin"/>
        <w:instrText xml:space="preserve">XE "Jan Salomon van der Tempel"</w:instrText>
        <w:fldChar w:fldCharType="end"/>
      </w:r>
      <w:r>
        <w:t xml:space="preserve"> war ein guter Schiffbauer und leitete immerhin die Werft der Adm. Rotterdam. Die bekannten Kriegsschiffe der ersten Generation, die Aemilia (1632-1647) und die Brederode</w:t>
      </w:r>
      <w:r>
        <w:fldChar w:fldCharType="begin"/>
        <w:instrText xml:space="preserve">XE "Brederode"</w:instrText>
        <w:fldChar w:fldCharType="end"/>
      </w:r>
      <w:r>
        <w:t xml:space="preserve"> (1643/46-1658) stammen von ihm. Er war maßgeblich an der Erstellung der Bestecke des großen Flottenbauprogramms beteiligt. Die Verantwortlichen der Admiralität hielten große Stücke auf diesen fähigen Mann.</w:t>
      </w:r>
    </w:p>
    <w:p>
      <w:pPr>
        <w:pStyle w:val="para2"/>
        <w:spacing w:after="100"/>
        <w:suppressAutoHyphens/>
        <w:hyphenationLines w:val="0"/>
        <w:keepNext w:val="0"/>
        <w:keepLines w:val="0"/>
      </w:pPr>
      <w:bookmarkStart w:id="18" w:name="_TOC000066"/>
      <w:r>
        <w:t>Regeln im 17. Jahrhundert</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Die damals geltenden Regeln im Schiffbau besagten, dass die Schiffsweite eines Kriegsschiffes ein Viertel der Schiffslänge betragen sollte. Männer wie J.S.v.Tempel hielten sich nicht immer im Detail an diese Regeln. Ein zu großes Abweichen vom Vertragswerk eines Besteckes hatte allerdings im Zweifel empfindliche Geldstrafen zur Folge. Der ausführende Schiffbauer musste im Falle von Änderungen am Schiff gute Argumente ins Feld führen. Konnte der Kunde von der Änderung nicht überzeugt werden, wurde vom veranschlagten Kostenrahmen ein angemessener Betrag abgezogen. Dieses ist einigen Schiffbauern so ergangen, als sie aus uns heute nicht bekannten Gründen, dass vorgeschriebene Bauholz nicht verwendeten. Die Außenhautbeplankung gerade unterhalb der Berghölzer wurde von ihnen verändert. Statt der vorgeschriebenen </w:t>
      </w:r>
      <w:r>
        <w:rPr>
          <w:i/>
          <w:iCs/>
        </w:rPr>
        <w:t>„Smitsemer</w:t>
      </w:r>
      <w:r>
        <w:rPr>
          <w:i/>
          <w:iCs/>
        </w:rPr>
        <w:fldChar w:fldCharType="begin"/>
        <w:instrText xml:space="preserve">XE "Smitsemer"</w:instrText>
        <w:fldChar w:fldCharType="end"/>
      </w:r>
      <w:r>
        <w:rPr>
          <w:i/>
          <w:iCs/>
        </w:rPr>
        <w:t>“</w:t>
      </w:r>
      <w:r>
        <w:t xml:space="preserve"> hatten sie Hamburger Planken</w:t>
      </w:r>
      <w:r>
        <w:fldChar w:fldCharType="begin"/>
        <w:instrText xml:space="preserve">XE "Hamburger Planken"</w:instrText>
        <w:fldChar w:fldCharType="end"/>
      </w:r>
      <w:r>
        <w:t xml:space="preserve"> verbaut. Nachdem das bekannt wurde, prüften die Auftraggeber alle auf Stapel stehenden Neubauten und verhängten empfindliche Geldstrafen. Pro Neubau wurden 400 Gulden einbehalten. Interessant ist in diesem Zusammenhang, dass genau diese 400 Gulden den Schiffbauern an anderer Stelle wieder zugutekamen. Man hatte während des Entwurfs des ersten großen Flottenbauprogramms die Vorstellung gehabt, dass bei den kleineren Schiffen von 130 Fuß Länge nicht unbedingt ein Halbdeck oder Backdeck erforderlich sei. Später, auf Drängen der Flottenführung wurden diese beiden Decks dann einheitlich in alle 130er-Schiffe eingebaut. Dieses geschah allerdings während der Bauphase. So bekamen die Schiffbauer je Neubau 400 Gulden für diese sicher umfangreichen Arbeiten an den Decks.</w:t>
      </w:r>
    </w:p>
    <w:p>
      <w:pPr>
        <w:pStyle w:val="para2"/>
        <w:spacing w:after="100"/>
        <w:suppressAutoHyphens/>
        <w:hyphenationLines w:val="0"/>
        <w:keepNext w:val="0"/>
        <w:keepLines w:val="0"/>
      </w:pPr>
      <w:bookmarkStart w:id="18" w:name="_TOC000066"/>
      <w:r>
        <w:t>Beurteilung der Bestecke 1652</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Kommen wir aber noch einmal auf die Hauptabmessungen der ersten und zweiten Bauserie aus den Jahren 1653/54 und 1654/55 zurück. Nachdem die Bestecke wohl einvernehmlich mit allen Beteiligten abgestimmt waren, legten drei Vertreter der Generalstaaten dem Vizeadmiral C.W.de With einen Satz der Bestecke vor. Man bat ihn um sein fachliches Urteil, da sich die Vertreter der Generalstaaten nicht sicher waren, ob es die richtigen Schiffe waren, die in Auftrag gegeben werden sollten. Dieses geschah am 23.12.1652. Schon einen Tag später wurde durch C.W.de With ein Schreiben an die Generalstaaten geschickt.</w:t>
      </w:r>
      <w:r>
        <w:rPr>
          <w:rStyle w:val="char1"/>
        </w:rPr>
      </w:r>
      <w:r>
        <w:rPr>
          <w:rStyle w:val="char1"/>
        </w:rPr>
        <w:footnoteReference w:id="27"/>
      </w:r>
      <w:r>
        <w:t xml:space="preserve"> De With fällte ein vernichtendes Urteil. Seine Aussage könnte man in wenigen Worten zusammenfassen. Wenn man die Kriegsschiffe nach diesen Bestecken bauen würde, hätte man erneut die schon lange bekannten Probleme. Die Schiffe wären ungeeignet, um Dienst für das Vaterland zu leisten. Sie wären viel zu rank, die untere Batterie würde wiederum bei sehr geringen Winden nicht einsatzbereit sein, da die Pforten nicht geöffnet werden könnten. Die kleinen 130er würden den Anforderungen der neuen Kriegsführung nicht mehr gerecht, da die Engländer immer größere Schiffe in ihre Marine integrierten. Die Bewaffnung der englischen Schiffe wäre so gut, dass sie feindliche Schiffe auf Abstand halten konnten. Was die niederländische Marine benötigen würde, wären große Kriegsschiffe ab 150 Fuß Länge. Die kleinen 130er könnten da nicht mehr mithalten. Seine Forderung lautete also, baut größere und breitere Kriegsschiffe. Sorgt dafür, dass die untere Batterie weiter aus dem Wasser kommt. Schafft auf der Kuhbrücke</w:t>
      </w:r>
      <w:r>
        <w:fldChar w:fldCharType="begin"/>
        <w:instrText xml:space="preserve">XE "Kuhbrücke"</w:instrText>
        <w:fldChar w:fldCharType="end"/>
      </w:r>
      <w:r>
        <w:t xml:space="preserve"> mehr Raum zwischen den dort stehenden Booten und der Bordwand. Die dort aufgestellten 12-Pfünder benötigten mehr Raum. Es waren ja keine aufregenden Forderungen, die C.W.de With an die Schiffbauer stellte. Mit ein wenig Überlegung und einer Portion Mut wäre es sicher möglich gewesen, diese Forderungen beim Bau der neuen Schiffe zu berücksichtigen. Alleine, alle beteiligten waren nicht in der Lage, auf die Situation zu reagieren. Man ging zur Tagesordnung über, prüfte die Kosten und stellte fest, dass es eigentlich nicht möglich wäre, den Forderungen nach großen Schiffen nachzukommen. Das Ergebnis ist hinlänglich bekannt und soll hier nicht weiter erörtert werden.</w:t>
      </w:r>
    </w:p>
    <w:p>
      <w:pPr>
        <w:pStyle w:val="para2"/>
        <w:spacing w:after="100"/>
        <w:suppressAutoHyphens/>
        <w:hyphenationLines w:val="0"/>
        <w:keepNext w:val="0"/>
        <w:keepLines w:val="0"/>
      </w:pPr>
      <w:bookmarkStart w:id="18" w:name="_TOC000066"/>
      <w:r>
        <w:t>Leichte Verbesserungen an den Schiffen</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J.S.v. Tempel hatte als einer der wenigen sehr fähigen Schiffbauer die Probleme der Praktiker erkannt und er versuchte, durch kleinere Korrekturen am Bau der Schiffe einiges zu retten. Leider war er aber gezwungen, die zugrunde gelegten Bestecke als Maß der Dinge zu sehen und darauf zu achten, das nach ihnen gebaut wurde. Bei den kleineren 130-Fuß-Kriegsschiffen hatte er als Bauaufsicht</w:t>
      </w:r>
      <w:r>
        <w:fldChar w:fldCharType="begin"/>
        <w:instrText xml:space="preserve">XE "Bauaufsicht"</w:instrText>
        <w:fldChar w:fldCharType="end"/>
      </w:r>
      <w:r>
        <w:t xml:space="preserve"> führender Schiffbauer angeordnet, die Überläufe fünf Daumen höher zu legen. Zwei der vier Schiffe wurden sogar mit Erlaubnis der Admiralität Rotterdam um vier Fuß verlängert, sodass wenigstens ein Teil der ursprünglich angedachten 134-Fuß-Kriegsschiffe der Flotte zur Verfügung gestellt werden konnte. Im Falle der Eendracht konnte er nur die Schiffslänge um ganze zwei Fuß verlängern. Die Höhe des Überlaufs konnte er dadurch mehr oder weniger besteckgerecht um drei Daumen erhöhen. Die geltende Regel 1/10*Schiffslänge ergab die Raumtiefe. Sicher hätte er auch gerne die Schiffsweite auf 39, oder gar 40 Fuß gebracht. Nur das Schiff hätte dann die Werft nicht mehr verlassen können. Eine Brückendurchfahrt ins tiefere Fahrwasser hatte scheinbar genau das Maß von 38 Fuß.</w:t>
      </w:r>
    </w:p>
    <w:p>
      <w:pPr>
        <w:pStyle w:val="para2"/>
        <w:spacing w:after="100"/>
        <w:suppressAutoHyphens/>
        <w:hyphenationLines w:val="0"/>
        <w:keepNext w:val="0"/>
        <w:keepLines w:val="0"/>
      </w:pPr>
      <w:bookmarkStart w:id="18" w:name="_TOC000066"/>
      <w:r>
        <w:t>Reparatur der Brederode</w:t>
      </w:r>
      <w:bookmarkEnd w:id="1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Am Beispiel der Brederode</w:t>
      </w:r>
      <w:r>
        <w:fldChar w:fldCharType="begin"/>
        <w:instrText xml:space="preserve">XE "Brederode"</w:instrText>
        <w:fldChar w:fldCharType="end"/>
      </w:r>
      <w:r>
        <w:t xml:space="preserve"> kann übrigens nachgezeichnet werden, wie aus einem weniger Guten doch noch ein gutes Schiff werden konnte. Auch die Brederode war ein rankes Schiff, hatte die Probleme mit den Geschützpforten und die von C.W.de With angeführten Mängeln.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Nach einem Seegefecht mit den Engländern wurde die Brederode 1652 derart beschädigt, dass umfangreiche Reparaturmaßnahmen erforderlich waren. M.H. Tromp versuchte darauf hin nicht nur die Schäden beheben zu lassen, sondern er wollte auch die Problematik mit dem ranken Schiff beheben lassen. Zu diesem Zweck hatte er sich mit J.S.v. Tempel abgestimmt. Sie kamen überein, dem Schiff einen zusätzlichen Bauch zu geben. Von der Kimm bis unter die Berghölzer sollte eine zweite Außenhaut aufgebracht werden. Wie diese zusätzliche Außenhaut im Detail ausgeführt wurde, ist leider nicht überliefert. Einzig die Anzahl der neuen Planken ist überliefert. So sollten 150 Planken in einer Stärke von 3 1/2 Daumen verwendet werden. Die Umbaumaßnahme kostete immerhin 8000 Gulden. Weitere Informationen sind leider nicht überliefert. Das Schiff wurde nach der Umbaumaßnahme im März 1653 von allen Beteiligten für sehr gut befunden. Die Probleme mit den Geschützpforten gab es anschließend nicht mehr und die Fahreigenschaften hatten sich sehr positiv verändert.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Fassen wir also noch einmal kurz zusammen. Die Problematik der ranken Schiffe war den Verantwortlichen bekannt. Es wurde sogar erfolgreich eine Maßnahme praktiziert, um die Probleme zu beheben. Die Schlussfolgerung wäre eigentlich gewesen, die neuen Kriegsschiffe gleich anders zu bauen. Weit gefehlt, die Verantwortlichen in den Gremien konnten nicht über ihren Schatten springen. Sie bauten nach alter Gewohnheit.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Aber nach dem die ersten 30 Kriegsschiffe fertiggestellt waren, hatten die Verantwortlichen der Admiralitäten nichts Besseres zu tun, als die Schiffe nach altem Recht auf Herz und Nieren zu prüfen. Grundlage dieser Überprüfung waren wiederum die Bestecke. Bei kleinsten Abweichungen ging es gleich ans Geld der Schiffbauer. Kein Prüfer der Admiralität Rotterdam kam auf die Idee, sich die Hauptabmessungen der Eendracht genauer vor Augen zu führen. Nach dem Stapellauf musste das Schiff aus dem Hafenbereich in tieferes Wasser überführt werden. Zu diesem Zweck musste es durch ein Nadelöhr in Form einer Brückendurchfahrt. Die Durchfahrtsbreite betrug aber wohl nur 38 Fuß, und die Wassertiefe muss auch nur um die 10 bis 15 Fuß betragen haben. So blieb dieses große Schiff genau dort stecken. Es dauerte einige Wochen, bis die Eendracht wieder freikam. Von Weitsicht der Verantwortlichen kann sicher nicht gesprochen werden, denn diese Brücke stand in unmittelbarer Nähe der Werft.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beiden Vorgängerschiffe Aemilia und Brederode waren für die Entwicklung des ersten großen Flottenbauprogramms außerordentlich wichtig. Die in der etwas älteren Fachliteratur angegebenen Schiffsgrößen der beiden genannten Schiffe sollten uns allerdings nicht täuschen. Die mit 132 Fuß angegebene Länge über die Steven entsprach noch dem Rotterdamer Maß. Es unterschied sich zum Maßsystem der Nordholländer erheblich. Das allgemein als Amsterdamer bekannte Maß für den Fuß hatte eine Länge von 283 mm. Das Rotterdamer Maß aber ein solches von 302 mm. Das heißt natürlich, das die beiden Schiffe schon um die 140 Amsterdamer Fuß lang waren. Beide Schiffe wurden in Rotterdam entworfen und durch J.S.v. Tempel gebaut. Man kann davon ausgehen, dass das Besteck der Brederode die Grundlage für den Entwurf der Eendracht bildete. Leider ist dieses vermutlich wichtige Besteck trotz intensiver Suche noch nicht aufgetaucht und entzieht sich einer näheren Untersuchung.</w:t>
      </w:r>
    </w:p>
    <w:p>
      <w:pPr>
        <w:pStyle w:val="para2"/>
        <w:spacing w:after="100"/>
        <w:suppressAutoHyphens/>
        <w:hyphenationLines w:val="0"/>
        <w:keepNext w:val="0"/>
        <w:keepLines w:val="0"/>
      </w:pPr>
      <w:bookmarkStart w:id="27" w:name="_TOC000015"/>
      <w:r>
        <w:t>Tradition ändert sich zwangsläufig</w:t>
      </w:r>
      <w:bookmarkEnd w:id="27"/>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Während der englisch-niederländischen Seekriege im 17. Jahrhundert waren die niederländischen Schiffbauer erstmals gezwungen, ihre Bautradition schneller zu ändern, als es normalerweise üblich war. Die Bewaffnung der englischen Kriegsschiffe nahm ständig zu. Das hatte zwangsläufig zur Folge, das die niederländischen Kriegsschiffe auch ihre Bewaffnung denen der Engländer anpassen mussten. Mit den Schiffen der ersten Generation war das aber nicht mehr möglich. Sie waren, was die Bewaffnung anging, ausgereizt. Die Schiffe, die dann in den Jahren 1664 bis 1666 gebaut wurden, waren erheblich größer, als die der ersten Generation. Auch das Längen/Breitenverhältnis hatte sich etwas zugunsten der schwereren Bewaffnung verändert. Gab es in der 50er Jahren des 17. Jahrhunderts noch ein Verhältnis von 3,9:1, änderte sich dieses in den 60er Jahren in die Richtung 3,7, 3,8 zu 1. Selbst die Jahre zum Ende des Jahrhunderts brachten hier nicht viel an Veränderungen. Selbst in den 80er Jahren des 18. Jahrhunderts lag das Längen/Breitenverhältnis immer noch bei 3,6 bis 3,7 zu 1. Auch die Schiffslänge veränderte sich langsam von ursprünglich 130, 136 und 150 Fuß hin zu 160, 165 und 170 Fuß im 17. Jahrhundert. Im 18. Jahrhundert kamen dann noch Schiffsgrößen von 172 bis 185 Fuß hinzu. Möglich, dass auch die Bauweise der Schiffe etwas zur Stabilität der Schiffe beitrug. Das sind aber wenig erforschte Dinge. Sie hier zu beleuchten, würde den Rahmen dieser kleinen Arbeit sprengen.</w:t>
      </w:r>
    </w:p>
    <w:p>
      <w:pPr>
        <w:pStyle w:val="para2"/>
        <w:spacing w:after="100"/>
        <w:suppressAutoHyphens/>
        <w:hyphenationLines w:val="0"/>
        <w:keepNext w:val="0"/>
        <w:keepLines w:val="0"/>
      </w:pPr>
      <w:bookmarkStart w:id="28" w:name="_TOC000016"/>
      <w:r>
        <w:t>Weitere Werkzeuge der Schiffbauer</w:t>
      </w:r>
      <w:bookmarkEnd w:id="2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Auch wenn hier vielleicht nicht der geeignete Platz dafür erscheint, sollte doch auf bestimmte schiffbauliche Praktiken hingewiesen werden. Schiffbauer waren zu allen Zeiten bestrebt, ihre Arbeiten zu vereinfachen. Das kann leicht nachvollzogen werden, da eine Vereinfachung auch immer mit der Senkung der Kosten einherging. Gerade im Marine-Schiffbau legten die Verantwortlichen immer Wert auf besonders gute Ausführung der Arbeit. Wenn die Möglichkeit gegeben war, wurde nicht nur ein Schiff in entsprechender Größe gebaut, sondern eine kleine bis größere Serie in Auftrag gegeben. Da natürlich alle Bauteile eines Schiffes in Serie möglichst einheitlich auszusehen hatten, wird man vermutlich sehr früh Werkzeuge entwickelt haben, um eine Serie möglich zu machen. Das Augenmerk soll hier auf das sogenannte Mall gelegt werden. In der frühen Zeit, hier Mitte des 16. Jahrhunderts, wird der eine oder andere Schiffbauer von schon gebauten Schiffen Schablonen (Mall) angefertigt haben. Sie sind nicht nachgewiesen, daher muss hier ein großes Fragezeichen angehängt werden. In den südlichen Niederlanden haben die Schiffbauer ja nach einem anderen System ihre Schiffe gebaut als im Norden der Provinz. Schon Cornelis van Yk wies darauf hin, das man den Scheerstrook eines Schiffes aufbewahrte, um für Nachbauten gerüstet zu sein. Die führende Handelskompanie der Niederlande im 17. Jahrhundert, die O.I.C. bestimmte zum Beispiel kurz nach ihrer Gründung, dass nur Schiffe durch die Herren 17 genehmigt wurden, die nach bestimmten Kriterien gebaut wurden. Dazu gehörte ein festgelegtes Maß mit einer Länge von 10 Amsterdamer Fuß. Die Werften, die Schiffe für die O.I.C. bauten, mussten in Amsterdam vorsprechen und sich eine Kopie dieses Maßstabs anfertigen. Ferner finden wir gelegentlich Hinweise in den Unterlagen der Admiralitäten, dass ein Schiffbauer sich für den Bau des Schiffes die Mallen von der Admiralitätswerft besorgen musste. Das sind nur ansatzweise Hinweise auf eine wenig bekannte Praktik. Im 18. Jahrhundert wurde in den sehr ausführlichen Bestecken der Marine an vielen Stellen auf die zur Verfügung zu stellenden Mallen verwiesen. Dabei geht es nicht allein um den Schiffbau, auch andere Gewerke, die dem Schiffbau zuarbeiteten, waren hier eingeschlossen. Die Lieferanten von bestimmten Gegenständen für das betreffende Schiff mussten sich nach Auftragsvergabe an die Admiralität wenden, um die entsprechenden Mallen zu bekommen.</w:t>
      </w:r>
      <w:r>
        <w:br w:type="page"/>
      </w:r>
    </w:p>
    <w:p>
      <w:pPr>
        <w:pStyle w:val="para1"/>
        <w:numPr>
          <w:ilvl w:val="0"/>
          <w:numId w:val="1"/>
        </w:numPr>
        <w:ind w:left="0" w:firstLine="0"/>
        <w:rPr>
          <w:sz w:val="22"/>
          <w:szCs w:val="22"/>
        </w:rPr>
      </w:pPr>
      <w:bookmarkStart w:id="29" w:name="_TOC000017"/>
      <w:r>
        <w:rPr>
          <w:sz w:val="22"/>
          <w:szCs w:val="22"/>
        </w:rPr>
        <w:t>Vergatte</w:t>
      </w:r>
      <w:bookmarkEnd w:id="29"/>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fldChar w:fldCharType="begin"/>
        <w:instrText xml:space="preserve"> TMBIBLIOGRAPHY «Elias 1933» </w:instrText>
        <w:fldChar w:fldCharType="separate"/>
        <w:t>[Elias 1933]</w:t>
        <w:fldChar w:fldCharType="end"/>
      </w:r>
      <w:r>
        <w:t xml:space="preserve"> beschreibt eindrucksvoll, wie sich die Entwicklung der niederländischen Fregatte abgespielt haben könnte. Er richtete sein Augenmerk auf die ihm zur Verfügung gestandenen Dokumente und Bücher seiner Zeit.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Der Ursprung dieses Fahrzeugs wird allgemein in Italien angesiedelt. Es handelte sich dabei um kleinere Fahrzeuge, die sowohl mit Segel als auch mit Riemen ausgestattet waren.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Federige Spinola brachte um 1600 diesen Schiffstyp in den Norden Europas. Er wollte damit den niederländischen Seehandel nicht nur stören, sondern auch lahmlegen. 1602 ereignete es sich, dass eine Besatzung einer spanisch/italienischen Fregatte zu den Niederländern überlief.</w:t>
      </w:r>
      <w:r>
        <w:rPr>
          <w:rStyle w:val="char1"/>
        </w:rPr>
      </w:r>
      <w:r>
        <w:rPr>
          <w:rStyle w:val="char1"/>
        </w:rPr>
        <w:footnoteReference w:id="31"/>
      </w: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Niederländer benutzten zu der Zeit ganz überwiegend die größeren Oorlogschiffe, Jachten, Vlieboote, Creveelschiffe und Pinassen. Es kamen noch die Royachten hinzu, die klein waren und mit Riemen ausgestattet waren. Sie wurden nach derzeitiger Aktenlage in Amsterdam entwickelt. Da man den kleinen Fregatten nicht beikommen konnte, entwickelten die Niederländer kurzerhand auch einen Schiffstyp, den sie Vergatte nannten. Es sind einige Bestecke und Dokumente zu dieser Entwicklung überliefert.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Diese Ausführung der damaligen Vergatten wurde aber nur einige Jahre genutzt. Schon um 1605 waren sie wohl nicht mehr in Dienst. Elias berichtete, dass die verbliebenen Vergatten nach Ostindien abgegeben wurden.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Nach dem Waffenstillstand mit den Spaniern (1607/09-1621) brach der Krieg wieder aus. Nun brauchte man erneut Wasserfahrzeugen, denn die Verantwortlichen hatten nach 1607 das Tafelsilber einfach verkauft. Die Kassen des Staates waren leer. Man benötigte dringend Geld und sah hier eine Möglichkeit, die marode Finanzsituation abzufedern.</w:t>
      </w:r>
    </w:p>
    <w:p>
      <w:pPr>
        <w:pStyle w:val="para1"/>
        <w:rPr>
          <w:sz w:val="22"/>
          <w:szCs w:val="22"/>
        </w:rPr>
      </w:pPr>
      <w:bookmarkStart w:id="31" w:name="_TOC000018"/>
      <w:r>
        <w:rPr>
          <w:sz w:val="22"/>
          <w:szCs w:val="22"/>
        </w:rPr>
        <w:t>Vlieboot</w:t>
      </w:r>
      <w:bookmarkEnd w:id="31"/>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Dogboote sind Verwandte oder Vorläufer der Vlieboote.</w:t>
      </w:r>
    </w:p>
    <w:p>
      <w:pPr>
        <w:pStyle w:val="para3"/>
        <w:spacing w:after="100"/>
        <w:suppressAutoHyphens/>
        <w:hyphenationLines w:val="0"/>
        <w:keepNext w:val="0"/>
        <w:keepLines w:val="0"/>
      </w:pPr>
      <w:bookmarkStart w:id="32" w:name="_TOC000019"/>
      <w:r>
        <w:t>Allgemeines zu den Vliebooten</w:t>
      </w:r>
      <w:bookmarkEnd w:id="32"/>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Als bekannt wurde, das Spanien 1588 seine große, als unüberwindbar geltende, Armada auf den Weg nach Norden schicken wollte, wurde in den Niederlanden Vorkehrungen getroffen, um eine mögliche Abwehr zu organisieren. Denn zum damaligen Zeitpunkt stand nicht fest, wohin die Armada segeln würde.</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So stellte man fest, dass es in den Niederlanden 2700 große Kauffahrer von 50 bis 200 Lasten gab, die schnellstmöglich zu Kriegsschiffen umgebaut werden konnten.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Als dann die Armade vor der englischen Küste erschien, wurde sie mit Unterstützung der niederländischen Schiffe vertrieben. Die Folgen für die spanische Regierung und die Leiden der Schiffsbesatzungen sind in vielen Publikationen ausführlich beschrieben.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Nach 1588, also nach dem Sieg über die Armada, wollte man an verantwortlicher Stelle in den Niederlanden die Flottenrüstung und die damit verbundenen organisatorischen Dinge neu ordnen und verbessern. So wurde beschlossen, dass jährliche Zusammenkünfte stattfinden sollten, um die Belange der Marine zu besprechen und notwendige Verbesserungen auf den Weg zu bringen.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Nachdem der Vater des Prins Maurits 1584 verstorben war, wurde ihm von den Generalstaaten dieses schwierige Amt angedient. Die Hintergründe dieser Personalie sind natürlich wesentlich komplizierter und kann im Rahmen dieser Arbeit nicht besprochen werden. Es gibt ausreichend Literatur, die Auskunft darüber geben können.</w:t>
      </w:r>
      <w:r>
        <w:rPr>
          <w:rStyle w:val="char1"/>
        </w:rPr>
      </w:r>
      <w:r>
        <w:rPr>
          <w:rStyle w:val="char1"/>
        </w:rPr>
        <w:footnoteReference w:id="34"/>
      </w:r>
      <w:r>
        <w:t xml:space="preserve"> Es dauerte allerdings noch einige Jahre, bis das Marinewesen auf die Belange des Landes umgestellt werden konnte. Die Bestrebungen gingen in die Richtung zur Vereinfachung. Man kann durchaus vermuten, dass Maurits seine Kenntnisse im Umgang mit dem Heer auch auf die Marine übertragen wollte. Die Reorganisation des Heeres ist dem Prinzen außerordentlich gut gelungen. Auch hierüber gibt es ausreichende Literatur. Die Vereinheitlichung der Marine glückte aber nicht im Sinne des Prinzen. Zu sehr waren die Schiffbauer und angrenzenden Gewerke an Traditionen gebunden. Punktuell konnte einiges erreicht werden, der große Wurf blieb allerdings aus. Die verschiedenen Machtgefüge der einzelnen Provinzen, vor allem Holland und Zeeland, machten die Angelegenheit nicht leichter. Die beiden genannten Provinzen waren von jeher verfeindet. So konnte auch keine gedeihliche Zusammenarbeit entstehen. Die Bereitschaft zur Zusammenarbeit hielt sich daher in Grenzen. Wo es möglich erschien, wurde aber auch der eine oder ander positive Versuch gestartet.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Für eine gut funktionierende Marine benötigte man vor allen Dingen Schiffe, gut ausgebildete Mannschaften und ausreichende Bewaffnungen. Die Lebensmittelversorgung war ein weiteres Thema. Die Hierarchien in diesem Gebilde war lange ein Streitthema. Ein Zeeländer wollte keinen Vorgesetzten aus der Provinz Holland ertragen, umgekehrt natürlich genauso.</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Vor 1600 gab es noch die von alters her überlieferten Schiffstypen, wie zum Beispiel die Hulke, die Rahsegel, die Kraveele, sowie die aus dem Süden Europas bekannten Karaken. Sie waren in der Regel für die niederländischen Küstenregionen eher ungeeignet, da ihr Tiefgang nicht zu den angefahrenen Hafenplätzen passte. So gab es schon damals eine Arbeitsteilung unter den Schiffern. Die großen Schiffe bekamen einen geeigneten Ankerplatz außerhalb der Häfen zugewiesen. Die kleineren Schiffe, die als Leichter fungierten, übernahmen dann die Ladung und brachten sie zum Bestimmungsort.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Im 16. Jahrhundert kamen verstärkt kleinere Schiffstypen in Fahrt, die die genannten großen langsam aber sicher aus dem Markt drängten. Durch ihre geringe Größe und der einfacheren Bauweise waren diese Schiffstypen den großen Schiffen überlegen. Sie konnten in die Häfen ein- und auslaufen, brauchten keine langen Liegezeiten in Kauf nehmen, benötigten wenig Personal und machten zudem mehrere Reisen im Jahr. Zu diesen Schiffstypen zählten auch die Boote. Ein Sammelbegriff für viele verschiedene Typen, die vermutlich alle auf einen gemeinsamen Vorfahren zurückgehen. Wo dieser Vorfahre zu suchen ist, wird man wohl kaum noch in Erfahrung bringen können.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Die Resolutionen der </w:t>
      </w:r>
      <w:r>
        <w:rPr>
          <w:i/>
          <w:iCs/>
        </w:rPr>
        <w:t>„Staten van Holland“</w:t>
      </w:r>
      <w:r>
        <w:t xml:space="preserve"> geben auch Auskunft über die frühen Aktivitäten zum damaligen Flottenbau. Prins Maurits hatte auch hier seine Finger im Spiel und versuchte, durch gezielte Maßnahmen eine geeignete Flotte aufzubauen.</w:t>
      </w:r>
      <w:r>
        <w:rPr>
          <w:rStyle w:val="char1"/>
        </w:rPr>
      </w:r>
      <w:r>
        <w:rPr>
          <w:rStyle w:val="char1"/>
        </w:rPr>
        <w:footnoteReference w:id="35"/>
      </w:r>
      <w:r>
        <w:t xml:space="preserve"> Ursprünglich wollte der Prins große Kriegsschiffe in seine Flotte integrieren. Daraus wurde aber nichts. Wir lesen bei </w:t>
      </w:r>
      <w:r>
        <w:fldChar w:fldCharType="begin"/>
        <w:instrText xml:space="preserve"> TMBIBLIOGRAPHY «Elias 1933» </w:instrText>
        <w:fldChar w:fldCharType="separate"/>
        <w:t>[Elias 1933]</w:t>
        <w:fldChar w:fldCharType="end"/>
      </w:r>
      <w:r>
        <w:t xml:space="preserve"> auf Seite 3, dass statt der großen Kriegsschiffe, nun eine Reihe von Vliebooten in die Flotte aufgenommen wurden.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Allgemein wird der Beginn der niederländischen Flotte im Jahre 1589 angesetzt. </w:t>
      </w:r>
      <w:r>
        <w:fldChar w:fldCharType="begin"/>
        <w:instrText xml:space="preserve"> TMBIBLIOGRAPHY «Elias 1933» </w:instrText>
        <w:fldChar w:fldCharType="separate"/>
        <w:t>[Elias 1933]</w:t>
        <w:fldChar w:fldCharType="end"/>
      </w:r>
      <w:r>
        <w:t xml:space="preserve"> beschreibt aus Seite 4, dass 1589 eine </w:t>
      </w:r>
      <w:r>
        <w:rPr>
          <w:i/>
          <w:iCs/>
        </w:rPr>
        <w:t>„Ordre op de beveiling der Zee“</w:t>
      </w:r>
      <w:r>
        <w:t xml:space="preserve"> aufgestellt wurde. Möglich, dass diese Ordre schon länger existierte.</w:t>
      </w:r>
      <w:r>
        <w:rPr>
          <w:rStyle w:val="char1"/>
        </w:rPr>
      </w:r>
      <w:r>
        <w:rPr>
          <w:rStyle w:val="char1"/>
        </w:rPr>
        <w:footnoteReference w:id="36"/>
      </w:r>
      <w:r>
        <w:t xml:space="preserve"> Diese Ordre ging wohl aus den sich jährlich wiederholenden Zusammenkünften der Verantwortlichen hervor. Es wurde während dieser Zusammenkunft die Maßnahmen für die Flotte festgelegt. Nach 1596 gab es dann keine Zusammenkünfte mehr. Hauptsächlich kümmerte man sich um die Anschaffung und den Bau von Pinassen und Vliebooten. Ihre Größe lag zwischen 30 und 70 Lasten.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Jedes Jahr wurde aufs Neue in den Sitzungen darauf hingewiesen, dass die Schiffe, oder besser Boote, ganz flach und ohne Aufbauten als Kauffahrer aussehend dienen sollten. Es sollten keine Marse, Flaggen und </w:t>
      </w:r>
      <w:r>
        <w:rPr>
          <w:i/>
          <w:iCs/>
        </w:rPr>
        <w:t>„topstanders“</w:t>
      </w:r>
      <w:r>
        <w:t xml:space="preserve"> geführt werden.</w:t>
      </w:r>
      <w:r>
        <w:rPr>
          <w:rStyle w:val="char1"/>
        </w:rPr>
      </w:r>
      <w:r>
        <w:rPr>
          <w:rStyle w:val="char1"/>
        </w:rPr>
        <w:footnoteReference w:id="37"/>
      </w: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Wichtig war den Verantwortlichen scheinbar, dass diese Fahrzeuge sich nicht von den gewöhnlichen Kauffahrern unterscheiden sollten.</w:t>
      </w:r>
      <w:r>
        <w:rPr>
          <w:rStyle w:val="char1"/>
        </w:rPr>
      </w:r>
      <w:r>
        <w:rPr>
          <w:rStyle w:val="char1"/>
        </w:rPr>
        <w:footnoteReference w:id="38"/>
      </w:r>
      <w:r>
        <w:t xml:space="preserve"> </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Vlieboote waren scheinbar so konzipiert, dass man sie flexibel gestalten konnte. Im untersuchten Zeitraum von 1592 bis 1598 kann in Zeeland eine interessante Entwicklung abgelesen werden. Stand anfangs, und zwar 1592 noch das klassische Vlieboot im Vordergrund, wurde schon recht bald aus dem einfachen, eindeckigen Boot auch eines mit Spiegelheck, Halbdeck und Backdeck. Je nach Verwendungszweck wurden die zusätzlichen Decks eingearbeitet. Die Anpassungsarbeiten für derartige Änderungen hielten sich in vertretbaren Grenzen.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War dieses der Fall, verzichtete man auf die zusätzlichen Decks. Dann wurde oberhalb des Achterstevens nur noch ein größeres Setzbord aufgesetzt. Es lief über den Achtersteven hinaus und formte so das Hennegat für die Ruderpinne. Details dieser Einrichtung können wir sicher von den späteren </w:t>
      </w:r>
      <w:r>
        <w:rPr>
          <w:i/>
          <w:iCs/>
        </w:rPr>
        <w:t>„Wijdschepen“</w:t>
      </w:r>
      <w:r>
        <w:t xml:space="preserve"> entlehnen. Der weit hinten stehende Besanmast, sofern man hier schon van einem richtigen Mast sprechen kann, stand entweder an der Backbordseite an der Bordwand verankert, oder in einem Querbalken. Der Querbalken reichte dann van Setzbord zu Setzbord. Das klassische Vlieboot ohne zusätzliche Decks hatte anfangs eine Kiellänge von 52 Fuß.</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Der Spantaufbau war im untersuchten Zeitraum immer gleich. Die Höhe auf dem Kiel betrug 1 Fuß, in der Kimm 7 Daumen und im Bereich des Überlaufs verringerte sich das Holz auf 6 Daumen. Im Bereich des Dolbooms fiel die Tiefe noch geringer aus. Der Abstand zwischen den Wrangen wurde 1 Daumen geringer als die Breite der Wrange in Schiffslängsrichtung gewählt. Das würde sich auch mit weiteren Angaben in einem der späteren Bestecke decken. Hier wurde angegeben, dass die Breite in Schiffslängsrichtung 9, beziehungsweise 8 Daumen werden müsste. In der Kimm wollte man immer gerne eine volle Holzlage haben.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Auffallend war, dass das Kielschwein nicht so stark ausgeführte wurde. Es hatte im Gegensatz zum Kiel eine vergleichsweise schmale Ausführung mit einer Breite von 12 Daumen. Doch kommen wir noch einmal auf das Heck, zu sprechen. Die Bestecke lassen keine eindeutige Aussage zur Form des runden Hecks zu. So kann vermutet werden, dass das Vlieboot, sowohl mit einem runden Heck, als auch mit einem platten Heck ausgestattet wurde. Da es bei einigen Vliebooten auch einen Heckbalken gegeben hat, taucht die Frage nach der Heckkonstruktion unterhalb des Balkens auf.</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Suchen wir Gemeinsamkeiten mit nachfolgenden Booten und Schiffe, sollten bestimmte Merkmale dieses Schiffstyps im Auge behalten werden. Man kann festhalten, dass der Achtersteven mit seinen 6 Fuß Überhang ein Kriterium darstellen könnte. Es ist zu hinterfragen, ob das runde Hinterschiff Drehspanten gehabt haben könnte. Genauso sollte untersucht werden, ob die Wrangen auf dem Steven möglich waren. Die damit verbundene Außenhaut musste ja entsprechend der Form angelegt werden. Die erste damit verbundene Frage stellt die Kielplanke dar. Wurde sie wie in den Niederlanden üblich, über den Kiel nach hinten weitergezogen, oder endete sie in der Sponung des Achterstevens?</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Folgen wir </w:t>
      </w:r>
      <w:r>
        <w:fldChar w:fldCharType="begin"/>
        <w:instrText xml:space="preserve"> TMBIBLIOGRAPHY «Hagedorn 1914» </w:instrText>
        <w:fldChar w:fldCharType="separate"/>
        <w:t>[Hagedorn 1914]</w:t>
        <w:fldChar w:fldCharType="end"/>
      </w:r>
      <w:r>
        <w:t xml:space="preserve">, gab es den Huker nachweislich schon im 13. Jahrhundert. Das Aussehen der frühen Fahrzeuge verschließt sich uns gänzlich, da Abbildungen oder Beschreibungen aus dieser frühen Periode nicht überliefert sind. Die uns bekannten Huker könnten aber von der Schiffsform her ein Vertreter der Schiffsgattung sein. </w:t>
      </w:r>
      <w:r>
        <w:fldChar w:fldCharType="begin"/>
        <w:instrText xml:space="preserve"> TMBIBLIOGRAPHY «Konijnenburg 1895» </w:instrText>
        <w:fldChar w:fldCharType="separate"/>
        <w:t>[Konijnenburg 1895]</w:t>
        <w:fldChar w:fldCharType="end"/>
      </w:r>
      <w:r>
        <w:t xml:space="preserve"> zeigt einen schönen Riss eines Hukers, allerdings aus dem Jahre 1830. </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Der Schiffstyp Kuff</w:t>
      </w:r>
      <w:r>
        <w:rPr>
          <w:rStyle w:val="char1"/>
        </w:rPr>
      </w:r>
      <w:r>
        <w:rPr>
          <w:rStyle w:val="char1"/>
        </w:rPr>
        <w:footnoteReference w:id="39"/>
      </w:r>
      <w:r>
        <w:t xml:space="preserve"> kann eher nicht zu den Verwandten der Vlieboote gezählt werden, da er die größte Schiffsweite nicht in der Mitte des Schiffes, sondern eher im vorderen Drittel hatte.</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Tjalk, die ja bis in unsere Zeit erhalten geblieben ist, könnte zu den Vertretern der Typfamilie gezählt werden. Hier wird allerdings das Heck hinderlich sein, da die Außenhaut, und hier speziell die Kielplanke nicht über den Steven geht, sondern in der Sponung nach oben geführt wurde. Ferner kommt hinzu, dass die Tjalk ihren Großmast im ersten Drittel von vorne stehen hatte.</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Auch die Heringsbüse</w:t>
      </w:r>
      <w:r>
        <w:rPr>
          <w:rStyle w:val="char1"/>
        </w:rPr>
      </w:r>
      <w:r>
        <w:rPr>
          <w:rStyle w:val="char1"/>
        </w:rPr>
        <w:footnoteReference w:id="40"/>
      </w:r>
      <w:r>
        <w:t xml:space="preserve"> käme für eine nähere Betrachtung infrage. Hier kann man sehen, dass der Großmast ähnlich wie bei den Vliebooten, in der Mitte des Schiffes steht. Hier befindet sich bei dem eingesehenen Exemplar auch die größte Schiffsweite.</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Wir können vermuten, dass alle im 16. und 17. Jahrhundert vertretenen Boote miteinander verwandt waren. Sie wurden für bestimmte Zwecke und Einsatz entsprechend angepasst. Wie dieses Anpassungen im Detail ausgesehen haben, lässt sich leider nicht mehr nachvollziehen.</w:t>
      </w:r>
    </w:p>
    <w:p>
      <w:pPr>
        <w:pStyle w:val="para3"/>
        <w:spacing w:after="100"/>
        <w:suppressAutoHyphens/>
        <w:hyphenationLines w:val="0"/>
        <w:keepNext w:val="0"/>
        <w:keepLines w:val="0"/>
      </w:pPr>
      <w:bookmarkStart w:id="40" w:name="_TOC000020"/>
      <w:r>
        <w:t>Achterschiff</w:t>
      </w:r>
      <w:bookmarkEnd w:id="40"/>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Das Achterschiff war bei den Vliebooten nicht einheitlich konzipiert. Wir können aus den Bestecken erkennen, dass es wohl im Laufe der Jahre eine Weiterentwicklung des Hecks auch hin zum Plattgat gegeben hat? Ganz überwiegend baute man allerdings das typische Rundgat. Ob es wirklich das Plattgat bei den Booten gegeben hat, kann nicht eindeutig aus den Unterlagen abgelesen werden. Es gibt kaum Abbildungen von Vliebooten. Es ist eine einzige Abbildung bekannt, wo auf ein Vlieboot hingewiesen wurde. In dem einen oder anderen Besteck ist die Rede von einem Heckbalken, aber nur von einem Heckbalken. Die restlichen Konstruktionselemente wie Worpen und Randsomhölzer werden nicht erwähnt. Schauen wir uns zum Vergleich die großen Wandteppiche im Zeeuws Museum in Middelburg näher an.</w:t>
      </w:r>
      <w:r>
        <w:rPr>
          <w:rStyle w:val="char1"/>
        </w:rPr>
      </w:r>
      <w:r>
        <w:rPr>
          <w:rStyle w:val="char1"/>
        </w:rPr>
        <w:footnoteReference w:id="42"/>
      </w:r>
      <w:r>
        <w:t xml:space="preserve"> Hier hatte man verschiedene Seeschlachten mit den spanischen Besatzern ins Bild gesetzt. Die abgebildeten Boote und Schiffe haben sowohl das Rundgat als auch das Plattgat. In einer Übergangsphase, es war die Zeit um 1600, hatten man bei vielen Schiffstypen begonnen, im Achterschiff auch ein Halbdeck einzubauen. Da man scheinbar keine Neukonstruktion vorgesehen hatte, wurde kurzerhand ein höheres Setzbord so angeordnet, dass man ein Deck einbauen konnte. Erst im frühen 17. Jahrhundert wurde dieses dann in die Schiffsstruktur eingegliedert.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Es gibt Bestecke, in denen es nicht um den Heckbalken, sondern um einen </w:t>
      </w:r>
      <w:r>
        <w:rPr>
          <w:i/>
          <w:iCs/>
        </w:rPr>
        <w:t>„Stagebalk“</w:t>
      </w:r>
      <w:r>
        <w:t xml:space="preserve"> geht. Wurde anfangs noch davon ausgegangen, dass der </w:t>
      </w:r>
      <w:r>
        <w:rPr>
          <w:i/>
          <w:iCs/>
        </w:rPr>
        <w:t>„Stagebalk“</w:t>
      </w:r>
      <w:r>
        <w:t xml:space="preserve"> mit dem Heckbalken gleichzusetzen ist, änderte sich die Sichtweise während der Untersuchung zum Schiffstyp Vlieboot allmählich. Hierzu war es notwendig, Abbildungen der Zeit vor 1600 näher in Augenschein zu nehmen. Auf diesen frühen Abbildungen sieht man häufig ein Heck mit einem wagerechten Balken am oberen Ende des Achterstevens. Er liegt förmlich auf der Konstruktion auf. Unterhalb dieses Balkens hatte man die Außenhaut des Schiffes wie bei einem Rundgat einfach bis zum wagerechten Balken gezogen. Oberhalb des Balkens schloss sich dann der Heckaufbau an. Diese Konstruktion wirkt auf uns heute etwas befremdlich, muss aber vor 1600 durchaus normal gewesen sein. Auf vielen Abbildungen kann man diese Konstruktion wahrnehmen. Diesen wagerechten Balken werden die Menschen der damaligen Zeit Stagebalk genannt haben. Er hatte also wenig mit dem Heckbalken zu tun.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Anordnung der Wrangen auf dem Achtersteven wird seine Grenzen gehabt haben. Bekam zum Beispiel der Achtersteven eine große Bucht, wie sie bei vielen Binnenfahrzeugen zu sehen ist, war die Anordnung der Wrangen auf dem Steven kein großes Problem. Je steiler der Steven gestellt wurde, verringerte sich auch die Möglichkeit, Wrangen zu setzen. Hier griffen dann die Piekspanten oder die von den Galioten bekannten horizontal angeordneten Bänder. Die Piekspanten wurden dann eingesetzt, wenn das Vor- oder das Achterschiff eine schärfere Form bekam. Voraussetzung für die Piekspanten waren wohl die Schlemphölzer. Sie wurden benötigt, um die Füße der Piekspanten aufzunehmen.</w:t>
      </w:r>
      <w:r>
        <w:rPr>
          <w:rStyle w:val="char1"/>
        </w:rPr>
      </w:r>
      <w:r>
        <w:rPr>
          <w:rStyle w:val="char1"/>
        </w:rPr>
        <w:footnoteReference w:id="43"/>
      </w: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Bei einem platten Spiegel wurden Randsomhölzer und die Worpen gesetzt.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Im Fall der Vlieboote wurden in allen Bestecken sowohl am Achtersteven als auch am Vorsteven Schlemphölzer verlangt. Wie sie genau ausgesehen haben, ist natürlich nicht überliefert. Man kann aber davon ausgehen, dass das von den Niederländern bekannte Knie zwischen Achtersteven und Kiel nicht vorhanden war. Hier war dann ein Schlempholz angeordnet.</w:t>
      </w:r>
    </w:p>
    <w:p>
      <w:pPr>
        <w:pStyle w:val="para3"/>
        <w:spacing w:after="100"/>
        <w:suppressAutoHyphens/>
        <w:hyphenationLines w:val="0"/>
        <w:keepNext w:val="0"/>
        <w:keepLines w:val="0"/>
      </w:pPr>
      <w:bookmarkStart w:id="43" w:name="_TOC000021"/>
      <w:r>
        <w:t>Vorschiff</w:t>
      </w:r>
      <w:bookmarkEnd w:id="43"/>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 xml:space="preserve">Ähnlich wie beim Achterschiff gestaltet sich die Ausführung der Spanten auch im Vorschiff. Hatte der Vorsteven einen weiten Fall nach vorne, waren sicher bis weit nach oben horizontal angeordnete Wrangen möglich. Hier musste aber auch die Anordnung der Außenhautplanken berücksichtigt werden. Eine Mischform von Wrangen und Stechern kann es auch gegeben haben. </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Anordnung von Drehspanten ist sehr umstritten. Die Grundlage von Drehspanten ist das untere Lager, auf dem sich die Spanten abstützen.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Anordnung der Kajüte wirft einigen Fragen auf, die so auf die Schnelle nicht beantwortet werden kann. In einigen Bestecken wird der Beginn der Kajüte mit 12 Fuß vom Achtersteven angegeben. Dieses lässt den Schluss zu, das sie nicht von Bord zu Bord ging. Schauen wir uns zu diesem Zweck verschiedene Küstensegler aus der Zeit an, sehen wir einen Aufbau weit vor dem Achtersteven. So könnte man sich auch die Kajütanordnung bei den Vliebooten vorstellen.</w:t>
      </w:r>
    </w:p>
    <w:p>
      <w:pPr>
        <w:pStyle w:val="para1"/>
        <w:rPr>
          <w:sz w:val="22"/>
          <w:szCs w:val="22"/>
        </w:rPr>
      </w:pPr>
      <w:bookmarkStart w:id="44" w:name="_TOC000022"/>
      <w:r>
        <w:rPr>
          <w:sz w:val="22"/>
          <w:szCs w:val="22"/>
        </w:rPr>
        <w:t>Fleute</w:t>
      </w:r>
      <w:bookmarkEnd w:id="44"/>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Dieser Schiffstyp wurde vermutlich aus den Vliebooten entwickelt.</w:t>
      </w:r>
    </w:p>
    <w:p>
      <w:pPr>
        <w:pStyle w:val="para1"/>
        <w:rPr>
          <w:sz w:val="22"/>
          <w:szCs w:val="22"/>
        </w:rPr>
      </w:pPr>
      <w:r>
        <w:rPr>
          <w:sz w:val="22"/>
          <w:szCs w:val="22"/>
        </w:rPr>
      </w:r>
    </w:p>
    <w:p>
      <w:pPr>
        <w:pStyle w:val="para1"/>
        <w:rPr>
          <w:sz w:val="22"/>
          <w:szCs w:val="22"/>
        </w:rPr>
      </w:pPr>
      <w:bookmarkStart w:id="45" w:name="_TOC000023"/>
      <w:r>
        <w:rPr>
          <w:sz w:val="22"/>
          <w:szCs w:val="22"/>
        </w:rPr>
        <w:t>Pinasse</w:t>
      </w:r>
      <w:bookmarkEnd w:id="45"/>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Zur Pinasse gehört auch die sehr frühe „pinaster“</w:t>
      </w:r>
    </w:p>
    <w:p>
      <w:pPr>
        <w:pStyle w:val="para1"/>
        <w:rPr>
          <w:sz w:val="22"/>
          <w:szCs w:val="22"/>
        </w:rPr>
      </w:pPr>
      <w:bookmarkStart w:id="46" w:name="_TOC000024"/>
      <w:r>
        <w:rPr>
          <w:sz w:val="22"/>
          <w:szCs w:val="22"/>
        </w:rPr>
        <w:t>Vergatte</w:t>
      </w:r>
      <w:bookmarkEnd w:id="46"/>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47" w:name="_TOC000025"/>
      <w:r>
        <w:rPr>
          <w:sz w:val="22"/>
          <w:szCs w:val="22"/>
        </w:rPr>
        <w:t>Fregatte</w:t>
      </w:r>
      <w:bookmarkEnd w:id="47"/>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48" w:name="_TOC000026"/>
      <w:r>
        <w:rPr>
          <w:sz w:val="22"/>
          <w:szCs w:val="22"/>
        </w:rPr>
        <w:t>Boot ofte Schip</w:t>
      </w:r>
      <w:bookmarkEnd w:id="48"/>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Dieser Schiffstyp wurde aus den Vliebooten entwickelt.</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Zum Ende des 16. Jahrhunderts waren die zuvor häufig gebauten Vlieboote nicht mehr zeitgemäß. Man konnte sie auch nicht endlos verändern. Schon 1596 begannen die Verantwortlichen der Admiralität, zusammen mit den Schiffbauern den Schiffstyp zu verlängern.</w:t>
      </w:r>
    </w:p>
    <w:p>
      <w:pPr>
        <w:pStyle w:val="para1"/>
        <w:rPr>
          <w:sz w:val="22"/>
          <w:szCs w:val="22"/>
        </w:rPr>
      </w:pPr>
      <w:bookmarkStart w:id="49" w:name="_TOC000027"/>
      <w:r>
        <w:rPr>
          <w:sz w:val="22"/>
          <w:szCs w:val="22"/>
        </w:rPr>
        <w:t>Oorlogschip</w:t>
      </w:r>
      <w:bookmarkEnd w:id="49"/>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Dieser Schiffstyp wurde vermutlich im zweiten Drittel des 16. Jahrhunderts entwickelt. Es könnte aber auch sein, dass er auf einem bestehenden Schiffstyp aufbaute. Es war nicht üblich, etwas ganz Neues zu erfinden. Der Vorläufer könnte auch das Schiff gewesen sein. Schon in den 90er Jahren des 16. Jahrhunderts gibt es in den Bestecken gewissen parallelen zu den Oorlogschiffen.</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Im Jahre 1593 wurden wenigstens vier Schiffe gebaut. Sie hatten eine Kiellänge von 75 Fuß. Der Vorsteven bekam zwischen 16 und 17 Fuß Fall. Der Achtersteven bekam an der Hinterkante gemessen, eine Länge von 21 Fuß und einen Fall nach hinten von 4 1/2 bis 5 1/2 Fuß. Die Gesamtlänge über die Steven war bei allen Schiffen 96 1/2 Fuß. Alle vier Schiffe hatten eine einheitliche Schiffsweite von 31 Fuß.</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1598 wurden erneut zwei Oorlogschiffe in Auftrag gegeben. Sie hatten eine Kiellänge von 72 Fuß. Der Vorsteven bekam eine Länge von 32 Fuß und einen Fall nach vorne von 16 Fuß. Der Achtersteven hatte eine Länge, an der Hinterkante gemessen, von 19 Fuß, sein Fall nach hinten war 5 Fuß. Die Schiffsweite lag bei 29 Fuß. Die Gesamtlänge über die Außenkante der Steven ergab dann 93 Fuß.</w:t>
      </w:r>
    </w:p>
    <w:p>
      <w:pPr>
        <w:pStyle w:val="para1"/>
        <w:rPr>
          <w:sz w:val="22"/>
          <w:szCs w:val="22"/>
        </w:rPr>
      </w:pPr>
      <w:bookmarkStart w:id="50" w:name="_TOC000028"/>
      <w:r>
        <w:rPr>
          <w:sz w:val="22"/>
          <w:szCs w:val="22"/>
        </w:rPr>
        <w:t>Oorlog Craveel</w:t>
      </w:r>
      <w:bookmarkEnd w:id="50"/>
      <w:r>
        <w:rPr>
          <w:sz w:val="22"/>
          <w:szCs w:val="22"/>
        </w:rPr>
      </w:r>
    </w:p>
    <w:p>
      <w:pPr>
        <w:pStyle w:val="para1"/>
        <w:rPr>
          <w:sz w:val="22"/>
          <w:szCs w:val="22"/>
        </w:rPr>
      </w:pPr>
      <w:bookmarkStart w:id="51" w:name="_TOC000029"/>
      <w:r>
        <w:rPr>
          <w:sz w:val="22"/>
          <w:szCs w:val="22"/>
        </w:rPr>
        <w:t>Binnen Oorloch Schip</w:t>
      </w:r>
      <w:bookmarkEnd w:id="51"/>
      <w:r>
        <w:rPr>
          <w:sz w:val="22"/>
          <w:szCs w:val="22"/>
        </w:rPr>
      </w:r>
    </w:p>
    <w:p>
      <w:pPr>
        <w:pStyle w:val="para1"/>
        <w:rPr>
          <w:sz w:val="22"/>
          <w:szCs w:val="22"/>
        </w:rPr>
      </w:pPr>
      <w:bookmarkStart w:id="52" w:name="_TOC000030"/>
      <w:r>
        <w:rPr>
          <w:sz w:val="22"/>
          <w:szCs w:val="22"/>
        </w:rPr>
        <w:t>Cerveelschip</w:t>
      </w:r>
      <w:bookmarkEnd w:id="52"/>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Zum Cerveelschip zählt man auch das Craveelschip, Craveel van Oorlog</w:t>
      </w:r>
    </w:p>
    <w:p>
      <w:pPr>
        <w:pStyle w:val="para1"/>
        <w:rPr>
          <w:sz w:val="22"/>
          <w:szCs w:val="22"/>
        </w:rPr>
      </w:pPr>
      <w:bookmarkStart w:id="53" w:name="_TOC000031"/>
      <w:r>
        <w:rPr>
          <w:sz w:val="22"/>
          <w:szCs w:val="22"/>
        </w:rPr>
        <w:t>Jacht ofte Craveelschip</w:t>
      </w:r>
      <w:bookmarkEnd w:id="53"/>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54" w:name="_TOC000032"/>
      <w:r>
        <w:rPr>
          <w:sz w:val="22"/>
          <w:szCs w:val="22"/>
        </w:rPr>
        <w:t>Bootschip</w:t>
      </w:r>
      <w:bookmarkEnd w:id="54"/>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55" w:name="_TOC000033"/>
      <w:r>
        <w:rPr>
          <w:sz w:val="22"/>
          <w:szCs w:val="22"/>
        </w:rPr>
        <w:t>Hamenboot</w:t>
      </w:r>
      <w:bookmarkEnd w:id="55"/>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56" w:name="_TOC000034"/>
      <w:r>
        <w:rPr>
          <w:sz w:val="22"/>
          <w:szCs w:val="22"/>
        </w:rPr>
        <w:t>Bojer</w:t>
      </w:r>
      <w:bookmarkEnd w:id="56"/>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57" w:name="_TOC000035"/>
      <w:r>
        <w:rPr>
          <w:sz w:val="22"/>
          <w:szCs w:val="22"/>
        </w:rPr>
        <w:t>Büse</w:t>
      </w:r>
      <w:bookmarkEnd w:id="57"/>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Zur Büse zählt auch das „Buyskerveel“</w:t>
      </w:r>
    </w:p>
    <w:p>
      <w:pPr>
        <w:pStyle w:val="para1"/>
        <w:rPr>
          <w:sz w:val="22"/>
          <w:szCs w:val="22"/>
        </w:rPr>
      </w:pPr>
      <w:bookmarkStart w:id="58" w:name="_TOC000036"/>
      <w:r>
        <w:rPr>
          <w:sz w:val="22"/>
          <w:szCs w:val="22"/>
        </w:rPr>
        <w:t>Schip</w:t>
      </w:r>
      <w:bookmarkEnd w:id="58"/>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59" w:name="_TOC000037"/>
      <w:r>
        <w:rPr>
          <w:sz w:val="22"/>
          <w:szCs w:val="22"/>
        </w:rPr>
        <w:t>Binnenschip</w:t>
      </w:r>
      <w:bookmarkEnd w:id="59"/>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0" w:name="_TOC000038"/>
      <w:r>
        <w:rPr>
          <w:sz w:val="22"/>
          <w:szCs w:val="22"/>
        </w:rPr>
        <w:t>Binnen Jacht</w:t>
      </w:r>
      <w:bookmarkEnd w:id="60"/>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1" w:name="_TOC000039"/>
      <w:r>
        <w:rPr>
          <w:sz w:val="22"/>
          <w:szCs w:val="22"/>
        </w:rPr>
        <w:t>Segel Jacht</w:t>
      </w:r>
      <w:bookmarkEnd w:id="61"/>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2" w:name="_TOC000040"/>
      <w:r>
        <w:rPr>
          <w:sz w:val="22"/>
          <w:szCs w:val="22"/>
        </w:rPr>
        <w:t>Staten Jacht</w:t>
      </w:r>
      <w:bookmarkEnd w:id="62"/>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3" w:name="_TOC000041"/>
      <w:r>
        <w:rPr>
          <w:sz w:val="22"/>
          <w:szCs w:val="22"/>
        </w:rPr>
        <w:t>Speeljagt</w:t>
      </w:r>
      <w:bookmarkEnd w:id="63"/>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4" w:name="_TOC000042"/>
      <w:r>
        <w:rPr>
          <w:sz w:val="22"/>
          <w:szCs w:val="22"/>
        </w:rPr>
        <w:t>Sloup</w:t>
      </w:r>
      <w:bookmarkEnd w:id="64"/>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5" w:name="_TOC000043"/>
      <w:r>
        <w:rPr>
          <w:sz w:val="22"/>
          <w:szCs w:val="22"/>
        </w:rPr>
        <w:t>Royjacht</w:t>
      </w:r>
      <w:bookmarkEnd w:id="65"/>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6" w:name="_TOC000044"/>
      <w:r>
        <w:rPr>
          <w:sz w:val="22"/>
          <w:szCs w:val="22"/>
        </w:rPr>
        <w:t>Chaloupe</w:t>
      </w:r>
      <w:bookmarkEnd w:id="66"/>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Die Saloupe zählte auch zur Chaloupe</w:t>
      </w:r>
    </w:p>
    <w:p>
      <w:pPr>
        <w:pStyle w:val="para1"/>
        <w:rPr>
          <w:sz w:val="22"/>
          <w:szCs w:val="22"/>
        </w:rPr>
      </w:pPr>
      <w:bookmarkStart w:id="67" w:name="_TOC000045"/>
      <w:r>
        <w:rPr>
          <w:sz w:val="22"/>
          <w:szCs w:val="22"/>
        </w:rPr>
        <w:t>Galeyen</w:t>
      </w:r>
      <w:bookmarkEnd w:id="67"/>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8" w:name="_TOC000046"/>
      <w:r>
        <w:rPr>
          <w:sz w:val="22"/>
          <w:szCs w:val="22"/>
        </w:rPr>
        <w:t>Galjasse</w:t>
      </w:r>
      <w:bookmarkEnd w:id="68"/>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69" w:name="_TOC000047"/>
      <w:r>
        <w:rPr>
          <w:sz w:val="22"/>
          <w:szCs w:val="22"/>
        </w:rPr>
        <w:t>Boot ofte Spiegelschip</w:t>
      </w:r>
      <w:bookmarkEnd w:id="69"/>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70" w:name="_TOC000048"/>
      <w:r>
        <w:rPr>
          <w:sz w:val="22"/>
          <w:szCs w:val="22"/>
        </w:rPr>
        <w:t>Spiegelschip</w:t>
      </w:r>
      <w:bookmarkEnd w:id="70"/>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1"/>
        <w:rPr>
          <w:sz w:val="22"/>
          <w:szCs w:val="22"/>
        </w:rPr>
      </w:pPr>
      <w:bookmarkStart w:id="71" w:name="_TOC000049"/>
      <w:r>
        <w:rPr>
          <w:sz w:val="22"/>
          <w:szCs w:val="22"/>
        </w:rPr>
        <w:t>Schepen</w:t>
      </w:r>
      <w:bookmarkEnd w:id="71"/>
      <w:r>
        <w:rPr>
          <w:sz w:val="22"/>
          <w:szCs w:val="22"/>
        </w:rPr>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t>Bei diesem Schiff handelt es sich um ein Schiff der O.I.C., Kammer Amsterdam.</w:t>
      </w:r>
      <w:r>
        <w:br w:type="page"/>
      </w:r>
    </w:p>
    <w:p>
      <w:pPr>
        <w:pStyle w:val="para1"/>
        <w:rPr>
          <w:sz w:val="22"/>
          <w:szCs w:val="22"/>
        </w:rPr>
      </w:pPr>
      <w:bookmarkStart w:id="72" w:name="_TOC000050"/>
      <w:r>
        <w:rPr>
          <w:sz w:val="22"/>
          <w:szCs w:val="22"/>
        </w:rPr>
        <w:t>Weitere Information zu den Schiffen</w:t>
      </w:r>
      <w:bookmarkEnd w:id="72"/>
      <w:r>
        <w:rPr>
          <w:sz w:val="22"/>
          <w:szCs w:val="22"/>
        </w:rPr>
      </w:r>
    </w:p>
    <w:p>
      <w:pPr>
        <w:pStyle w:val="para2"/>
        <w:spacing w:after="100"/>
        <w:suppressAutoHyphens/>
        <w:hyphenationLines w:val="0"/>
        <w:keepNext w:val="0"/>
        <w:keepLines w:val="0"/>
      </w:pPr>
      <w:bookmarkStart w:id="73" w:name="_TOC000051"/>
      <w:r>
        <w:t>Beteiligte am Bau eines Schiffs</w:t>
      </w:r>
      <w:bookmarkEnd w:id="73"/>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74" w:name="_TOC000052"/>
      <w:r>
        <w:t>Arbeitszeiten</w:t>
      </w:r>
      <w:bookmarkEnd w:id="74"/>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75" w:name="_TOC000053"/>
      <w:r>
        <w:t>Gehaltslisten</w:t>
      </w:r>
      <w:bookmarkEnd w:id="75"/>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76" w:name="_TOC000054"/>
      <w:r>
        <w:t>Rundhölzer</w:t>
      </w:r>
      <w:bookmarkEnd w:id="76"/>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77" w:name="_TOC000055"/>
      <w:r>
        <w:t>Takelung</w:t>
      </w:r>
      <w:bookmarkEnd w:id="77"/>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78" w:name="_TOC000056"/>
      <w:r>
        <w:t>Segel</w:t>
      </w:r>
      <w:bookmarkEnd w:id="78"/>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79" w:name="_TOC000057"/>
      <w:r>
        <w:t>Flaggen</w:t>
      </w:r>
      <w:bookmarkEnd w:id="79"/>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80" w:name="_TOC000058"/>
      <w:r>
        <w:t>Blöcke</w:t>
      </w:r>
      <w:bookmarkEnd w:id="80"/>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81" w:name="_TOC000059"/>
      <w:r>
        <w:t>Tauwerk</w:t>
      </w:r>
      <w:bookmarkEnd w:id="81"/>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82" w:name="_TOC000060"/>
      <w:r>
        <w:t>Bewaffnung</w:t>
      </w:r>
      <w:bookmarkEnd w:id="82"/>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83" w:name="_TOC000061"/>
      <w:r>
        <w:t>Ramparden</w:t>
      </w:r>
      <w:bookmarkEnd w:id="83"/>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84" w:name="_TOC000062"/>
      <w:r>
        <w:t>Ausrüstung</w:t>
      </w:r>
      <w:bookmarkEnd w:id="84"/>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85" w:name="_TOC000063"/>
      <w:r>
        <w:t>Farbe im Schiffbau</w:t>
      </w:r>
      <w:bookmarkEnd w:id="85"/>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86" w:name="_TOC000064"/>
      <w:r>
        <w:t>Verzierungen</w:t>
      </w:r>
      <w:bookmarkEnd w:id="86"/>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p>
    <w:p>
      <w:pPr>
        <w:pStyle w:val="para2"/>
        <w:spacing w:after="100"/>
        <w:suppressAutoHyphens/>
        <w:hyphenationLines w:val="0"/>
        <w:keepNext w:val="0"/>
        <w:keepLines w:val="0"/>
      </w:pPr>
      <w:bookmarkStart w:id="87" w:name="_TOC000065"/>
      <w:r>
        <w:t>Monsterrolle</w:t>
      </w:r>
      <w:bookmarkEnd w:id="87"/>
      <w:r/>
      <w:r>
        <w:br w:type="page"/>
      </w:r>
    </w:p>
    <w:p>
      <w:pPr>
        <w:pStyle w:val="para13"/>
      </w:pPr>
      <w:r>
        <w:fldChar w:fldCharType="begin"/>
      </w:r>
      <w:r>
        <w:instrText xml:space="preserve"> TMBIBLIOGRAPHYTABLE </w:instrText>
      </w:r>
      <w:r>
        <w:fldChar w:fldCharType="separate"/>
      </w:r>
      <w:r>
        <w:t xml:space="preserve">[Beylen J 1985]: Beylen, J. Van, Zeilvaart lexikon: viertalig maritiem Woordenboek, 1985,  </w:t>
      </w:r>
    </w:p>
    <w:p>
      <w:pPr>
        <w:pStyle w:val="para13"/>
      </w:pPr>
      <w:r>
        <w:t>[Bruns 2004]: Bruns, Werner, Geschichte und Rekonstruktion der Eendracht von 1654, Teil 1: Die Geschichte,  in Das Logbuch, Heft 3/2004, Seite 92 ff.</w:t>
      </w:r>
    </w:p>
    <w:p>
      <w:pPr>
        <w:pStyle w:val="para13"/>
      </w:pPr>
      <w:r>
        <w:t>[Bruns 2005]: Bruns, Werner, Geschichte und Rekonstruktion der Eendracht von 1654, Teil 3: Die Rekonstruktion,  in Das Logbuch, Heft 1/2005, Seite 15 ff.</w:t>
      </w:r>
    </w:p>
    <w:p>
      <w:pPr>
        <w:pStyle w:val="para13"/>
      </w:pPr>
      <w:r>
        <w:t>[Bruns 2006]: Bruns, Werner, Geschichte und Rekonstruktion der Eendracht von 1654, Teil 3: Die Rekonstruktion des Rumpfes,  in Das Logbuch, Heft 2/2006, Seite 55 ff.</w:t>
      </w:r>
    </w:p>
    <w:p>
      <w:pPr>
        <w:pStyle w:val="para13"/>
      </w:pPr>
      <w:r>
        <w:t>[Bruns 2008]: Bruns, Werner, Sovereign of the Seas - Versuch einer Annäherung,  in Das Logbuch, Heft 4/2008, Seite 167 ff.</w:t>
      </w:r>
    </w:p>
    <w:p>
      <w:pPr>
        <w:pStyle w:val="para13"/>
      </w:pPr>
      <w:r>
        <w:t xml:space="preserve">[Cederlund 2006]: Cederlund, Carl Olof; Hocker Fred, Vasa I The Archaeology of a Schwedish Warship of 1628, 2006,  </w:t>
      </w:r>
    </w:p>
    <w:p>
      <w:pPr>
        <w:pStyle w:val="para13"/>
      </w:pPr>
      <w:r>
        <w:t xml:space="preserve">[Chapman 1768]: Chapman, Frederik Hendrik af, Architectura Navalis Mercatoria, 1768,  </w:t>
      </w:r>
    </w:p>
    <w:p>
      <w:pPr>
        <w:pStyle w:val="para13"/>
      </w:pPr>
      <w:r>
        <w:t xml:space="preserve">[Crone 1939]: Crone, G.C.E, Onze schepen in de Gouden eeuw, 1939,  </w:t>
      </w:r>
    </w:p>
    <w:p>
      <w:pPr>
        <w:pStyle w:val="para13"/>
      </w:pPr>
      <w:r>
        <w:t xml:space="preserve">[De Jong 2005]: De Jong, Michiel, 'Staat van Oorlog' Wapenbedrijf en militaire hervorming in de Republiek der Verenigde Nederlanden, 1585-1621, 2005,  </w:t>
      </w:r>
    </w:p>
    <w:p>
      <w:pPr>
        <w:pStyle w:val="para13"/>
      </w:pPr>
      <w:r>
        <w:t xml:space="preserve">[De Jonge 1833]: De Jonge, J.C., Geschiedenis van het Nederlandsche Zeewezen, 1833-1848,  </w:t>
      </w:r>
    </w:p>
    <w:p>
      <w:pPr>
        <w:pStyle w:val="para13"/>
      </w:pPr>
      <w:r>
        <w:t xml:space="preserve">[Elias 1916]: Elias, Johan E., Schetsen uit de geschiedenis van ons zeewezen, 1916-1930,  </w:t>
      </w:r>
    </w:p>
    <w:p>
      <w:pPr>
        <w:pStyle w:val="para13"/>
      </w:pPr>
      <w:r>
        <w:t xml:space="preserve">[Elias 1920]: Elias, Johan E., Het voorspel van den eersten engelschen oorlog, 1920,  </w:t>
      </w:r>
    </w:p>
    <w:p>
      <w:pPr>
        <w:pStyle w:val="para13"/>
      </w:pPr>
      <w:r>
        <w:t xml:space="preserve">[Elias 1933]: Elias, Dr. Johan E., De Vlootbouw in Nederland 1596 - 1655, 1933,  </w:t>
      </w:r>
    </w:p>
    <w:p>
      <w:pPr>
        <w:pStyle w:val="para13"/>
      </w:pPr>
      <w:r>
        <w:t xml:space="preserve">[Evenredige 1660]: Annonym, Evenredige Toerustinge van Schepen Ten Oorlog byder zee, 1660,  </w:t>
      </w:r>
    </w:p>
    <w:p>
      <w:pPr>
        <w:pStyle w:val="para13"/>
      </w:pPr>
      <w:r>
        <w:t xml:space="preserve">[Generale Staten 1597]: Anonym, Instructie van de Heeren Generale Staten der vereenigde Nederlanden; Voor de Collegien van de Admiraliteyt in de respective Provincien en Quartieren ..., 1597,  </w:t>
      </w:r>
    </w:p>
    <w:p>
      <w:pPr>
        <w:pStyle w:val="para13"/>
      </w:pPr>
      <w:r>
        <w:t xml:space="preserve">[Hagedorn 1914]: Hagedorn, Bernhard, Die Entwicklung der wichtigsten Schiffstypen bis ins 19. Jahrhundert, 1914,  </w:t>
      </w:r>
    </w:p>
    <w:p>
      <w:pPr>
        <w:pStyle w:val="para13"/>
      </w:pPr>
      <w:r>
        <w:t xml:space="preserve">[Heyning 2007]: Heyning, Katie, De Tapijten van Zeeland, 2007,  </w:t>
      </w:r>
    </w:p>
    <w:p>
      <w:pPr>
        <w:pStyle w:val="para13"/>
      </w:pPr>
      <w:r>
        <w:t xml:space="preserve">[Hoving 1994]: Hoving, Ab, Nicolaes Witsens Scheeps-Bouw-Konst Open Gestellt, 1994,  </w:t>
      </w:r>
    </w:p>
    <w:p>
      <w:pPr>
        <w:pStyle w:val="para13"/>
      </w:pPr>
      <w:r>
        <w:t xml:space="preserve">[Hoving 2001]: Hoving, Ab, Lemmers, A.A., In tekening gebracht, De achttiende-eeuwse scheepsbouwers en hun ontwerpmethoden, 2001,  </w:t>
      </w:r>
    </w:p>
    <w:p>
      <w:pPr>
        <w:pStyle w:val="para13"/>
      </w:pPr>
      <w:r>
        <w:t xml:space="preserve">[Konijnenburg 1895]: Konijnenburg, C.I., L´ Architecture Navale depuis ses Origines, 1895-1905, Band III,  </w:t>
      </w:r>
    </w:p>
    <w:p>
      <w:pPr>
        <w:pStyle w:val="para13"/>
      </w:pPr>
      <w:r>
        <w:t xml:space="preserve">[Menzel 1997]: Menzel, Horst, Smakken - Kufen - Galioten, drei fast vergessene Schiffstypen des 18. und 19. Jahrhunderts, 1997,  </w:t>
      </w:r>
    </w:p>
    <w:p>
      <w:pPr>
        <w:pStyle w:val="para13"/>
      </w:pPr>
      <w:r>
        <w:t xml:space="preserve">[Ploeg 1998]: Ploeg, J., Anno 1598 Sijn eerste teelt, Hollandse scheepsbouw in de zestiende eeuw, 1998,  </w:t>
      </w:r>
    </w:p>
    <w:p>
      <w:pPr>
        <w:pStyle w:val="para13"/>
      </w:pPr>
      <w:r>
        <w:t xml:space="preserve">[Rålamb 1691]: Rålamb, Åke Classon, Skeps Byggerij eller Adelig Öfnings Tionde Tom, 1691,  </w:t>
      </w:r>
    </w:p>
    <w:p>
      <w:pPr>
        <w:pStyle w:val="para13"/>
      </w:pPr>
      <w:r>
        <w:t xml:space="preserve">[Sigmond 2013]: Sigmond, J.P., Zeemacht in Holland en Zeeland in de zestiende eeuw, 2013,  </w:t>
      </w:r>
    </w:p>
    <w:p>
      <w:pPr>
        <w:pStyle w:val="para13"/>
      </w:pPr>
      <w:r>
        <w:t xml:space="preserve">[Sleeswyk 2003]: Sleeswyk, André Wegener, De Gouden Eeuw van het Fluitschip, 2003,  </w:t>
      </w:r>
    </w:p>
    <w:p>
      <w:pPr>
        <w:pStyle w:val="para13"/>
      </w:pPr>
      <w:r>
        <w:t>[Ulrich 2017]: Ulrich Werner, Vroege oorlodsscheepsbouw in de Republiek, 2017,  in Scheepshistorie, Heft 24, 2017, Seite 2 ff.</w:t>
      </w:r>
    </w:p>
    <w:p>
      <w:pPr>
        <w:pStyle w:val="para13"/>
      </w:pPr>
      <w:r>
        <w:t xml:space="preserve">[Ulrich 2018]: Ulrich, Werner, Frühe Konstruktionswerkzeuge, 2018; nicht veröffentlicht.,  </w:t>
      </w:r>
    </w:p>
    <w:p>
      <w:pPr>
        <w:pStyle w:val="para13"/>
      </w:pPr>
      <w:r>
        <w:t xml:space="preserve">[Ulrich 2019]: Ulrich Werner, Der portugiesische Schiffbau im 16. Jahrhundert, 2019; nicht veröffentlicht.,  </w:t>
      </w:r>
    </w:p>
    <w:p>
      <w:pPr>
        <w:pStyle w:val="para13"/>
      </w:pPr>
      <w:r>
        <w:t xml:space="preserve">[Ulrich W 2018]: Ulrich Werner, Versuch einer Annäherung an ein venezianisches Entwurfssystem aus dem 16. Jahrhundert, 2018; nicht veröffentlicht.,  </w:t>
      </w:r>
    </w:p>
    <w:p>
      <w:pPr>
        <w:pStyle w:val="para13"/>
      </w:pPr>
      <w:r>
        <w:t xml:space="preserve">[Van Dam 1701]: Van Dam, Pieter, Beschrijvinge van de Oostindische Compagnie 1639-1701,  </w:t>
      </w:r>
    </w:p>
    <w:p>
      <w:pPr>
        <w:pStyle w:val="para13"/>
      </w:pPr>
      <w:r>
        <w:t xml:space="preserve">[Van Yk 1697]: Van Yk, Cornelis, De Nederlandsche Scheeps-Bouw-Konst Open gestelt, 1697,  </w:t>
      </w:r>
    </w:p>
    <w:p>
      <w:pPr>
        <w:pStyle w:val="para13"/>
      </w:pPr>
      <w:r>
        <w:t xml:space="preserve">[Vos 2015]: Vos, Willem, De bouw van een oost indie varder, 2015,  </w:t>
      </w:r>
    </w:p>
    <w:p>
      <w:pPr>
        <w:pStyle w:val="para13"/>
      </w:pPr>
      <w:r>
        <w:t xml:space="preserve">[Witsen 1671]: Witsen, Nicolaes, Aeloude en hedendaegsche scheeps-bouw en bestier, 1671,  </w:t>
      </w:r>
    </w:p>
    <w:p>
      <w:pPr>
        <w:pStyle w:val="para13"/>
      </w:pPr>
      <w:r>
        <w:t xml:space="preserve">[Zandvliet 2000]: Zandvliet, Kees, Maurits Prins van Oranje, 2000,  </w:t>
      </w:r>
      <w:r>
        <w:br w:type="page"/>
      </w:r>
    </w:p>
    <w:p>
      <w:pPr>
        <w:pStyle w:val="para14"/>
      </w:pPr>
      <w:r>
        <w:fldChar w:fldCharType="end"/>
      </w:r>
      <w:r>
        <w:fldChar w:fldCharType="begin"/>
      </w:r>
      <w:r>
        <w:instrText xml:space="preserve"> INDEX </w:instrText>
      </w:r>
      <w:r>
        <w:fldChar w:fldCharType="separate"/>
      </w:r>
      <w:r>
        <w:t>A</w:t>
      </w:r>
    </w:p>
    <w:p>
      <w:pPr>
        <w:pStyle w:val="para15"/>
      </w:pPr>
      <w:r>
        <w:t>Aemilia, 10</w:t>
      </w:r>
    </w:p>
    <w:p>
      <w:pPr>
        <w:pStyle w:val="para15"/>
      </w:pPr>
      <w:r>
        <w:t>Ausklinkung, 12</w:t>
      </w:r>
    </w:p>
    <w:p>
      <w:pPr>
        <w:pStyle w:val="para14"/>
      </w:pPr>
      <w:r>
        <w:t>B</w:t>
      </w:r>
    </w:p>
    <w:p>
      <w:pPr>
        <w:pStyle w:val="para15"/>
      </w:pPr>
      <w:r>
        <w:t>Bauaufsicht, 13</w:t>
      </w:r>
    </w:p>
    <w:p>
      <w:pPr>
        <w:pStyle w:val="para15"/>
      </w:pPr>
      <w:r>
        <w:t>Bonaventurmast, 11</w:t>
      </w:r>
    </w:p>
    <w:p>
      <w:pPr>
        <w:pStyle w:val="para15"/>
      </w:pPr>
      <w:r>
        <w:t>Bovenet, 11</w:t>
      </w:r>
    </w:p>
    <w:p>
      <w:pPr>
        <w:pStyle w:val="para15"/>
      </w:pPr>
      <w:r>
        <w:t>Brederode, 12, 14</w:t>
      </w:r>
    </w:p>
    <w:p>
      <w:pPr>
        <w:pStyle w:val="para15"/>
      </w:pPr>
      <w:r>
        <w:t>Bugspriet, 11</w:t>
      </w:r>
    </w:p>
    <w:p>
      <w:pPr>
        <w:pStyle w:val="para14"/>
      </w:pPr>
      <w:r>
        <w:t>D</w:t>
      </w:r>
    </w:p>
    <w:p>
      <w:pPr>
        <w:pStyle w:val="para15"/>
      </w:pPr>
      <w:r>
        <w:t>De Hollandsche Tuyn, 10</w:t>
      </w:r>
    </w:p>
    <w:p>
      <w:pPr>
        <w:pStyle w:val="para14"/>
      </w:pPr>
      <w:r>
        <w:t>E</w:t>
      </w:r>
    </w:p>
    <w:p>
      <w:pPr>
        <w:pStyle w:val="para15"/>
      </w:pPr>
      <w:r>
        <w:t>Eendracht, 12</w:t>
      </w:r>
    </w:p>
    <w:p>
      <w:pPr>
        <w:pStyle w:val="para14"/>
      </w:pPr>
      <w:r>
        <w:t>G</w:t>
      </w:r>
    </w:p>
    <w:p>
      <w:pPr>
        <w:pStyle w:val="para15"/>
      </w:pPr>
      <w:r>
        <w:t>Groot Holland, 12</w:t>
      </w:r>
    </w:p>
    <w:p>
      <w:pPr>
        <w:pStyle w:val="para14"/>
      </w:pPr>
      <w:r>
        <w:t>H</w:t>
      </w:r>
    </w:p>
    <w:p>
      <w:pPr>
        <w:pStyle w:val="para15"/>
      </w:pPr>
      <w:r>
        <w:t>Hackeborde, 11</w:t>
      </w:r>
    </w:p>
    <w:p>
      <w:pPr>
        <w:pStyle w:val="para15"/>
      </w:pPr>
      <w:r>
        <w:t>Hamburger Planken, 13</w:t>
      </w:r>
    </w:p>
    <w:p>
      <w:pPr>
        <w:pStyle w:val="para14"/>
      </w:pPr>
      <w:r>
        <w:t>J</w:t>
      </w:r>
    </w:p>
    <w:p>
      <w:pPr>
        <w:pStyle w:val="para15"/>
      </w:pPr>
      <w:r>
        <w:t>Jan Salomon van der Tempel, 12</w:t>
      </w:r>
    </w:p>
    <w:p>
      <w:pPr>
        <w:pStyle w:val="para14"/>
      </w:pPr>
      <w:r>
        <w:t>K</w:t>
      </w:r>
    </w:p>
    <w:p>
      <w:pPr>
        <w:pStyle w:val="para15"/>
      </w:pPr>
      <w:r>
        <w:t>Kuhbrücke, 13</w:t>
      </w:r>
    </w:p>
    <w:p>
      <w:pPr>
        <w:pStyle w:val="para14"/>
      </w:pPr>
      <w:r>
        <w:t>O</w:t>
      </w:r>
    </w:p>
    <w:p>
      <w:pPr>
        <w:pStyle w:val="para15"/>
      </w:pPr>
      <w:r>
        <w:t>Overloops, 11</w:t>
      </w:r>
    </w:p>
    <w:p>
      <w:pPr>
        <w:pStyle w:val="para14"/>
      </w:pPr>
      <w:r>
        <w:t>S</w:t>
      </w:r>
    </w:p>
    <w:p>
      <w:pPr>
        <w:pStyle w:val="para15"/>
      </w:pPr>
      <w:r>
        <w:t>Smitsemer, 13</w:t>
      </w:r>
    </w:p>
    <w:p>
      <w:pPr>
        <w:pStyle w:val="para15"/>
      </w:pPr>
      <w:r>
        <w:t>Spantstützen, 12</w:t>
      </w:r>
    </w:p>
    <w:p>
      <w:pPr>
        <w:pStyle w:val="para15"/>
      </w:pPr>
      <w:r>
        <w:t>Steunder, 11</w:t>
      </w:r>
    </w:p>
    <w:p>
      <w:pPr>
        <w:pStyle w:val="para14"/>
      </w:pPr>
      <w:r>
        <w:t>V</w:t>
      </w:r>
    </w:p>
    <w:p>
      <w:pPr>
        <w:pStyle w:val="para15"/>
      </w:pPr>
      <w:r>
        <w:t>Vasa, 12</w:t>
      </w:r>
    </w:p>
    <w:p>
      <w:pPr>
        <w:pStyle w:val="para14"/>
      </w:pPr>
      <w:r>
        <w:t>W</w:t>
      </w:r>
    </w:p>
    <w:p>
      <w:pPr>
        <w:pStyle w:val="para15"/>
      </w:pPr>
      <w:r>
        <w:t>Wassergangs, 12</w:t>
      </w:r>
    </w:p>
    <w:p>
      <w:pPr>
        <w:pStyle w:val="para9"/>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pPr>
      <w:r>
        <w:fldChar w:fldCharType="end"/>
      </w: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Cs w:val="0"/>
          <w:lang w:val="de-de" w:bidi="de-de"/>
        </w:rPr>
      </w:pPr>
      <w:bookmarkStart w:id="88" w:name="_TOC000006"/>
      <w:r>
        <w:rPr>
          <w:bCs w:val="0"/>
          <w:lang w:val="de-de" w:bidi="de-de"/>
        </w:rPr>
        <w:t>Überschrift 2d</w:t>
      </w:r>
      <w:bookmarkEnd w:id="88"/>
      <w:r>
        <w:rPr>
          <w:bCs w:val="0"/>
          <w:lang w:val="de-de" w:bidi="de-de"/>
        </w:rPr>
      </w:r>
    </w:p>
    <w:p>
      <w:pPr>
        <w:spacing w:before="120" w:after="1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Neue" w:hAnsi="Helvetica Neue" w:eastAsia="Helvetica Neue" w:cs="Helvetica Neue"/>
          <w:sz w:val="22"/>
          <w:szCs w:val="22"/>
          <w:lang w:val="de-de" w:bidi="de-de"/>
        </w:rPr>
      </w:pPr>
      <w:r>
        <w:rPr>
          <w:rFonts w:ascii="Helvetica Neue" w:hAnsi="Helvetica Neue" w:eastAsia="Helvetica Neue" w:cs="Helvetica Neue"/>
          <w:sz w:val="22"/>
          <w:szCs w:val="22"/>
          <w:lang w:val="de-de" w:bidi="de-de"/>
        </w:rPr>
        <w:t>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bidi="de-de"/>
        </w:rPr>
      </w:pPr>
      <w:r>
        <w:rPr>
          <w:lang w:val="de-de" w:bidi="de-de"/>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Cs w:val="0"/>
          <w:lang w:val="de-de" w:bidi="de-de"/>
        </w:rPr>
      </w:pPr>
      <w:bookmarkStart w:id="89" w:name="_TOC000007"/>
      <w:r>
        <w:rPr>
          <w:bCs w:val="0"/>
          <w:lang w:val="de-de" w:bidi="de-de"/>
        </w:rPr>
        <w:t>Überschrift 2e</w:t>
      </w:r>
      <w:bookmarkEnd w:id="89"/>
      <w:r>
        <w:rPr>
          <w:bCs w:val="0"/>
          <w:lang w:val="de-de" w:bidi="de-de"/>
        </w:rPr>
      </w:r>
    </w:p>
    <w:p>
      <w:pPr>
        <w:spacing w:before="120" w:after="1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Neue" w:hAnsi="Helvetica Neue" w:eastAsia="Helvetica Neue" w:cs="Helvetica Neue"/>
          <w:sz w:val="22"/>
          <w:szCs w:val="22"/>
          <w:lang w:val="de-de" w:bidi="de-de"/>
        </w:rPr>
      </w:pPr>
      <w:r>
        <w:rPr>
          <w:rFonts w:ascii="Helvetica Neue" w:hAnsi="Helvetica Neue" w:eastAsia="Helvetica Neue" w:cs="Helvetica Neue"/>
          <w:sz w:val="22"/>
          <w:szCs w:val="22"/>
          <w:lang w:val="de-de" w:bidi="de-de"/>
        </w:rPr>
        <w:t>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bidi="de-de"/>
        </w:rPr>
      </w:pPr>
      <w:r>
        <w:rPr>
          <w:lang w:val="de-de" w:bidi="de-de"/>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pStyle w:val="para2"/>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Cs w:val="0"/>
          <w:lang w:val="de-de" w:bidi="de-de"/>
        </w:rPr>
      </w:pPr>
      <w:bookmarkStart w:id="90" w:name="_TOC000008"/>
      <w:r>
        <w:rPr>
          <w:bCs w:val="0"/>
          <w:lang w:val="de-de" w:bidi="de-de"/>
        </w:rPr>
        <w:t>Überschrift 2f</w:t>
      </w:r>
      <w:bookmarkEnd w:id="90"/>
      <w:r>
        <w:rPr>
          <w:bCs w:val="0"/>
          <w:lang w:val="de-de" w:bidi="de-de"/>
        </w:rPr>
      </w:r>
    </w:p>
    <w:p>
      <w:pPr>
        <w:spacing w:before="120" w:after="12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Helvetica Neue" w:hAnsi="Helvetica Neue" w:eastAsia="Helvetica Neue" w:cs="Helvetica Neue"/>
          <w:sz w:val="22"/>
          <w:szCs w:val="22"/>
          <w:lang w:val="de-de" w:bidi="de-de"/>
        </w:rPr>
      </w:pPr>
      <w:r>
        <w:rPr>
          <w:rFonts w:ascii="Helvetica Neue" w:hAnsi="Helvetica Neue" w:eastAsia="Helvetica Neue" w:cs="Helvetica Neue"/>
          <w:sz w:val="22"/>
          <w:szCs w:val="22"/>
          <w:lang w:val="de-de" w:bidi="de-de"/>
        </w:rPr>
        <w:t>Text</w:t>
      </w:r>
    </w:p>
    <w:p>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lang w:val="de-de" w:bidi="de-de"/>
        </w:rPr>
      </w:pPr>
      <w:r>
        <w:rPr>
          <w:lang w:val="de-de" w:bidi="de-de"/>
        </w:rPr>
      </w:r>
    </w:p>
    <w:p>
      <w:pPr>
        <w:pStyle w:val="para1"/>
      </w:pPr>
      <w:bookmarkStart w:id="91" w:name="_TOC000009"/>
      <w:r>
        <w:t>Überschrift 1B</w:t>
      </w:r>
      <w:bookmarkEnd w:id="91"/>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Text</w:t>
      </w:r>
    </w:p>
    <w:p>
      <w:pPr>
        <w:pStyle w:val="para3"/>
      </w:pPr>
      <w:bookmarkStart w:id="92" w:name="_TOC000010"/>
      <w:r>
        <w:t>Überschrift 3</w:t>
      </w:r>
      <w:bookmarkEnd w:id="92"/>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Text</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pStyle w:val="para3"/>
      </w:pPr>
      <w:bookmarkStart w:id="93" w:name="_TOC000011"/>
      <w:r>
        <w:t>Überschrift 3a</w:t>
      </w:r>
      <w:bookmarkEnd w:id="93"/>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Text</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pStyle w:val="para1"/>
      </w:pPr>
      <w:bookmarkStart w:id="94" w:name="_TOC000012"/>
      <w:r>
        <w:t>Überschrift 1C</w:t>
      </w:r>
      <w:bookmarkEnd w:id="94"/>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Text</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pStyle w:val="para1"/>
      </w:pPr>
      <w:bookmarkStart w:id="95" w:name="_TOC000013"/>
      <w:r>
        <w:t>Überschrift 1D</w:t>
      </w:r>
      <w:bookmarkEnd w:id="95"/>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t>Text</w:t>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p>
      <w:pPr>
        <w:spacing w:before="120" w:after="120"/>
        <w:rPr>
          <w:rFonts w:ascii="Helvetica Neue" w:hAnsi="Helvetica Neue" w:eastAsia="Helvetica Neue" w:cs="Helvetica Neue"/>
          <w:sz w:val="22"/>
          <w:szCs w:val="22"/>
        </w:rPr>
      </w:pPr>
      <w:r>
        <w:rPr>
          <w:rFonts w:ascii="Helvetica Neue" w:hAnsi="Helvetica Neue" w:eastAsia="Helvetica Neue" w:cs="Helvetica Neue"/>
          <w:sz w:val="22"/>
          <w:szCs w:val="22"/>
        </w:rPr>
      </w:r>
    </w:p>
    <w:sectPr>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headerReference w:type="default" r:id="rId12"/>
      <w:footerReference w:type="default" r:id="rId13"/>
      <w:chapter/>
      <w:type w:val="nextPage"/>
      <w:pgSz w:h="16839" w:w="11907"/>
      <w:pgMar w:left="1134" w:top="1134" w:right="1134" w:bottom="1134" w:header="567" w:footer="567"/>
      <w:paperSrc w:first="0" w:other="0" a="0" b="0"/>
      <w:pgNumType w:fmt="decimal"/>
      <w:tmGutter w:val="1"/>
      <w:mirrorMargins w:val="0"/>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Basic Sans">
    <w:charset w:val="00"/>
    <w:family w:val="roman"/>
    <w:pitch w:val="default"/>
  </w:font>
  <w:font w:name="Helvetica Neue">
    <w:charset w:val="00"/>
    <w:family w:val="roman"/>
    <w:pitch w:val="default"/>
  </w:font>
  <w:font w:name="Comic Sans MS">
    <w:charset w:val="00"/>
    <w:family w:val="roman"/>
    <w:pitch w:val="default"/>
  </w:font>
  <w:font w:name="Arial">
    <w:charset w:val="00"/>
    <w:family w:val="roman"/>
    <w:pitch w:val="default"/>
  </w:font>
  <w:font w:name="Times New Roman">
    <w:charset w:val="00"/>
    <w:family w:val="roman"/>
    <w:pitch w:val="default"/>
  </w:font>
  <w:font w:name="SimSu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5"/>
    </w:p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2">
    <w:p>
      <w:pPr>
        <w:pStyle w:val="para11"/>
        <w:rPr>
          <w:lang w:bidi="de-de"/>
        </w:rPr>
      </w:pPr>
      <w:r>
        <w:rPr>
          <w:rStyle w:val="char1"/>
          <w:lang w:bidi="de-de"/>
        </w:rPr>
      </w:r>
      <w:r>
        <w:rPr>
          <w:rStyle w:val="char1"/>
          <w:lang w:bidi="de-de"/>
        </w:rPr>
        <w:footnoteRef/>
      </w:r>
      <w:r>
        <w:rPr>
          <w:lang w:bidi="de-de"/>
        </w:rPr>
        <w:tab/>
        <w:t>[Zandvliet 2000]</w:t>
      </w:r>
    </w:p>
  </w:footnote>
  <w:footnote w:id="3">
    <w:p>
      <w:pPr>
        <w:pStyle w:val="para11"/>
        <w:rPr>
          <w:lang w:bidi="de-de"/>
        </w:rPr>
      </w:pPr>
      <w:r>
        <w:rPr>
          <w:rStyle w:val="char1"/>
          <w:lang w:bidi="de-de"/>
        </w:rPr>
      </w:r>
      <w:r>
        <w:rPr>
          <w:rStyle w:val="char1"/>
          <w:lang w:bidi="de-de"/>
        </w:rPr>
        <w:footnoteRef/>
      </w:r>
      <w:r>
        <w:rPr>
          <w:lang w:bidi="de-de"/>
        </w:rPr>
        <w:tab/>
        <w:t>[Zandvliet 2000], [Sigmond 2013], [De Jong 2005], [Orlers 1610]</w:t>
      </w:r>
    </w:p>
  </w:footnote>
  <w:footnote w:id="4">
    <w:p>
      <w:pPr>
        <w:pStyle w:val="para11"/>
        <w:rPr>
          <w:lang w:bidi="de-de"/>
        </w:rPr>
      </w:pPr>
      <w:r>
        <w:rPr>
          <w:rStyle w:val="char1"/>
          <w:lang w:bidi="de-de"/>
        </w:rPr>
      </w:r>
      <w:r>
        <w:rPr>
          <w:rStyle w:val="char1"/>
          <w:lang w:bidi="de-de"/>
        </w:rPr>
        <w:footnoteRef/>
      </w:r>
      <w:r>
        <w:rPr>
          <w:lang w:bidi="de-de"/>
        </w:rPr>
        <w:tab/>
        <w:t>[Sleeswyk 2003]</w:t>
      </w:r>
    </w:p>
  </w:footnote>
  <w:footnote w:id="6">
    <w:p>
      <w:pPr>
        <w:pStyle w:val="para11"/>
        <w:rPr>
          <w:lang w:bidi="de-de"/>
        </w:rPr>
      </w:pPr>
      <w:r>
        <w:rPr>
          <w:rStyle w:val="char1"/>
          <w:lang w:bidi="de-de"/>
        </w:rPr>
      </w:r>
      <w:r>
        <w:rPr>
          <w:rStyle w:val="char1"/>
          <w:lang w:bidi="de-de"/>
        </w:rPr>
        <w:footnoteRef/>
      </w:r>
      <w:r>
        <w:rPr>
          <w:lang w:bidi="de-de"/>
        </w:rPr>
        <w:tab/>
        <w:t>[Ulrich 2017]; [Ulrich W 2018]; [Ulrich 2018]; [Ulrich 2019]; [Bruns 2008], Seite 167 ff.</w:t>
      </w:r>
    </w:p>
  </w:footnote>
  <w:footnote w:id="8">
    <w:p>
      <w:pPr>
        <w:pStyle w:val="para11"/>
        <w:rPr>
          <w:lang w:bidi="de-de"/>
        </w:rPr>
      </w:pPr>
      <w:r>
        <w:rPr>
          <w:rStyle w:val="char1"/>
          <w:lang w:bidi="de-de"/>
        </w:rPr>
      </w:r>
      <w:r>
        <w:rPr>
          <w:rStyle w:val="char1"/>
          <w:lang w:bidi="de-de"/>
        </w:rPr>
        <w:footnoteRef/>
      </w:r>
      <w:r>
        <w:rPr>
          <w:lang w:bidi="de-de"/>
        </w:rPr>
        <w:tab/>
        <w:t>[Van Dam 1701], Deel 1.1, GS 63.</w:t>
      </w:r>
    </w:p>
  </w:footnote>
  <w:footnote w:id="12">
    <w:p>
      <w:pPr>
        <w:pStyle w:val="para11"/>
        <w:rPr>
          <w:lang w:bidi="de-de"/>
        </w:rPr>
      </w:pPr>
      <w:r>
        <w:rPr>
          <w:rStyle w:val="char1"/>
          <w:lang w:bidi="de-de"/>
        </w:rPr>
      </w:r>
      <w:r>
        <w:rPr>
          <w:rStyle w:val="char1"/>
          <w:lang w:bidi="de-de"/>
        </w:rPr>
        <w:footnoteRef/>
      </w:r>
      <w:r>
        <w:rPr>
          <w:lang w:bidi="de-de"/>
        </w:rPr>
        <w:tab/>
        <w:t>[Witsen 1671], [Van Yk 1697].</w:t>
      </w:r>
    </w:p>
  </w:footnote>
  <w:footnote w:id="13">
    <w:p>
      <w:pPr>
        <w:pStyle w:val="para11"/>
        <w:rPr>
          <w:lang w:bidi="de-de"/>
        </w:rPr>
      </w:pPr>
      <w:r>
        <w:rPr>
          <w:rStyle w:val="char1"/>
          <w:lang w:bidi="de-de"/>
        </w:rPr>
      </w:r>
      <w:r>
        <w:rPr>
          <w:rStyle w:val="char1"/>
          <w:lang w:bidi="de-de"/>
        </w:rPr>
        <w:footnoteRef/>
      </w:r>
      <w:r>
        <w:rPr>
          <w:lang w:bidi="de-de"/>
        </w:rPr>
        <w:tab/>
        <w:t>[Hoving 2001]</w:t>
      </w:r>
    </w:p>
  </w:footnote>
  <w:footnote w:id="14">
    <w:p>
      <w:pPr>
        <w:pStyle w:val="para11"/>
        <w:rPr>
          <w:lang w:bidi="de-de"/>
        </w:rPr>
      </w:pPr>
      <w:r>
        <w:rPr>
          <w:rStyle w:val="char1"/>
          <w:lang w:bidi="de-de"/>
        </w:rPr>
      </w:r>
      <w:r>
        <w:rPr>
          <w:rStyle w:val="char1"/>
          <w:lang w:bidi="de-de"/>
        </w:rPr>
        <w:footnoteRef/>
      </w:r>
      <w:r>
        <w:rPr>
          <w:lang w:bidi="de-de"/>
        </w:rPr>
        <w:tab/>
        <w:t>[Rålamb 1691]</w:t>
      </w:r>
    </w:p>
  </w:footnote>
  <w:footnote w:id="15">
    <w:p>
      <w:pPr>
        <w:pStyle w:val="para11"/>
        <w:rPr>
          <w:lang w:bidi="de-de"/>
        </w:rPr>
      </w:pPr>
      <w:r>
        <w:rPr>
          <w:rStyle w:val="char1"/>
          <w:lang w:bidi="de-de"/>
        </w:rPr>
      </w:r>
      <w:r>
        <w:rPr>
          <w:rStyle w:val="char1"/>
          <w:lang w:bidi="de-de"/>
        </w:rPr>
        <w:footnoteRef/>
      </w:r>
      <w:r>
        <w:rPr>
          <w:lang w:bidi="de-de"/>
        </w:rPr>
        <w:tab/>
        <w:t>[Chapman 1768]</w:t>
      </w:r>
    </w:p>
  </w:footnote>
  <w:footnote w:id="17">
    <w:p>
      <w:pPr>
        <w:pStyle w:val="para11"/>
        <w:rPr>
          <w:lang w:bidi="de-de"/>
        </w:rPr>
      </w:pPr>
      <w:r>
        <w:rPr>
          <w:rStyle w:val="char1"/>
          <w:lang w:bidi="de-de"/>
        </w:rPr>
      </w:r>
      <w:r>
        <w:rPr>
          <w:rStyle w:val="char1"/>
          <w:lang w:bidi="de-de"/>
        </w:rPr>
        <w:footnoteRef/>
      </w:r>
      <w:r>
        <w:rPr>
          <w:lang w:bidi="de-de"/>
        </w:rPr>
        <w:tab/>
        <w:t xml:space="preserve">Siehe auch das Besteck P1260116.JPG </w:t>
      </w:r>
      <w:r>
        <w:rPr>
          <w:b/>
          <w:color w:val="ff0000"/>
          <w:lang w:bidi="de-de"/>
        </w:rPr>
        <w:t>(2)</w:t>
      </w:r>
      <w:r>
        <w:rPr>
          <w:lang w:bidi="de-de"/>
        </w:rPr>
        <w:t>.</w:t>
      </w:r>
    </w:p>
  </w:footnote>
  <w:footnote w:id="18">
    <w:p>
      <w:pPr>
        <w:pStyle w:val="para11"/>
        <w:rPr>
          <w:lang w:bidi="de-de"/>
        </w:rPr>
      </w:pPr>
      <w:r>
        <w:rPr>
          <w:rStyle w:val="char1"/>
          <w:lang w:bidi="de-de"/>
        </w:rPr>
      </w:r>
      <w:r>
        <w:rPr>
          <w:rStyle w:val="char1"/>
          <w:lang w:bidi="de-de"/>
        </w:rPr>
        <w:footnoteRef/>
      </w:r>
      <w:r>
        <w:rPr>
          <w:lang w:bidi="de-de"/>
        </w:rPr>
        <w:tab/>
        <w:t xml:space="preserve">Siehe auch das Besteck P1260279.JPG </w:t>
      </w:r>
      <w:r>
        <w:rPr>
          <w:b/>
          <w:color w:val="ff0000"/>
          <w:lang w:bidi="de-de"/>
        </w:rPr>
        <w:t>(1)</w:t>
      </w:r>
      <w:r>
        <w:rPr>
          <w:lang w:bidi="de-de"/>
        </w:rPr>
        <w:t>.</w:t>
      </w:r>
    </w:p>
  </w:footnote>
  <w:footnote w:id="20">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Nationaal Archief Den Haag; Zugang 1.01.02, Inv. Nr. 12561.154.</w:t>
      </w:r>
    </w:p>
  </w:footnote>
  <w:footnote w:id="21">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«Crone 1939» </w:instrText>
        <w:fldChar w:fldCharType="separate"/>
        <w:t>[Crone 1939]</w:t>
        <w:fldChar w:fldCharType="end"/>
      </w:r>
    </w:p>
  </w:footnote>
  <w:footnote w:id="22">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«Evenredige 1660» </w:instrText>
        <w:fldChar w:fldCharType="separate"/>
        <w:t>[Evenredige 1660]</w:t>
        <w:fldChar w:fldCharType="end"/>
      </w:r>
    </w:p>
  </w:footnote>
  <w:footnote w:id="23">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«Hoving 1994» </w:instrText>
        <w:fldChar w:fldCharType="separate"/>
        <w:t>[Hoving 1994]</w:t>
        <w:fldChar w:fldCharType="end"/>
      </w:r>
      <w:r>
        <w:rPr>
          <w:lang w:val="default"/>
        </w:rPr>
        <w:t xml:space="preserve">, </w:t>
      </w:r>
      <w:r>
        <w:rPr>
          <w:lang w:val="default"/>
        </w:rPr>
        <w:fldChar w:fldCharType="begin"/>
        <w:instrText xml:space="preserve"> TMBIBLIOGRAPHY «Vos 2015» </w:instrText>
        <w:fldChar w:fldCharType="separate"/>
        <w:t>[Vos 2015]</w:t>
        <w:fldChar w:fldCharType="end"/>
      </w:r>
      <w:r>
        <w:rPr>
          <w:lang w:val="default"/>
        </w:rPr>
        <w:t xml:space="preserve">, </w:t>
      </w:r>
      <w:r>
        <w:rPr>
          <w:lang w:val="default"/>
        </w:rPr>
        <w:fldChar w:fldCharType="begin"/>
        <w:instrText xml:space="preserve"> TMBIBLIOGRAPHY «Bruns 2004» </w:instrText>
        <w:fldChar w:fldCharType="separate"/>
        <w:t>[Bruns 2004]</w:t>
        <w:fldChar w:fldCharType="end"/>
      </w:r>
      <w:r>
        <w:rPr>
          <w:lang w:val="default"/>
        </w:rPr>
        <w:t xml:space="preserve">, </w:t>
      </w:r>
      <w:r>
        <w:rPr>
          <w:lang w:val="default"/>
        </w:rPr>
        <w:fldChar w:fldCharType="begin"/>
        <w:instrText xml:space="preserve"> TMBIBLIOGRAPHY «Bruns 2005» </w:instrText>
        <w:fldChar w:fldCharType="separate"/>
        <w:t>[Bruns 2005]</w:t>
        <w:fldChar w:fldCharType="end"/>
      </w:r>
      <w:r>
        <w:rPr>
          <w:lang w:val="default"/>
        </w:rPr>
        <w:t xml:space="preserve">, </w:t>
      </w:r>
      <w:r>
        <w:rPr>
          <w:lang w:val="default"/>
        </w:rPr>
        <w:fldChar w:fldCharType="begin"/>
        <w:instrText xml:space="preserve"> TMBIBLIOGRAPHY «Bruns 2006» </w:instrText>
        <w:fldChar w:fldCharType="separate"/>
        <w:t>[Bruns 2006]</w:t>
        <w:fldChar w:fldCharType="end"/>
      </w:r>
      <w:r>
        <w:rPr>
          <w:lang w:val="default"/>
        </w:rPr>
        <w:t>.</w:t>
      </w:r>
    </w:p>
  </w:footnote>
  <w:footnote w:id="24">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 xml:space="preserve">Zeeuws Archief Middelburg, Zugang 508, Inv. Nr. 8164; </w:t>
      </w:r>
      <w:r>
        <w:rPr>
          <w:b/>
          <w:bCs/>
          <w:color w:val="ff0000"/>
          <w:lang w:val="default"/>
        </w:rPr>
        <w:t>(32)</w:t>
      </w:r>
      <w:r>
        <w:rPr>
          <w:lang w:val="default"/>
        </w:rPr>
        <w:t>.</w:t>
      </w:r>
    </w:p>
  </w:footnote>
  <w:footnote w:id="25">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Nationaal Archief Den Haag, Zugang 1.01.02, Inv. Nr. 5564. Beide Schiffe wurden nach dem vorliegenden Besteck gebaut, die Eendracht 1653/54, die Groot Holland 1654/55.</w:t>
      </w:r>
    </w:p>
  </w:footnote>
  <w:footnote w:id="26">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«Cederlund 2006» </w:instrText>
        <w:fldChar w:fldCharType="separate"/>
        <w:t>[Cederlund 2006]</w:t>
        <w:fldChar w:fldCharType="end"/>
      </w:r>
    </w:p>
  </w:footnote>
  <w:footnote w:id="27">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Nationaal Archief Den Haag, Zugang 1.01.02, Inv. Nr. 5551.</w:t>
      </w:r>
    </w:p>
  </w:footnote>
  <w:footnote w:id="31">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Resol. St. Gen. 13 en 14 Nov. 1602.</w:t>
      </w:r>
    </w:p>
  </w:footnote>
  <w:footnote w:id="34">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 xml:space="preserve">Zum Beispiel: </w:t>
      </w:r>
      <w:r>
        <w:rPr>
          <w:lang w:val="default"/>
        </w:rPr>
        <w:fldChar w:fldCharType="begin"/>
        <w:instrText xml:space="preserve"> TMBIBLIOGRAPHY «De Jonge 1833» </w:instrText>
        <w:fldChar w:fldCharType="separate"/>
        <w:t>[De Jonge 1833]</w:t>
        <w:fldChar w:fldCharType="end"/>
      </w:r>
      <w:r>
        <w:rPr>
          <w:lang w:val="default"/>
        </w:rPr>
        <w:t xml:space="preserve">, </w:t>
      </w:r>
      <w:r>
        <w:rPr>
          <w:lang w:val="default"/>
        </w:rPr>
        <w:fldChar w:fldCharType="begin"/>
        <w:instrText xml:space="preserve"> TMBIBLIOGRAPHY «De Jong 2005» </w:instrText>
        <w:fldChar w:fldCharType="separate"/>
        <w:t>[De Jong 2005]</w:t>
        <w:fldChar w:fldCharType="end"/>
      </w:r>
      <w:r>
        <w:rPr>
          <w:lang w:val="default"/>
        </w:rPr>
        <w:t xml:space="preserve">, </w:t>
      </w:r>
      <w:r>
        <w:rPr>
          <w:lang w:val="default"/>
        </w:rPr>
        <w:fldChar w:fldCharType="begin"/>
        <w:instrText xml:space="preserve"> TMBIBLIOGRAPHY «Elias 1916» </w:instrText>
        <w:fldChar w:fldCharType="separate"/>
        <w:t>[Elias 1916]</w:t>
        <w:fldChar w:fldCharType="end"/>
      </w:r>
      <w:r>
        <w:rPr>
          <w:lang w:val="default"/>
        </w:rPr>
        <w:t xml:space="preserve">, </w:t>
      </w:r>
      <w:r>
        <w:rPr>
          <w:lang w:val="default"/>
        </w:rPr>
        <w:fldChar w:fldCharType="begin"/>
        <w:instrText xml:space="preserve"> TMBIBLIOGRAPHY «Elias 1920» </w:instrText>
        <w:fldChar w:fldCharType="separate"/>
        <w:t>[Elias 1920]</w:t>
        <w:fldChar w:fldCharType="end"/>
      </w:r>
      <w:r>
        <w:rPr>
          <w:lang w:val="default"/>
        </w:rPr>
        <w:t xml:space="preserve">, </w:t>
      </w:r>
      <w:r>
        <w:rPr>
          <w:lang w:val="default"/>
        </w:rPr>
        <w:fldChar w:fldCharType="begin"/>
        <w:instrText xml:space="preserve"> TMBIBLIOGRAPHY «Elias 1933» </w:instrText>
        <w:fldChar w:fldCharType="separate"/>
        <w:t>[Elias 1933]</w:t>
        <w:fldChar w:fldCharType="end"/>
      </w:r>
      <w:r>
        <w:rPr>
          <w:lang w:val="default"/>
        </w:rPr>
        <w:t xml:space="preserve">, </w:t>
      </w:r>
      <w:r>
        <w:rPr>
          <w:lang w:val="default"/>
        </w:rPr>
        <w:fldChar w:fldCharType="begin"/>
        <w:instrText xml:space="preserve"> TMBIBLIOGRAPHY «Zandvliet 2000» </w:instrText>
        <w:fldChar w:fldCharType="separate"/>
        <w:t>[Zandvliet 2000]</w:t>
        <w:fldChar w:fldCharType="end"/>
      </w:r>
      <w:r>
        <w:rPr>
          <w:lang w:val="default"/>
        </w:rPr>
        <w:t xml:space="preserve">, </w:t>
      </w:r>
    </w:p>
  </w:footnote>
  <w:footnote w:id="35">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Resolutiën der Staten van Holland, 15.10.1584, 22.07.1585, 20.11.1587.</w:t>
      </w:r>
    </w:p>
  </w:footnote>
  <w:footnote w:id="36">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«Generale Staten 1597» </w:instrText>
        <w:fldChar w:fldCharType="separate"/>
        <w:t>[Generale Staten 1597]</w:t>
        <w:fldChar w:fldCharType="end"/>
      </w:r>
      <w:r>
        <w:rPr>
          <w:lang w:val="default"/>
        </w:rPr>
        <w:t>.</w:t>
      </w:r>
    </w:p>
  </w:footnote>
  <w:footnote w:id="37">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Resolutiën der Staten van Holland, 21/22 Dec. 1594.</w:t>
      </w:r>
    </w:p>
  </w:footnote>
  <w:footnote w:id="38">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t>Resolutiën der Staten van Holland, 19.01.1598 und folgende Jahre.</w:t>
      </w:r>
    </w:p>
  </w:footnote>
  <w:footnote w:id="39">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«Menzel 1997» </w:instrText>
        <w:fldChar w:fldCharType="separate"/>
        <w:t>[Menzel 1997]</w:t>
        <w:fldChar w:fldCharType="end"/>
      </w:r>
      <w:r>
        <w:rPr>
          <w:lang w:val="default"/>
        </w:rPr>
        <w:t>.</w:t>
      </w:r>
    </w:p>
  </w:footnote>
  <w:footnote w:id="40">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«Ploeg 1998» </w:instrText>
        <w:fldChar w:fldCharType="separate"/>
        <w:t>[Ploeg 1998]</w:t>
        <w:fldChar w:fldCharType="end"/>
      </w:r>
      <w:r>
        <w:rPr>
          <w:lang w:val="default"/>
        </w:rPr>
        <w:t>.</w:t>
      </w:r>
    </w:p>
  </w:footnote>
  <w:footnote w:id="42">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«Heyning 2007» </w:instrText>
        <w:fldChar w:fldCharType="separate"/>
        <w:t>[Heyning 2007]</w:t>
        <w:fldChar w:fldCharType="end"/>
      </w:r>
      <w:r>
        <w:rPr>
          <w:lang w:val="default"/>
        </w:rPr>
        <w:t>.</w:t>
      </w:r>
    </w:p>
  </w:footnote>
  <w:footnote w:id="43">
    <w:p>
      <w:pPr>
        <w:pStyle w:val="para11"/>
        <w:tabs defTabSz="708">
          <w:tab w:val="left" w:pos="283" w:leader="none"/>
        </w:tabs>
        <w:pBdr>
          <w:top w:val="nil" w:sz="0" w:space="3" w:color="000000" tmln="20, 20, 20, 0, 60"/>
          <w:left w:val="nil" w:sz="0" w:space="3" w:color="000000" tmln="20, 20, 20, 0, 60"/>
          <w:bottom w:val="nil" w:sz="0" w:space="3" w:color="000000" tmln="20, 20, 20, 0, 60"/>
          <w:right w:val="nil" w:sz="0" w:space="3" w:color="000000" tmln="20, 20, 20, 0, 60"/>
          <w:between w:val="nil" w:sz="0" w:space="0" w:color="000000" tmln="20, 20, 20, 0, 0"/>
        </w:pBdr>
        <w:shd w:val="none"/>
        <w:rPr>
          <w:lang w:val="default"/>
        </w:rPr>
      </w:pPr>
      <w:r>
        <w:rPr>
          <w:rStyle w:val="char1"/>
        </w:rPr>
      </w:r>
      <w:r>
        <w:rPr>
          <w:rStyle w:val="char1"/>
        </w:rPr>
        <w:footnoteRef/>
      </w:r>
      <w:r>
        <w:rPr>
          <w:lang w:val="default"/>
        </w:rPr>
        <w:tab/>
      </w:r>
      <w:r>
        <w:rPr>
          <w:lang w:val="default"/>
        </w:rPr>
        <w:fldChar w:fldCharType="begin"/>
        <w:instrText xml:space="preserve"> TMBIBLIOGRAPHY «Beylen J 1985» </w:instrText>
        <w:fldChar w:fldCharType="separate"/>
        <w:t>[Beylen J 1985]</w:t>
        <w:fldChar w:fldCharType="end"/>
      </w:r>
      <w:r>
        <w:rPr>
          <w:lang w:val="default"/>
        </w:rPr>
        <w:t>, Seite 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4"/>
    </w:pP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Outline"/>
    <w:lvl w:ilvl="0">
      <w:start w:val="1"/>
      <w:numFmt w:val="none"/>
      <w:suff w:val="tab"/>
      <w:lvlText w:val="%1"/>
      <w:lvlJc w:val="left"/>
      <w:addIndent w:val="1"/>
      <w:bPr>
        <w:type w:val="num"/>
        <w:numType w:val="6"/>
        <w:position w:dxa="0" w:dya="0"/>
      </w:bPr>
      <w:rPr>
        <w:u w:color="auto" w:val="none"/>
      </w:rPr>
    </w:lvl>
    <w:lvl w:ilvl="1">
      <w:start w:val="1"/>
      <w:numFmt w:val="none"/>
      <w:suff w:val="tab"/>
      <w:lvlText w:val="%2"/>
      <w:lvlJc w:val="left"/>
      <w:addIndent w:val="1"/>
      <w:bPr>
        <w:type w:val="num"/>
        <w:numType w:val="6"/>
        <w:position w:dxa="0" w:dya="0"/>
      </w:bPr>
      <w:rPr>
        <w:u w:color="auto" w:val="none"/>
      </w:rPr>
    </w:lvl>
    <w:lvl w:ilvl="2">
      <w:start w:val="1"/>
      <w:numFmt w:val="none"/>
      <w:suff w:val="tab"/>
      <w:lvlText w:val="%3"/>
      <w:lvlJc w:val="left"/>
      <w:addIndent w:val="1"/>
      <w:bPr>
        <w:type w:val="num"/>
        <w:numType w:val="6"/>
        <w:position w:dxa="0" w:dya="0"/>
      </w:bPr>
      <w:rPr>
        <w:u w:color="auto" w:val="none"/>
      </w:rPr>
    </w:lvl>
    <w:lvl w:ilvl="3">
      <w:start w:val="1"/>
      <w:numFmt w:val="none"/>
      <w:suff w:val="tab"/>
      <w:lvlText w:val="%4"/>
      <w:lvlJc w:val="left"/>
      <w:addIndent w:val="1"/>
      <w:bPr>
        <w:type w:val="num"/>
        <w:numType w:val="6"/>
        <w:position w:dxa="0" w:dya="0"/>
      </w:bPr>
      <w:rPr>
        <w:u w:color="auto" w:val="none"/>
      </w:rPr>
    </w:lvl>
    <w:lvl w:ilvl="4">
      <w:start w:val="1"/>
      <w:numFmt w:val="none"/>
      <w:suff w:val="tab"/>
      <w:lvlText w:val="%5"/>
      <w:lvlJc w:val="left"/>
      <w:addIndent w:val="1"/>
      <w:bPr>
        <w:type w:val="num"/>
        <w:numType w:val="6"/>
        <w:position w:dxa="0" w:dya="0"/>
      </w:bPr>
      <w:rPr>
        <w:u w:color="auto" w:val="none"/>
      </w:rPr>
    </w:lvl>
    <w:lvl w:ilvl="5">
      <w:start w:val="1"/>
      <w:numFmt w:val="none"/>
      <w:suff w:val="tab"/>
      <w:lvlText w:val="%6"/>
      <w:lvlJc w:val="left"/>
      <w:addIndent w:val="1"/>
      <w:bPr>
        <w:type w:val="num"/>
        <w:numType w:val="6"/>
        <w:position w:dxa="0" w:dya="0"/>
      </w:bPr>
      <w:rPr>
        <w:u w:color="auto" w:val="none"/>
      </w:rPr>
    </w:lvl>
    <w:lvl w:ilvl="6">
      <w:start w:val="1"/>
      <w:numFmt w:val="none"/>
      <w:suff w:val="tab"/>
      <w:lvlText w:val="%7"/>
      <w:lvlJc w:val="left"/>
      <w:addIndent w:val="1"/>
      <w:bPr>
        <w:type w:val="num"/>
        <w:numType w:val="6"/>
        <w:position w:dxa="0" w:dya="0"/>
      </w:bPr>
      <w:rPr>
        <w:u w:color="auto" w:val="none"/>
      </w:rPr>
    </w:lvl>
    <w:lvl w:ilvl="7">
      <w:start w:val="1"/>
      <w:numFmt w:val="none"/>
      <w:suff w:val="tab"/>
      <w:lvlText w:val="%8"/>
      <w:lvlJc w:val="left"/>
      <w:addIndent w:val="1"/>
      <w:bPr>
        <w:type w:val="num"/>
        <w:numType w:val="6"/>
        <w:position w:dxa="0" w:dya="0"/>
      </w:bPr>
      <w:rPr>
        <w:u w:color="auto" w:val="none"/>
      </w:rPr>
    </w:lvl>
    <w:lvl w:ilvl="8">
      <w:start w:val="1"/>
      <w:numFmt w:val="none"/>
      <w:suff w:val="tab"/>
      <w:lvlText w:val="%9"/>
      <w:lvlJc w:val="left"/>
      <w:addIndent w:val="1"/>
      <w:bPr>
        <w:type w:val="num"/>
        <w:numType w:val="6"/>
        <w:position w:dxa="0" w:dya="0"/>
      </w:bPr>
      <w:rPr>
        <w:u w:color="auto"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94047366" w:val="1017" w:fileVer="342" w:fileVer64="64" w:fileVerOS="1"/>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0" w:top="72" w:bottom="72">
      <w:tmFnLine w:val="single" w:sz="5" w:space="0" w:color="000000" tmln="12, 20, 20, 0, 0"/>
    </w:tmFnProps>
  </w:footnotePr>
  <w:endnotePr>
    <w:pos w:val="docEnd"/>
    <w:numFmt w:val="lowerRoman"/>
    <w:numStart w:val="1"/>
    <w:numRestart w:val="continuous"/>
    <w:tmFnProps w:left="0" w:right="0" w:top="72" w:bottom="72">
      <w:tmFnLine w:val="single" w:sz="5" w:space="0" w:color="000000" tmln="12, 20, 20, 0, 0"/>
    </w:tmFnProps>
  </w:endnotePr>
  <w:compat/>
  <w:compatSetting w:name="compatibilityMode" w:uri="http://schemas.microsoft.com/office/word" w:val="15"/>
  <w:shapeDefaults>
    <o:shapedefaults v:ext="edit" spidmax="5121"/>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8"/>
      <w:tmLastPosIdx w:val="0"/>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asic Roman" w:hAnsi="Basic Roman" w:eastAsia="Basic Roman" w:cs="Basic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jc w:val="center"/>
      <w:keepNext/>
      <w:outlineLvl w:val="0"/>
      <w:keepLines/>
    </w:pPr>
    <w:rPr>
      <w:rFonts w:ascii="Comic Sans MS" w:hAnsi="Comic Sans MS" w:eastAsia="Comic Sans MS" w:cs="Comic Sans MS"/>
      <w:b/>
      <w:bCs/>
      <w:sz w:val="24"/>
      <w:szCs w:val="24"/>
    </w:rPr>
    <w:key w:val="3121"/>
  </w:style>
  <w:style w:type="paragraph" w:styleId="para2">
    <w:name w:val="heading 2"/>
    <w:qFormat/>
    <w:basedOn w:val="para1"/>
    <w:next w:val="para0"/>
    <w:pPr>
      <w:outlineLvl w:val="1"/>
    </w:pPr>
    <w:rPr>
      <w:sz w:val="20"/>
      <w:szCs w:val="20"/>
    </w:rPr>
    <w:key w:val="3122"/>
  </w:style>
  <w:style w:type="paragraph" w:styleId="para3">
    <w:name w:val="heading 3"/>
    <w:qFormat/>
    <w:basedOn w:val="para2"/>
    <w:next w:val="para0"/>
    <w:pPr>
      <w:outlineLvl w:val="2"/>
    </w:pPr>
    <w:rPr>
      <w:sz w:val="18"/>
      <w:szCs w:val="18"/>
    </w:rPr>
    <w:key w:val="3123"/>
  </w:style>
  <w:style w:type="paragraph" w:styleId="para4">
    <w:name w:val="Header"/>
    <w:qFormat/>
    <w:basedOn w:val="para0"/>
    <w:pPr>
      <w:tabs defTabSz="708">
        <w:tab w:val="center" w:pos="4819" w:leader="none"/>
        <w:tab w:val="right" w:pos="9639" w:leader="none"/>
      </w:tabs>
    </w:pPr>
  </w:style>
  <w:style w:type="paragraph" w:styleId="para5">
    <w:name w:val="Footer"/>
    <w:qFormat/>
    <w:basedOn w:val="para0"/>
    <w:pPr>
      <w:tabs defTabSz="708">
        <w:tab w:val="center" w:pos="4819" w:leader="none"/>
        <w:tab w:val="right" w:pos="9639" w:leader="none"/>
      </w:tabs>
    </w:pPr>
  </w:style>
  <w:style w:type="paragraph" w:styleId="para6">
    <w:name w:val="toc 1"/>
    <w:qFormat/>
    <w:basedOn w:val="para0"/>
    <w:next w:val="para0"/>
  </w:style>
  <w:style w:type="paragraph" w:styleId="para7">
    <w:name w:val="toc 2"/>
    <w:qFormat/>
    <w:basedOn w:val="para0"/>
    <w:next w:val="para0"/>
    <w:pPr>
      <w:ind w:left="283"/>
    </w:pPr>
  </w:style>
  <w:style w:type="paragraph" w:styleId="para8">
    <w:name w:val="toc 3"/>
    <w:qFormat/>
    <w:basedOn w:val="para0"/>
    <w:next w:val="para0"/>
    <w:pPr>
      <w:ind w:left="566"/>
    </w:pPr>
  </w:style>
  <w:style w:type="paragraph" w:styleId="para9" w:customStyle="1">
    <w:name w:val="Schiffbau"/>
    <w:qFormat/>
    <w:basedOn w:val="para10"/>
    <w:pPr>
      <w:spacing w:after="40"/>
      <w:jc w:val="both"/>
      <w:suppressAutoHyphens/>
      <w:hyphenationLines w:val="0"/>
      <w:keepNext/>
    </w:pPr>
  </w:style>
  <w:style w:type="paragraph" w:styleId="para10" w:customStyle="1">
    <w:name w:val="Besteck-Text"/>
    <w:qFormat/>
    <w:basedOn w:val="para0"/>
    <w:pPr>
      <w:ind w:firstLine="283"/>
      <w:spacing w:after="8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omic Sans MS" w:hAnsi="Comic Sans MS" w:eastAsia="Comic Sans MS" w:cs="Comic Sans MS"/>
      <w:lang w:val="de-de"/>
    </w:rPr>
  </w:style>
  <w:style w:type="paragraph" w:styleId="para11">
    <w:name w:val="Footnote Text"/>
    <w:qFormat/>
    <w:basedOn w:val="para0"/>
    <w:pPr>
      <w:ind w:left="283" w:hanging="283"/>
      <w:spacing w:before="20" w:after="20"/>
      <w:tabs defTabSz="720">
        <w:tab w:val="left" w:pos="28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omic Sans MS" w:hAnsi="Comic Sans MS" w:eastAsia="Comic Sans MS" w:cs="Comic Sans MS"/>
      <w:sz w:val="18"/>
      <w:szCs w:val="18"/>
      <w:lang w:val="de-de"/>
    </w:rPr>
  </w:style>
  <w:style w:type="paragraph" w:styleId="para12">
    <w:name w:val="caption"/>
    <w:qFormat/>
    <w:basedOn w:val="para0"/>
    <w:next w:val="para0"/>
    <w:pPr>
      <w:spacing w:before="40"/>
    </w:pPr>
    <w:rPr>
      <w:rFonts w:ascii="Comic Sans MS" w:hAnsi="Comic Sans MS" w:eastAsia="Comic Sans MS" w:cs="Comic Sans MS"/>
      <w:i/>
      <w:iCs/>
      <w:sz w:val="18"/>
      <w:szCs w:val="18"/>
    </w:rPr>
  </w:style>
  <w:style w:type="paragraph" w:styleId="para13">
    <w:name w:val="Table of Authorities"/>
    <w:qFormat/>
    <w:basedOn w:val="para0"/>
    <w:next w:val="para0"/>
    <w:pPr>
      <w:ind w:left="567" w:hanging="567"/>
    </w:pPr>
    <w:rPr>
      <w:rFonts w:ascii="Comic Sans MS" w:hAnsi="Comic Sans MS" w:eastAsia="Comic Sans MS" w:cs="Comic Sans MS"/>
      <w:sz w:val="18"/>
      <w:szCs w:val="18"/>
    </w:rPr>
  </w:style>
  <w:style w:type="paragraph" w:styleId="para14">
    <w:name w:val="Index Heading"/>
    <w:qFormat/>
    <w:basedOn w:val="para0"/>
    <w:next w:val="para0"/>
    <w:pPr>
      <w:spacing w:before="80"/>
      <w:keepNext/>
      <w:keepLines/>
    </w:pPr>
    <w:rPr>
      <w:rFonts w:ascii="Comic Sans MS" w:hAnsi="Comic Sans MS" w:eastAsia="Comic Sans MS" w:cs="Comic Sans MS"/>
      <w:b/>
      <w:bCs/>
    </w:rPr>
  </w:style>
  <w:style w:type="paragraph" w:styleId="para15">
    <w:name w:val="index 1"/>
    <w:qFormat/>
    <w:basedOn w:val="para0"/>
    <w:pPr>
      <w:ind w:left="567" w:hanging="567"/>
      <w:keepLines/>
    </w:pPr>
    <w:rPr>
      <w:rFonts w:ascii="Comic Sans MS" w:hAnsi="Comic Sans MS" w:eastAsia="Comic Sans MS" w:cs="Comic Sans MS"/>
      <w:sz w:val="18"/>
      <w:szCs w:val="18"/>
    </w:rPr>
  </w:style>
  <w:style w:type="character" w:styleId="char0" w:default="1">
    <w:name w:val="Default Paragraph Font"/>
  </w:style>
  <w:style w:type="character" w:styleId="char1">
    <w:name w:val="Footnote Reference"/>
    <w:basedOn w:val="char0"/>
    <w:rPr>
      <w:rFonts w:ascii="Times New Roman" w:hAnsi="Times New Roman" w:eastAsia="SimSun" w:cs="Times New Roman"/>
      <w:b w:val="0"/>
      <w:i w:val="0"/>
      <w:caps w:val="0"/>
      <w:smallCaps w:val="0"/>
      <w:strike w:val="0"/>
      <w:dstrike w:val="0"/>
      <w:vanish w:val="0"/>
      <w:color w:val="auto"/>
      <w:spacing w:val="0" spc="50"/>
      <w:w w:val="100"/>
      <w:kern w:val="1" kern="1"/>
      <w:sz w:val="20"/>
      <w:szCs w:val="20"/>
      <w:u w:color="auto" w:val="none"/>
      <w:shd w:val="clear" w:fill="auto"/>
      <w:vertAlign w:val="superscript" ssSize="66" ssDist="15"/>
      <w:lang w:val="de-d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Basic Roman" w:hAnsi="Basic Roman" w:eastAsia="Basic Roman" w:cs="Basic Roman"/>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3120"/>
  </w:style>
  <w:style w:type="paragraph" w:styleId="para1">
    <w:name w:val="heading 1"/>
    <w:qFormat/>
    <w:basedOn w:val="para0"/>
    <w:next w:val="para0"/>
    <w:pPr>
      <w:spacing w:before="240" w:after="60"/>
      <w:jc w:val="center"/>
      <w:keepNext/>
      <w:outlineLvl w:val="0"/>
      <w:keepLines/>
    </w:pPr>
    <w:rPr>
      <w:rFonts w:ascii="Comic Sans MS" w:hAnsi="Comic Sans MS" w:eastAsia="Comic Sans MS" w:cs="Comic Sans MS"/>
      <w:b/>
      <w:bCs/>
      <w:sz w:val="24"/>
      <w:szCs w:val="24"/>
    </w:rPr>
    <w:key w:val="3121"/>
  </w:style>
  <w:style w:type="paragraph" w:styleId="para2">
    <w:name w:val="heading 2"/>
    <w:qFormat/>
    <w:basedOn w:val="para1"/>
    <w:next w:val="para0"/>
    <w:pPr>
      <w:outlineLvl w:val="1"/>
    </w:pPr>
    <w:rPr>
      <w:sz w:val="20"/>
      <w:szCs w:val="20"/>
    </w:rPr>
    <w:key w:val="3122"/>
  </w:style>
  <w:style w:type="paragraph" w:styleId="para3">
    <w:name w:val="heading 3"/>
    <w:qFormat/>
    <w:basedOn w:val="para2"/>
    <w:next w:val="para0"/>
    <w:pPr>
      <w:outlineLvl w:val="2"/>
    </w:pPr>
    <w:rPr>
      <w:sz w:val="18"/>
      <w:szCs w:val="18"/>
    </w:rPr>
    <w:key w:val="3123"/>
  </w:style>
  <w:style w:type="paragraph" w:styleId="para4">
    <w:name w:val="Header"/>
    <w:qFormat/>
    <w:basedOn w:val="para0"/>
    <w:pPr>
      <w:tabs defTabSz="708">
        <w:tab w:val="center" w:pos="4819" w:leader="none"/>
        <w:tab w:val="right" w:pos="9639" w:leader="none"/>
      </w:tabs>
    </w:pPr>
  </w:style>
  <w:style w:type="paragraph" w:styleId="para5">
    <w:name w:val="Footer"/>
    <w:qFormat/>
    <w:basedOn w:val="para0"/>
    <w:pPr>
      <w:tabs defTabSz="708">
        <w:tab w:val="center" w:pos="4819" w:leader="none"/>
        <w:tab w:val="right" w:pos="9639" w:leader="none"/>
      </w:tabs>
    </w:pPr>
  </w:style>
  <w:style w:type="paragraph" w:styleId="para6">
    <w:name w:val="toc 1"/>
    <w:qFormat/>
    <w:basedOn w:val="para0"/>
    <w:next w:val="para0"/>
  </w:style>
  <w:style w:type="paragraph" w:styleId="para7">
    <w:name w:val="toc 2"/>
    <w:qFormat/>
    <w:basedOn w:val="para0"/>
    <w:next w:val="para0"/>
    <w:pPr>
      <w:ind w:left="283"/>
    </w:pPr>
  </w:style>
  <w:style w:type="paragraph" w:styleId="para8">
    <w:name w:val="toc 3"/>
    <w:qFormat/>
    <w:basedOn w:val="para0"/>
    <w:next w:val="para0"/>
    <w:pPr>
      <w:ind w:left="566"/>
    </w:pPr>
  </w:style>
  <w:style w:type="paragraph" w:styleId="para9" w:customStyle="1">
    <w:name w:val="Schiffbau"/>
    <w:qFormat/>
    <w:basedOn w:val="para10"/>
    <w:pPr>
      <w:spacing w:after="40"/>
      <w:jc w:val="both"/>
      <w:suppressAutoHyphens/>
      <w:hyphenationLines w:val="0"/>
      <w:keepNext/>
    </w:pPr>
  </w:style>
  <w:style w:type="paragraph" w:styleId="para10" w:customStyle="1">
    <w:name w:val="Besteck-Text"/>
    <w:qFormat/>
    <w:basedOn w:val="para0"/>
    <w:pPr>
      <w:ind w:firstLine="283"/>
      <w:spacing w:after="8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omic Sans MS" w:hAnsi="Comic Sans MS" w:eastAsia="Comic Sans MS" w:cs="Comic Sans MS"/>
      <w:lang w:val="de-de"/>
    </w:rPr>
  </w:style>
  <w:style w:type="paragraph" w:styleId="para11">
    <w:name w:val="Footnote Text"/>
    <w:qFormat/>
    <w:basedOn w:val="para0"/>
    <w:pPr>
      <w:ind w:left="283" w:hanging="283"/>
      <w:spacing w:before="20" w:after="20"/>
      <w:tabs defTabSz="720">
        <w:tab w:val="left" w:pos="283" w:leader="none"/>
      </w:tabs>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omic Sans MS" w:hAnsi="Comic Sans MS" w:eastAsia="Comic Sans MS" w:cs="Comic Sans MS"/>
      <w:sz w:val="18"/>
      <w:szCs w:val="18"/>
      <w:lang w:val="de-de"/>
    </w:rPr>
  </w:style>
  <w:style w:type="paragraph" w:styleId="para12">
    <w:name w:val="caption"/>
    <w:qFormat/>
    <w:basedOn w:val="para0"/>
    <w:next w:val="para0"/>
    <w:pPr>
      <w:spacing w:before="40"/>
    </w:pPr>
    <w:rPr>
      <w:rFonts w:ascii="Comic Sans MS" w:hAnsi="Comic Sans MS" w:eastAsia="Comic Sans MS" w:cs="Comic Sans MS"/>
      <w:i/>
      <w:iCs/>
      <w:sz w:val="18"/>
      <w:szCs w:val="18"/>
    </w:rPr>
  </w:style>
  <w:style w:type="paragraph" w:styleId="para13">
    <w:name w:val="Table of Authorities"/>
    <w:qFormat/>
    <w:basedOn w:val="para0"/>
    <w:next w:val="para0"/>
    <w:pPr>
      <w:ind w:left="567" w:hanging="567"/>
    </w:pPr>
    <w:rPr>
      <w:rFonts w:ascii="Comic Sans MS" w:hAnsi="Comic Sans MS" w:eastAsia="Comic Sans MS" w:cs="Comic Sans MS"/>
      <w:sz w:val="18"/>
      <w:szCs w:val="18"/>
    </w:rPr>
  </w:style>
  <w:style w:type="paragraph" w:styleId="para14">
    <w:name w:val="Index Heading"/>
    <w:qFormat/>
    <w:basedOn w:val="para0"/>
    <w:next w:val="para0"/>
    <w:pPr>
      <w:spacing w:before="80"/>
      <w:keepNext/>
      <w:keepLines/>
    </w:pPr>
    <w:rPr>
      <w:rFonts w:ascii="Comic Sans MS" w:hAnsi="Comic Sans MS" w:eastAsia="Comic Sans MS" w:cs="Comic Sans MS"/>
      <w:b/>
      <w:bCs/>
    </w:rPr>
  </w:style>
  <w:style w:type="paragraph" w:styleId="para15">
    <w:name w:val="index 1"/>
    <w:qFormat/>
    <w:basedOn w:val="para0"/>
    <w:pPr>
      <w:ind w:left="567" w:hanging="567"/>
      <w:keepLines/>
    </w:pPr>
    <w:rPr>
      <w:rFonts w:ascii="Comic Sans MS" w:hAnsi="Comic Sans MS" w:eastAsia="Comic Sans MS" w:cs="Comic Sans MS"/>
      <w:sz w:val="18"/>
      <w:szCs w:val="18"/>
    </w:rPr>
  </w:style>
  <w:style w:type="character" w:styleId="char0" w:default="1">
    <w:name w:val="Default Paragraph Font"/>
  </w:style>
  <w:style w:type="character" w:styleId="char1">
    <w:name w:val="Footnote Reference"/>
    <w:basedOn w:val="char0"/>
    <w:rPr>
      <w:rFonts w:ascii="Times New Roman" w:hAnsi="Times New Roman" w:eastAsia="SimSun" w:cs="Times New Roman"/>
      <w:b w:val="0"/>
      <w:i w:val="0"/>
      <w:caps w:val="0"/>
      <w:smallCaps w:val="0"/>
      <w:strike w:val="0"/>
      <w:dstrike w:val="0"/>
      <w:vanish w:val="0"/>
      <w:color w:val="auto"/>
      <w:spacing w:val="0" spc="50"/>
      <w:w w:val="100"/>
      <w:kern w:val="1" kern="1"/>
      <w:sz w:val="20"/>
      <w:szCs w:val="20"/>
      <w:u w:color="auto" w:val="none"/>
      <w:shd w:val="clear" w:fill="auto"/>
      <w:vertAlign w:val="superscript" ssSize="66" ssDist="15"/>
      <w:lang w:val="de-d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notes" Target="footnotes.xml"/><Relationship Id="rId11" Type="http://schemas.openxmlformats.org/officeDocument/2006/relationships/image" Target="media/image1.jpeg"/><Relationship Id="rId12" Type="http://schemas.openxmlformats.org/officeDocument/2006/relationships/header" Target="header2.xml"/><Relationship Id="rId13"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Basic Roman"/>
        <a:ea typeface="Basic Roman"/>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rev.1017</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Gerd Schmitt</cp:lastModifiedBy>
  <cp:revision>1</cp:revision>
  <dcterms:created xsi:type="dcterms:W3CDTF">2020-07-06T14:34:54Z</dcterms:created>
  <dcterms:modified xsi:type="dcterms:W3CDTF">2020-07-06T14:56:06Z</dcterms:modified>
</cp:coreProperties>
</file>