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796C" w:rsidRDefault="00A74092">
      <w:pPr>
        <w:pStyle w:val="Tex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: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 starke Wunsch oder Zwang psychotrope Substanzen zu konsumieren (</w:t>
      </w:r>
      <w:r>
        <w:rPr>
          <w:rFonts w:ascii="Arial" w:hAnsi="Arial"/>
        </w:rPr>
        <w:t>„</w:t>
      </w:r>
      <w:r>
        <w:rPr>
          <w:rFonts w:ascii="Arial" w:hAnsi="Arial"/>
        </w:rPr>
        <w:t>Craving</w:t>
      </w:r>
      <w:r>
        <w:rPr>
          <w:rFonts w:ascii="Arial" w:hAnsi="Arial"/>
        </w:rPr>
        <w:t>“</w:t>
      </w:r>
      <w:r>
        <w:rPr>
          <w:rFonts w:ascii="Arial" w:hAnsi="Arial"/>
        </w:rPr>
        <w:t>; Psychische Abh</w:t>
      </w:r>
      <w:r>
        <w:rPr>
          <w:rFonts w:ascii="Arial" w:hAnsi="Arial"/>
        </w:rPr>
        <w:t>ä</w:t>
      </w:r>
      <w:r>
        <w:rPr>
          <w:rFonts w:ascii="Arial" w:hAnsi="Arial"/>
        </w:rPr>
        <w:t>ngigkeit)</w:t>
      </w:r>
    </w:p>
    <w:p w:rsidR="0048796C" w:rsidRDefault="00A74092">
      <w:pPr>
        <w:pStyle w:val="Text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Kontrollverlust bez</w:t>
      </w:r>
      <w:r>
        <w:rPr>
          <w:rFonts w:ascii="Arial" w:hAnsi="Arial"/>
        </w:rPr>
        <w:t>ü</w:t>
      </w:r>
      <w:r>
        <w:rPr>
          <w:rFonts w:ascii="Arial" w:hAnsi="Arial"/>
        </w:rPr>
        <w:t>glich Beginn, Dauer und Menge des Konsums</w:t>
      </w:r>
    </w:p>
    <w:p w:rsidR="0048796C" w:rsidRDefault="00A74092">
      <w:pPr>
        <w:pStyle w:val="Text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</w:t>
      </w:r>
      <w:r>
        <w:rPr>
          <w:rFonts w:ascii="Arial" w:hAnsi="Arial"/>
        </w:rPr>
        <w:t>ö</w:t>
      </w:r>
      <w:r>
        <w:rPr>
          <w:rFonts w:ascii="Arial" w:hAnsi="Arial"/>
        </w:rPr>
        <w:t>rperliche Entzugssymptome bei Be</w:t>
      </w:r>
      <w:r>
        <w:rPr>
          <w:rFonts w:ascii="Arial" w:hAnsi="Arial"/>
        </w:rPr>
        <w:t>endigung oder Reduktion des Konsums</w:t>
      </w:r>
    </w:p>
    <w:p w:rsidR="0048796C" w:rsidRDefault="00A74092">
      <w:pPr>
        <w:pStyle w:val="Text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Dosissteigerung aufgrund Toleranzentwicklung gegen</w:t>
      </w:r>
      <w:r>
        <w:rPr>
          <w:rFonts w:ascii="Arial" w:hAnsi="Arial"/>
        </w:rPr>
        <w:t>ü</w:t>
      </w:r>
      <w:r>
        <w:rPr>
          <w:rFonts w:ascii="Arial" w:hAnsi="Arial"/>
        </w:rPr>
        <w:t>ber der Substanz</w:t>
      </w:r>
    </w:p>
    <w:p w:rsidR="0048796C" w:rsidRDefault="00A74092">
      <w:pPr>
        <w:pStyle w:val="Text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zunehmende Vernachl</w:t>
      </w:r>
      <w:r>
        <w:rPr>
          <w:rFonts w:ascii="Arial" w:hAnsi="Arial"/>
        </w:rPr>
        <w:t>ä</w:t>
      </w:r>
      <w:r>
        <w:rPr>
          <w:rFonts w:ascii="Arial" w:hAnsi="Arial"/>
        </w:rPr>
        <w:t>ssigung des Soziallebens zugunsten des Substanzkonsums, der Substanzbeschaffung und der Erholungsphasen nach dem Konsum</w:t>
      </w:r>
    </w:p>
    <w:p w:rsidR="0048796C" w:rsidRDefault="00A74092">
      <w:pPr>
        <w:pStyle w:val="Text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anhaltender </w:t>
      </w:r>
      <w:r>
        <w:rPr>
          <w:rFonts w:ascii="Arial" w:hAnsi="Arial"/>
        </w:rPr>
        <w:t>Substanzkonsum trotz Nachweis eindeutiger sch</w:t>
      </w:r>
      <w:r>
        <w:rPr>
          <w:rFonts w:ascii="Arial" w:hAnsi="Arial"/>
        </w:rPr>
        <w:t>ä</w:t>
      </w:r>
      <w:r>
        <w:rPr>
          <w:rFonts w:ascii="Arial" w:hAnsi="Arial"/>
        </w:rPr>
        <w:t>dlicher F</w:t>
      </w:r>
      <w:r w:rsidR="00EA37A5">
        <w:rPr>
          <w:rFonts w:ascii="Arial" w:hAnsi="Arial"/>
        </w:rPr>
        <w:t>olgen</w:t>
      </w:r>
      <w:bookmarkStart w:id="0" w:name="_GoBack"/>
      <w:bookmarkEnd w:id="0"/>
      <w:r>
        <w:rPr>
          <w:rFonts w:ascii="Arial" w:hAnsi="Arial"/>
        </w:rPr>
        <w:t>.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EA37A5" w:rsidRDefault="00A74092" w:rsidP="00EA37A5">
      <w:pPr>
        <w:pStyle w:val="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Von</w:t>
      </w:r>
    </w:p>
    <w:p w:rsidR="0048796C" w:rsidRDefault="00A74092">
      <w:pPr>
        <w:pStyle w:val="Tex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: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1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Der Spiegeltrinker </w:t>
      </w:r>
      <w:r>
        <w:rPr>
          <w:rFonts w:ascii="Arial" w:hAnsi="Arial"/>
        </w:rPr>
        <w:t xml:space="preserve">trinkt </w:t>
      </w:r>
      <w:r>
        <w:rPr>
          <w:rFonts w:ascii="Arial" w:hAnsi="Arial"/>
        </w:rPr>
        <w:t>ü</w:t>
      </w:r>
      <w:r>
        <w:rPr>
          <w:rFonts w:ascii="Arial" w:hAnsi="Arial"/>
        </w:rPr>
        <w:t>ber den Tag verteilt regelm</w:t>
      </w:r>
      <w:r>
        <w:rPr>
          <w:rFonts w:ascii="Arial" w:hAnsi="Arial"/>
        </w:rPr>
        <w:t>äß</w:t>
      </w:r>
      <w:r>
        <w:rPr>
          <w:rFonts w:ascii="Arial" w:hAnsi="Arial"/>
        </w:rPr>
        <w:t>ig Alkohol um die Blutalkoholkonzentration aufrechtzuerhalten, da ansonsten Entzugssymptome auftreten. Betroffene bleiben oft lange Zeit unauff</w:t>
      </w:r>
      <w:r>
        <w:rPr>
          <w:rFonts w:ascii="Arial" w:hAnsi="Arial"/>
        </w:rPr>
        <w:t>ä</w:t>
      </w:r>
      <w:r>
        <w:rPr>
          <w:rFonts w:ascii="Arial" w:hAnsi="Arial"/>
        </w:rPr>
        <w:t>llig, da auff</w:t>
      </w:r>
      <w:r>
        <w:rPr>
          <w:rFonts w:ascii="Arial" w:hAnsi="Arial"/>
        </w:rPr>
        <w:t>ä</w:t>
      </w:r>
      <w:r>
        <w:rPr>
          <w:rFonts w:ascii="Arial" w:hAnsi="Arial"/>
        </w:rPr>
        <w:t>llige Rauschzust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nde wegen der </w:t>
      </w:r>
      <w:r>
        <w:rPr>
          <w:rFonts w:ascii="Arial" w:hAnsi="Arial"/>
        </w:rPr>
        <w:t>kontrollierten Menge Alkohol eher selten sind.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1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Der Rauschtrinker</w:t>
      </w:r>
      <w:r>
        <w:rPr>
          <w:rFonts w:ascii="Arial" w:hAnsi="Arial"/>
        </w:rPr>
        <w:t xml:space="preserve"> schafft es trotz aller Versuche und Vors</w:t>
      </w:r>
      <w:r>
        <w:rPr>
          <w:rFonts w:ascii="Arial" w:hAnsi="Arial"/>
        </w:rPr>
        <w:t>ä</w:t>
      </w:r>
      <w:r>
        <w:rPr>
          <w:rFonts w:ascii="Arial" w:hAnsi="Arial"/>
        </w:rPr>
        <w:t>tze nicht kleinere Mengen Alkohol zu sich zu nehmen. H</w:t>
      </w:r>
      <w:r>
        <w:rPr>
          <w:rFonts w:ascii="Arial" w:hAnsi="Arial"/>
        </w:rPr>
        <w:t>ä</w:t>
      </w:r>
      <w:r>
        <w:rPr>
          <w:rFonts w:ascii="Arial" w:hAnsi="Arial"/>
        </w:rPr>
        <w:t>ufig endet das Trinken im Vollrausch und Kontrollverlust. Die Folge sind teilweise aggressives</w:t>
      </w:r>
      <w:r>
        <w:rPr>
          <w:rFonts w:ascii="Arial" w:hAnsi="Arial"/>
        </w:rPr>
        <w:t xml:space="preserve"> Verhalten und massive Ersch</w:t>
      </w:r>
      <w:r>
        <w:rPr>
          <w:rFonts w:ascii="Arial" w:hAnsi="Arial"/>
        </w:rPr>
        <w:t>ö</w:t>
      </w:r>
      <w:r>
        <w:rPr>
          <w:rFonts w:ascii="Arial" w:hAnsi="Arial"/>
        </w:rPr>
        <w:t>pfungszust</w:t>
      </w:r>
      <w:r>
        <w:rPr>
          <w:rFonts w:ascii="Arial" w:hAnsi="Arial"/>
        </w:rPr>
        <w:t>ä</w:t>
      </w:r>
      <w:r>
        <w:rPr>
          <w:rFonts w:ascii="Arial" w:hAnsi="Arial"/>
        </w:rPr>
        <w:t>nde am Folgetag.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1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Der Konflikttrinker</w:t>
      </w:r>
      <w:r>
        <w:rPr>
          <w:rFonts w:ascii="Arial" w:hAnsi="Arial"/>
        </w:rPr>
        <w:t xml:space="preserve"> greift in bestimmten Problemsituation zum Alkohol, da er </w:t>
      </w:r>
      <w:r>
        <w:rPr>
          <w:rFonts w:ascii="Arial" w:hAnsi="Arial"/>
        </w:rPr>
        <w:t>ü</w:t>
      </w:r>
      <w:r>
        <w:rPr>
          <w:rFonts w:ascii="Arial" w:hAnsi="Arial"/>
        </w:rPr>
        <w:t>ber keine alternativen Bew</w:t>
      </w:r>
      <w:r>
        <w:rPr>
          <w:rFonts w:ascii="Arial" w:hAnsi="Arial"/>
        </w:rPr>
        <w:t>ä</w:t>
      </w:r>
      <w:r>
        <w:rPr>
          <w:rFonts w:ascii="Arial" w:hAnsi="Arial"/>
        </w:rPr>
        <w:t>ltigungsstrategien verf</w:t>
      </w:r>
      <w:r>
        <w:rPr>
          <w:rFonts w:ascii="Arial" w:hAnsi="Arial"/>
        </w:rPr>
        <w:t>ü</w:t>
      </w:r>
      <w:r>
        <w:rPr>
          <w:rFonts w:ascii="Arial" w:hAnsi="Arial"/>
        </w:rPr>
        <w:t>gt.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1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Der </w:t>
      </w:r>
      <w:r>
        <w:rPr>
          <w:rFonts w:ascii="Arial" w:hAnsi="Arial"/>
          <w:i/>
          <w:iCs/>
        </w:rPr>
        <w:t>Periodischer Trinker</w:t>
      </w:r>
      <w:r>
        <w:rPr>
          <w:rFonts w:ascii="Arial" w:hAnsi="Arial"/>
        </w:rPr>
        <w:t xml:space="preserve"> pendelt zwischen absoluter Abstinenz bz</w:t>
      </w:r>
      <w:r>
        <w:rPr>
          <w:rFonts w:ascii="Arial" w:hAnsi="Arial"/>
        </w:rPr>
        <w:t>w. unauff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lligem Konsum und Phasen des unkontrolliertem Trinkens. </w:t>
      </w:r>
      <w:r>
        <w:rPr>
          <w:rFonts w:ascii="Arial" w:hAnsi="Arial"/>
        </w:rPr>
        <w:lastRenderedPageBreak/>
        <w:t>Sowohl f</w:t>
      </w:r>
      <w:r>
        <w:rPr>
          <w:rFonts w:ascii="Arial" w:hAnsi="Arial"/>
        </w:rPr>
        <w:t>ü</w:t>
      </w:r>
      <w:r>
        <w:rPr>
          <w:rFonts w:ascii="Arial" w:hAnsi="Arial"/>
        </w:rPr>
        <w:t>r die Betroffenen, als auch f</w:t>
      </w:r>
      <w:r>
        <w:rPr>
          <w:rFonts w:ascii="Arial" w:hAnsi="Arial"/>
        </w:rPr>
        <w:t>ü</w:t>
      </w:r>
      <w:r>
        <w:rPr>
          <w:rFonts w:ascii="Arial" w:hAnsi="Arial"/>
        </w:rPr>
        <w:t>r deren Mitmenschen sind oftmals keine Ursachen f</w:t>
      </w:r>
      <w:r>
        <w:rPr>
          <w:rFonts w:ascii="Arial" w:hAnsi="Arial"/>
        </w:rPr>
        <w:t>ü</w:t>
      </w:r>
      <w:r>
        <w:rPr>
          <w:rFonts w:ascii="Arial" w:hAnsi="Arial"/>
        </w:rPr>
        <w:t>r das pl</w:t>
      </w:r>
      <w:r>
        <w:rPr>
          <w:rFonts w:ascii="Arial" w:hAnsi="Arial"/>
        </w:rPr>
        <w:t>ö</w:t>
      </w:r>
      <w:r>
        <w:rPr>
          <w:rFonts w:ascii="Arial" w:hAnsi="Arial"/>
        </w:rPr>
        <w:t>tzliche Trinken erkennbar. Daher kommt es nicht selten zu abergl</w:t>
      </w:r>
      <w:r>
        <w:rPr>
          <w:rFonts w:ascii="Arial" w:hAnsi="Arial"/>
        </w:rPr>
        <w:t>ä</w:t>
      </w:r>
      <w:r>
        <w:rPr>
          <w:rFonts w:ascii="Arial" w:hAnsi="Arial"/>
        </w:rPr>
        <w:t>ubischen Erkl</w:t>
      </w:r>
      <w:r>
        <w:rPr>
          <w:rFonts w:ascii="Arial" w:hAnsi="Arial"/>
        </w:rPr>
        <w:t>ä</w:t>
      </w:r>
      <w:r>
        <w:rPr>
          <w:rFonts w:ascii="Arial" w:hAnsi="Arial"/>
        </w:rPr>
        <w:t>rungsversuche</w:t>
      </w:r>
      <w:r>
        <w:rPr>
          <w:rFonts w:ascii="Arial" w:hAnsi="Arial"/>
        </w:rPr>
        <w:t>n f</w:t>
      </w:r>
      <w:r>
        <w:rPr>
          <w:rFonts w:ascii="Arial" w:hAnsi="Arial"/>
        </w:rPr>
        <w:t>ü</w:t>
      </w:r>
      <w:r>
        <w:rPr>
          <w:rFonts w:ascii="Arial" w:hAnsi="Arial"/>
        </w:rPr>
        <w:t>r die Trinkphasen (vgl. Lindenmeyer 2005, S. 70ff.; Lindenmeyer 2011, S. 747).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Entwicklung einer gesundheitsf</w:t>
      </w:r>
      <w:r>
        <w:rPr>
          <w:rFonts w:ascii="Arial" w:hAnsi="Arial"/>
        </w:rPr>
        <w:t>ö</w:t>
      </w:r>
      <w:r>
        <w:rPr>
          <w:rFonts w:ascii="Arial" w:hAnsi="Arial"/>
        </w:rPr>
        <w:t>rdernden Gesamtpolitik</w:t>
      </w:r>
    </w:p>
    <w:p w:rsidR="0048796C" w:rsidRDefault="00A74092">
      <w:pPr>
        <w:pStyle w:val="Text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Schaffung gesundheitsf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rderlicher </w:t>
      </w:r>
      <w:r>
        <w:rPr>
          <w:rFonts w:ascii="Arial" w:hAnsi="Arial"/>
        </w:rPr>
        <w:t>Lebenswelten</w:t>
      </w:r>
    </w:p>
    <w:p w:rsidR="0048796C" w:rsidRDefault="00A74092">
      <w:pPr>
        <w:pStyle w:val="Text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</w:t>
      </w:r>
      <w:r>
        <w:rPr>
          <w:rFonts w:ascii="Arial" w:hAnsi="Arial"/>
        </w:rPr>
        <w:t>ä</w:t>
      </w:r>
      <w:r>
        <w:rPr>
          <w:rFonts w:ascii="Arial" w:hAnsi="Arial"/>
        </w:rPr>
        <w:t>rkung gesundheitsbezogener Gemeinschaftsaktionen und Netzwerkbildung</w:t>
      </w:r>
    </w:p>
    <w:p w:rsidR="0048796C" w:rsidRDefault="00A74092">
      <w:pPr>
        <w:pStyle w:val="Text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Entwicklung pers</w:t>
      </w:r>
      <w:r>
        <w:rPr>
          <w:rFonts w:ascii="Arial" w:hAnsi="Arial"/>
        </w:rPr>
        <w:t>ö</w:t>
      </w:r>
      <w:r>
        <w:rPr>
          <w:rFonts w:ascii="Arial" w:hAnsi="Arial"/>
        </w:rPr>
        <w:t>nlicher Gesundheitskompetenzen</w:t>
      </w:r>
    </w:p>
    <w:p w:rsidR="0048796C" w:rsidRDefault="00A74092">
      <w:pPr>
        <w:pStyle w:val="Text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Neuorientierung von Gesundheitsdiensten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: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>1.  zugewanderte und nicht zugewanderte Ausl</w:t>
      </w:r>
      <w:r>
        <w:rPr>
          <w:rFonts w:ascii="Arial" w:hAnsi="Arial"/>
        </w:rPr>
        <w:t>ä</w:t>
      </w:r>
      <w:r>
        <w:rPr>
          <w:rFonts w:ascii="Arial" w:hAnsi="Arial"/>
        </w:rPr>
        <w:t>nder</w:t>
      </w:r>
    </w:p>
    <w:p w:rsidR="0048796C" w:rsidRDefault="00A74092">
      <w:pPr>
        <w:pStyle w:val="Text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zugewanderte und nicht zugewanderte Eingeb</w:t>
      </w:r>
      <w:r>
        <w:rPr>
          <w:rFonts w:ascii="Arial" w:hAnsi="Arial"/>
        </w:rPr>
        <w:t>ü</w:t>
      </w:r>
      <w:r>
        <w:rPr>
          <w:rFonts w:ascii="Arial" w:hAnsi="Arial"/>
        </w:rPr>
        <w:t>rgerte</w:t>
      </w:r>
    </w:p>
    <w:p w:rsidR="0048796C" w:rsidRDefault="00A74092">
      <w:pPr>
        <w:pStyle w:val="Text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(Sp</w:t>
      </w:r>
      <w:r>
        <w:rPr>
          <w:rFonts w:ascii="Arial" w:hAnsi="Arial"/>
        </w:rPr>
        <w:t>ä</w:t>
      </w:r>
      <w:r>
        <w:rPr>
          <w:rFonts w:ascii="Arial" w:hAnsi="Arial"/>
        </w:rPr>
        <w:t>t-)Aussiedler</w:t>
      </w:r>
    </w:p>
    <w:p w:rsidR="0048796C" w:rsidRDefault="00A74092">
      <w:pPr>
        <w:pStyle w:val="Text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Personen, die die deutsche Staatsangeh</w:t>
      </w:r>
      <w:r>
        <w:rPr>
          <w:rFonts w:ascii="Arial" w:hAnsi="Arial"/>
        </w:rPr>
        <w:t>ö</w:t>
      </w:r>
      <w:r>
        <w:rPr>
          <w:rFonts w:ascii="Arial" w:hAnsi="Arial"/>
        </w:rPr>
        <w:t>rigkeit durch Adoption durc</w:t>
      </w:r>
      <w:r>
        <w:rPr>
          <w:rFonts w:ascii="Arial" w:hAnsi="Arial"/>
        </w:rPr>
        <w:t>h einen deutschen Elternteil erhalten haben</w:t>
      </w:r>
    </w:p>
    <w:p w:rsidR="0048796C" w:rsidRDefault="00A74092">
      <w:pPr>
        <w:pStyle w:val="Text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mit deutscher Staatsangeh</w:t>
      </w:r>
      <w:r>
        <w:rPr>
          <w:rFonts w:ascii="Arial" w:hAnsi="Arial"/>
        </w:rPr>
        <w:t>ö</w:t>
      </w:r>
      <w:r>
        <w:rPr>
          <w:rFonts w:ascii="Arial" w:hAnsi="Arial"/>
        </w:rPr>
        <w:t>rigkeit geborene Kinder vier zuvor genannten Gruppen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>(vgl. Statistisches Bundesamt 2018, S. 4)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EA37A5" w:rsidRDefault="00A74092" w:rsidP="00EA37A5">
      <w:pPr>
        <w:pStyle w:val="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Als </w:t>
      </w:r>
    </w:p>
    <w:p w:rsidR="0048796C" w:rsidRDefault="00A74092">
      <w:pPr>
        <w:pStyle w:val="Tex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. 31f.)</w:t>
      </w:r>
      <w:r>
        <w:rPr>
          <w:rFonts w:ascii="Arial" w:hAnsi="Arial"/>
        </w:rPr>
        <w:t>: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Orientierungslosigkeit nach Ankunft im neuen Umfeld, fragliche Zukunftsperspektive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Ohnmachts-Anomie-L</w:t>
      </w:r>
      <w:r>
        <w:rPr>
          <w:rFonts w:ascii="Arial" w:hAnsi="Arial"/>
        </w:rPr>
        <w:t>ebensgef</w:t>
      </w:r>
      <w:r>
        <w:rPr>
          <w:rFonts w:ascii="Arial" w:hAnsi="Arial"/>
        </w:rPr>
        <w:t>ü</w:t>
      </w:r>
      <w:r>
        <w:rPr>
          <w:rFonts w:ascii="Arial" w:hAnsi="Arial"/>
        </w:rPr>
        <w:t>hl, Gef</w:t>
      </w:r>
      <w:r>
        <w:rPr>
          <w:rFonts w:ascii="Arial" w:hAnsi="Arial"/>
        </w:rPr>
        <w:t>ü</w:t>
      </w:r>
      <w:r>
        <w:rPr>
          <w:rFonts w:ascii="Arial" w:hAnsi="Arial"/>
        </w:rPr>
        <w:t>hl der Hilflosigkeit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Eingeschr</w:t>
      </w:r>
      <w:r>
        <w:rPr>
          <w:rFonts w:ascii="Arial" w:hAnsi="Arial"/>
        </w:rPr>
        <w:t>ä</w:t>
      </w:r>
      <w:r>
        <w:rPr>
          <w:rFonts w:ascii="Arial" w:hAnsi="Arial"/>
        </w:rPr>
        <w:t>nktes politisches Recht (z.B. kein vorhandenes Wahlrecht)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Gef</w:t>
      </w:r>
      <w:r>
        <w:rPr>
          <w:rFonts w:ascii="Arial" w:hAnsi="Arial"/>
        </w:rPr>
        <w:t>ü</w:t>
      </w:r>
      <w:r>
        <w:rPr>
          <w:rFonts w:ascii="Arial" w:hAnsi="Arial"/>
        </w:rPr>
        <w:t>hl der Entwurzelung, Trennung von Angeh</w:t>
      </w:r>
      <w:r>
        <w:rPr>
          <w:rFonts w:ascii="Arial" w:hAnsi="Arial"/>
        </w:rPr>
        <w:t>ö</w:t>
      </w:r>
      <w:r>
        <w:rPr>
          <w:rFonts w:ascii="Arial" w:hAnsi="Arial"/>
        </w:rPr>
        <w:t>rigen, Entt</w:t>
      </w:r>
      <w:r>
        <w:rPr>
          <w:rFonts w:ascii="Arial" w:hAnsi="Arial"/>
        </w:rPr>
        <w:t>ä</w:t>
      </w:r>
      <w:r>
        <w:rPr>
          <w:rFonts w:ascii="Arial" w:hAnsi="Arial"/>
        </w:rPr>
        <w:t>uschung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Generationskonflikte, innerfamili</w:t>
      </w:r>
      <w:r>
        <w:rPr>
          <w:rFonts w:ascii="Arial" w:hAnsi="Arial"/>
        </w:rPr>
        <w:t>ä</w:t>
      </w:r>
      <w:r>
        <w:rPr>
          <w:rFonts w:ascii="Arial" w:hAnsi="Arial"/>
        </w:rPr>
        <w:t>re Konfliktsituationen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Ausreisebedrohung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Unsichere o</w:t>
      </w:r>
      <w:r>
        <w:rPr>
          <w:rFonts w:ascii="Arial" w:hAnsi="Arial"/>
        </w:rPr>
        <w:t>der gef</w:t>
      </w:r>
      <w:r>
        <w:rPr>
          <w:rFonts w:ascii="Arial" w:hAnsi="Arial"/>
        </w:rPr>
        <w:t>ä</w:t>
      </w:r>
      <w:r>
        <w:rPr>
          <w:rFonts w:ascii="Arial" w:hAnsi="Arial"/>
        </w:rPr>
        <w:t>hrliche Arbeitsbedingungen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Diskriminierung, Fremdenfeindlichkeit und Gewalterfahrungen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Finanzielle Sorgen, beengte Wohnsituation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Beh</w:t>
      </w:r>
      <w:r>
        <w:rPr>
          <w:rFonts w:ascii="Arial" w:hAnsi="Arial"/>
        </w:rPr>
        <w:t>ö</w:t>
      </w:r>
      <w:r>
        <w:rPr>
          <w:rFonts w:ascii="Arial" w:hAnsi="Arial"/>
        </w:rPr>
        <w:t>rdenwillk</w:t>
      </w:r>
      <w:r>
        <w:rPr>
          <w:rFonts w:ascii="Arial" w:hAnsi="Arial"/>
        </w:rPr>
        <w:t>ü</w:t>
      </w:r>
      <w:r>
        <w:rPr>
          <w:rFonts w:ascii="Arial" w:hAnsi="Arial"/>
        </w:rPr>
        <w:t>r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Verst</w:t>
      </w:r>
      <w:r>
        <w:rPr>
          <w:rFonts w:ascii="Arial" w:hAnsi="Arial"/>
        </w:rPr>
        <w:t>ä</w:t>
      </w:r>
      <w:r>
        <w:rPr>
          <w:rFonts w:ascii="Arial" w:hAnsi="Arial"/>
        </w:rPr>
        <w:t>ndigungsschwierigkeiten (sprachlich oder kulturell)</w:t>
      </w:r>
    </w:p>
    <w:p w:rsidR="0048796C" w:rsidRDefault="00A74092">
      <w:pPr>
        <w:pStyle w:val="Tex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Isolierende Lebensbedingungen</w:t>
      </w:r>
    </w:p>
    <w:p w:rsidR="0048796C" w:rsidRDefault="0048796C">
      <w:pPr>
        <w:pStyle w:val="Text"/>
        <w:spacing w:line="360" w:lineRule="auto"/>
        <w:jc w:val="both"/>
        <w:rPr>
          <w:rFonts w:ascii="Arial" w:eastAsia="Arial" w:hAnsi="Arial" w:cs="Arial"/>
        </w:rPr>
      </w:pPr>
    </w:p>
    <w:p w:rsidR="00EA37A5" w:rsidRDefault="00A74092" w:rsidP="00EA37A5">
      <w:pPr>
        <w:pStyle w:val="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Ein </w:t>
      </w:r>
    </w:p>
    <w:p w:rsidR="0048796C" w:rsidRDefault="0048796C">
      <w:pPr>
        <w:pStyle w:val="Text"/>
        <w:spacing w:line="360" w:lineRule="auto"/>
        <w:jc w:val="both"/>
      </w:pPr>
    </w:p>
    <w:sectPr w:rsidR="0048796C">
      <w:headerReference w:type="default" r:id="rId7"/>
      <w:footerReference w:type="default" r:id="rId8"/>
      <w:pgSz w:w="11906" w:h="16838"/>
      <w:pgMar w:top="1701" w:right="1701" w:bottom="1701" w:left="2835" w:header="850" w:footer="85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92" w:rsidRDefault="00A74092">
      <w:r>
        <w:separator/>
      </w:r>
    </w:p>
  </w:endnote>
  <w:endnote w:type="continuationSeparator" w:id="0">
    <w:p w:rsidR="00A74092" w:rsidRDefault="00A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6C" w:rsidRDefault="004879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92" w:rsidRDefault="00A74092">
      <w:r>
        <w:separator/>
      </w:r>
    </w:p>
  </w:footnote>
  <w:footnote w:type="continuationSeparator" w:id="0">
    <w:p w:rsidR="00A74092" w:rsidRDefault="00A7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6C" w:rsidRDefault="00A74092">
    <w:pPr>
      <w:pStyle w:val="Kopf-undFuzeilen"/>
      <w:tabs>
        <w:tab w:val="clear" w:pos="9020"/>
        <w:tab w:val="center" w:pos="3685"/>
        <w:tab w:val="right" w:pos="7370"/>
      </w:tabs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EA37A5">
      <w:rPr>
        <w:rFonts w:ascii="Arial" w:hAnsi="Arial"/>
        <w:noProof/>
        <w:sz w:val="18"/>
        <w:szCs w:val="18"/>
      </w:rPr>
      <w:t>6</w:t>
    </w:r>
    <w:r>
      <w:rPr>
        <w:rFonts w:ascii="Arial" w:hAnsi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144"/>
    <w:multiLevelType w:val="hybridMultilevel"/>
    <w:tmpl w:val="593E2182"/>
    <w:styleLink w:val="Alphabetisch"/>
    <w:lvl w:ilvl="0" w:tplc="EA4AB270">
      <w:start w:val="1"/>
      <w:numFmt w:val="upperLetter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EED5A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08064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3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8548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828E0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6B9A8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8E0CE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A6030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833D10"/>
    <w:multiLevelType w:val="hybridMultilevel"/>
    <w:tmpl w:val="593E2182"/>
    <w:numStyleLink w:val="Alphabetisch"/>
  </w:abstractNum>
  <w:abstractNum w:abstractNumId="2" w15:restartNumberingAfterBreak="0">
    <w:nsid w:val="3CA557B2"/>
    <w:multiLevelType w:val="hybridMultilevel"/>
    <w:tmpl w:val="00BEE410"/>
    <w:styleLink w:val="Strich"/>
    <w:lvl w:ilvl="0" w:tplc="E6168B9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7AA634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254712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65CD93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2E41B0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67C929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A26C5E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8120DD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B9095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40280F1F"/>
    <w:multiLevelType w:val="hybridMultilevel"/>
    <w:tmpl w:val="00BEE410"/>
    <w:numStyleLink w:val="Strich"/>
  </w:abstractNum>
  <w:abstractNum w:abstractNumId="4" w15:restartNumberingAfterBreak="0">
    <w:nsid w:val="534B3B3B"/>
    <w:multiLevelType w:val="hybridMultilevel"/>
    <w:tmpl w:val="B6660106"/>
    <w:numStyleLink w:val="Nummeriert"/>
  </w:abstractNum>
  <w:abstractNum w:abstractNumId="5" w15:restartNumberingAfterBreak="0">
    <w:nsid w:val="611D7125"/>
    <w:multiLevelType w:val="hybridMultilevel"/>
    <w:tmpl w:val="B6660106"/>
    <w:styleLink w:val="Nummeriert"/>
    <w:lvl w:ilvl="0" w:tplc="8C6A5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67D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265C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4D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E38C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E0F5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404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4540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6B00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4"/>
    <w:lvlOverride w:ilvl="0">
      <w:startOverride w:val="1"/>
      <w:lvl w:ilvl="0" w:tplc="2FC4E112">
        <w:start w:val="1"/>
        <w:numFmt w:val="decimal"/>
        <w:lvlText w:val="%1."/>
        <w:lvlJc w:val="left"/>
        <w:pPr>
          <w:ind w:left="5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BC59DC">
        <w:start w:val="1"/>
        <w:numFmt w:val="decimal"/>
        <w:lvlText w:val="%2."/>
        <w:lvlJc w:val="left"/>
        <w:pPr>
          <w:ind w:left="8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1ECDAC">
        <w:start w:val="1"/>
        <w:numFmt w:val="decimal"/>
        <w:lvlText w:val="%3."/>
        <w:lvlJc w:val="left"/>
        <w:pPr>
          <w:ind w:left="10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62A11E">
        <w:start w:val="1"/>
        <w:numFmt w:val="decimal"/>
        <w:lvlText w:val="%4."/>
        <w:lvlJc w:val="left"/>
        <w:pPr>
          <w:ind w:left="12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D01EA6">
        <w:start w:val="1"/>
        <w:numFmt w:val="decimal"/>
        <w:lvlText w:val="%5."/>
        <w:lvlJc w:val="left"/>
        <w:pPr>
          <w:ind w:left="147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8617C8">
        <w:start w:val="1"/>
        <w:numFmt w:val="decimal"/>
        <w:lvlText w:val="%6."/>
        <w:lvlJc w:val="left"/>
        <w:pPr>
          <w:ind w:left="16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642024">
        <w:start w:val="1"/>
        <w:numFmt w:val="decimal"/>
        <w:lvlText w:val="%7."/>
        <w:lvlJc w:val="left"/>
        <w:pPr>
          <w:ind w:left="19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8C2F70">
        <w:start w:val="1"/>
        <w:numFmt w:val="decimal"/>
        <w:lvlText w:val="%8."/>
        <w:lvlJc w:val="left"/>
        <w:pPr>
          <w:ind w:left="21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8CF3B4">
        <w:start w:val="1"/>
        <w:numFmt w:val="decimal"/>
        <w:lvlText w:val="%9."/>
        <w:lvlJc w:val="left"/>
        <w:pPr>
          <w:ind w:left="23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1"/>
      <w:lvl w:ilvl="0" w:tplc="2FC4E112">
        <w:start w:val="1"/>
        <w:numFmt w:val="decimal"/>
        <w:lvlText w:val="%1."/>
        <w:lvlJc w:val="left"/>
        <w:pPr>
          <w:ind w:left="5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BC59DC">
        <w:start w:val="1"/>
        <w:numFmt w:val="decimal"/>
        <w:lvlText w:val="%2."/>
        <w:lvlJc w:val="left"/>
        <w:pPr>
          <w:ind w:left="8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1ECDAC">
        <w:start w:val="1"/>
        <w:numFmt w:val="decimal"/>
        <w:lvlText w:val="%3."/>
        <w:lvlJc w:val="left"/>
        <w:pPr>
          <w:ind w:left="10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62A11E">
        <w:start w:val="1"/>
        <w:numFmt w:val="decimal"/>
        <w:lvlText w:val="%4."/>
        <w:lvlJc w:val="left"/>
        <w:pPr>
          <w:ind w:left="12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D01EA6">
        <w:start w:val="1"/>
        <w:numFmt w:val="decimal"/>
        <w:lvlText w:val="%5."/>
        <w:lvlJc w:val="left"/>
        <w:pPr>
          <w:ind w:left="147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8617C8">
        <w:start w:val="1"/>
        <w:numFmt w:val="decimal"/>
        <w:lvlText w:val="%6."/>
        <w:lvlJc w:val="left"/>
        <w:pPr>
          <w:ind w:left="16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642024">
        <w:start w:val="1"/>
        <w:numFmt w:val="decimal"/>
        <w:lvlText w:val="%7."/>
        <w:lvlJc w:val="left"/>
        <w:pPr>
          <w:ind w:left="19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8C2F70">
        <w:start w:val="1"/>
        <w:numFmt w:val="decimal"/>
        <w:lvlText w:val="%8."/>
        <w:lvlJc w:val="left"/>
        <w:pPr>
          <w:ind w:left="21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8CF3B4">
        <w:start w:val="1"/>
        <w:numFmt w:val="decimal"/>
        <w:lvlText w:val="%9."/>
        <w:lvlJc w:val="left"/>
        <w:pPr>
          <w:ind w:left="23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F780AAD0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78DAC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2CA2BA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7652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F8997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04E2C2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FA197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CEB19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04804A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2FC4E1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C59DC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ECDA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62A11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D01EA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8617C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4202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8C2F7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CF3B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"/>
      <w:lvl w:ilvl="0" w:tplc="2FC4E112">
        <w:start w:val="1"/>
        <w:numFmt w:val="decimal"/>
        <w:lvlText w:val="%1."/>
        <w:lvlJc w:val="left"/>
        <w:pPr>
          <w:ind w:left="5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BC59DC">
        <w:start w:val="1"/>
        <w:numFmt w:val="decimal"/>
        <w:lvlText w:val="%2."/>
        <w:lvlJc w:val="left"/>
        <w:pPr>
          <w:ind w:left="8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1ECDAC">
        <w:start w:val="1"/>
        <w:numFmt w:val="decimal"/>
        <w:lvlText w:val="%3."/>
        <w:lvlJc w:val="left"/>
        <w:pPr>
          <w:ind w:left="10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62A11E">
        <w:start w:val="1"/>
        <w:numFmt w:val="decimal"/>
        <w:lvlText w:val="%4."/>
        <w:lvlJc w:val="left"/>
        <w:pPr>
          <w:ind w:left="12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D01EA6">
        <w:start w:val="1"/>
        <w:numFmt w:val="decimal"/>
        <w:lvlText w:val="%5."/>
        <w:lvlJc w:val="left"/>
        <w:pPr>
          <w:ind w:left="147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8617C8">
        <w:start w:val="1"/>
        <w:numFmt w:val="decimal"/>
        <w:lvlText w:val="%6."/>
        <w:lvlJc w:val="left"/>
        <w:pPr>
          <w:ind w:left="16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642024">
        <w:start w:val="1"/>
        <w:numFmt w:val="decimal"/>
        <w:lvlText w:val="%7."/>
        <w:lvlJc w:val="left"/>
        <w:pPr>
          <w:ind w:left="19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8C2F70">
        <w:start w:val="1"/>
        <w:numFmt w:val="decimal"/>
        <w:lvlText w:val="%8."/>
        <w:lvlJc w:val="left"/>
        <w:pPr>
          <w:ind w:left="21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8CF3B4">
        <w:start w:val="1"/>
        <w:numFmt w:val="decimal"/>
        <w:lvlText w:val="%9."/>
        <w:lvlJc w:val="left"/>
        <w:pPr>
          <w:ind w:left="23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F780AAD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78DACC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2CA2BA">
        <w:start w:val="1"/>
        <w:numFmt w:val="decimal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7652F0">
        <w:start w:val="1"/>
        <w:numFmt w:val="decimal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F89970">
        <w:start w:val="1"/>
        <w:numFmt w:val="decimal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04E2C2">
        <w:start w:val="1"/>
        <w:numFmt w:val="decimal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FA197A">
        <w:start w:val="1"/>
        <w:numFmt w:val="decimal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CEB198">
        <w:start w:val="1"/>
        <w:numFmt w:val="decimal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04804A">
        <w:start w:val="1"/>
        <w:numFmt w:val="decimal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C"/>
    <w:rsid w:val="0048796C"/>
    <w:rsid w:val="00A74092"/>
    <w:rsid w:val="00E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9BC5A-3992-48A5-84D4-3C304E0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numbering" w:customStyle="1" w:styleId="Nummeriert">
    <w:name w:val="Nummeriert"/>
    <w:pPr>
      <w:numPr>
        <w:numId w:val="3"/>
      </w:numPr>
    </w:pPr>
  </w:style>
  <w:style w:type="numbering" w:customStyle="1" w:styleId="Alphabetisch">
    <w:name w:val="Alphabetisch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Posur</dc:creator>
  <cp:lastModifiedBy>Winfried Posur</cp:lastModifiedBy>
  <cp:revision>2</cp:revision>
  <dcterms:created xsi:type="dcterms:W3CDTF">2019-01-05T09:55:00Z</dcterms:created>
  <dcterms:modified xsi:type="dcterms:W3CDTF">2019-01-05T09:55:00Z</dcterms:modified>
</cp:coreProperties>
</file>