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b/>
          <w:szCs w:val="22"/>
        </w:rPr>
      </w:pPr>
      <w:r>
        <w:rPr>
          <w:b/>
          <w:szCs w:val="22"/>
        </w:rPr>
        <w:t xml:space="preserve">Beschreibung des Vorhabens - </w:t>
      </w:r>
      <w:commentRangeStart w:id="0"/>
      <w:r>
        <w:rPr>
          <w:b/>
          <w:szCs w:val="22"/>
        </w:rPr>
        <w:t>Projektanträge</w:t>
      </w:r>
      <w:commentRangeEnd w:id="0"/>
      <w:r>
        <w:commentReference w:id="0"/>
      </w:r>
    </w:p>
    <w:p>
      <w:pPr>
        <w:rPr>
          <w:b/>
          <w:szCs w:val="22"/>
        </w:rPr>
      </w:pPr>
      <w:r>
        <w:rPr>
          <w:b/>
          <w:szCs w:val="22"/>
        </w:rPr>
      </w:r>
    </w:p>
    <w:p>
      <w:pPr>
        <w:rPr>
          <w:b/>
          <w:highlight w:val="white"/>
          <w:szCs w:val="28"/>
        </w:rPr>
      </w:pPr>
      <w:r>
        <w:rPr>
          <w:b/>
          <w:highlight w:val="white"/>
          <w:szCs w:val="28"/>
        </w:rPr>
        <w:t>Dr. Riegel, Jürgen, Trier</w:t>
      </w:r>
    </w:p>
    <w:p>
      <w:pPr>
        <w:rPr>
          <w:b/>
          <w:szCs w:val="22"/>
        </w:rPr>
      </w:pPr>
      <w:r>
        <w:rPr>
          <w:b/>
          <w:szCs w:val="22"/>
        </w:rPr>
      </w:r>
    </w:p>
    <w:p>
      <w:pPr>
        <w:rPr>
          <w:b/>
          <w:highlight w:val="white"/>
          <w:szCs w:val="28"/>
        </w:rPr>
      </w:pPr>
      <w:r>
        <w:rPr>
          <w:b/>
          <w:highlight w:val="white"/>
          <w:szCs w:val="28"/>
        </w:rPr>
        <w:t>Die Liturgiephilosophie Maurice Festugières nach seinen Druckschriften im Hinblick auf das Denkmodell einer liturgischen Anthropologie</w:t>
      </w:r>
    </w:p>
    <w:p>
      <w:pPr>
        <w:pBdr>
          <w:top w:val="nil" w:sz="0" w:space="3" w:color="000000" tmln="20, 20, 20, 0, 60"/>
          <w:left w:val="nil" w:sz="0" w:space="3" w:color="000000" tmln="20, 20, 20, 0, 60"/>
          <w:bottom w:val="single" w:sz="4" w:space="1" w:color="000000" tmln="10, 20, 20, 0, 20"/>
          <w:right w:val="nil" w:sz="0" w:space="3" w:color="000000" tmln="20, 20, 20, 0, 60"/>
          <w:between w:val="nil" w:sz="0" w:space="0" w:color="000000" tmln="20, 20, 20, 0, 0"/>
        </w:pBdr>
        <w:shd w:val="none"/>
        <w:rPr>
          <w:b/>
          <w:sz w:val="24"/>
        </w:rPr>
      </w:pPr>
      <w:r>
        <w:rPr>
          <w:b/>
          <w:sz w:val="24"/>
        </w:rPr>
      </w:r>
    </w:p>
    <w:p>
      <w:pPr>
        <w:rPr>
          <w:szCs w:val="22"/>
        </w:rPr>
      </w:pPr>
      <w:r>
        <w:rPr>
          <w:szCs w:val="22"/>
        </w:rPr>
      </w:r>
    </w:p>
    <w:p>
      <w:bookmarkStart w:id="13" w:name="_Toc286761889"/>
      <w:bookmarkEnd w:id="13"/>
      <w:r/>
      <w:bookmarkStart w:id="14" w:name="_Toc294710184"/>
      <w:bookmarkEnd w:id="14"/>
      <w:r/>
      <w:commentRangeStart w:id="1"/>
      <w:r>
        <w:rPr>
          <w:b/>
        </w:rPr>
        <w:t>Beschreibung</w:t>
      </w:r>
      <w:r>
        <w:rPr>
          <w:b/>
          <w:bCs/>
          <w:szCs w:val="22"/>
        </w:rPr>
        <w:t xml:space="preserve"> des </w:t>
      </w:r>
      <w:commentRangeStart w:id="12"/>
      <w:r>
        <w:rPr>
          <w:b/>
          <w:bCs/>
          <w:szCs w:val="22"/>
        </w:rPr>
        <w:t>Vorhabens</w:t>
      </w:r>
      <w:r/>
      <w:commentRangeEnd w:id="1"/>
      <w:commentRangeEnd w:id="12"/>
      <w:r>
        <w:commentReference w:id="1"/>
        <w:commentReference w:id="12"/>
      </w:r>
    </w:p>
    <w:p>
      <w:pPr>
        <w:rPr>
          <w:rFonts w:cs="Arial"/>
          <w:szCs w:val="22"/>
        </w:rPr>
      </w:pPr>
      <w:r>
        <w:rPr>
          <w:rFonts w:cs="Arial"/>
          <w:szCs w:val="22"/>
        </w:rPr>
      </w:r>
    </w:p>
    <w:p>
      <w:pPr>
        <w:pStyle w:val="para1"/>
        <w:numPr>
          <w:ilvl w:val="0"/>
          <w:numId w:val="5"/>
        </w:numPr>
        <w:ind w:left="432" w:hanging="432"/>
        <w:rPr>
          <w:sz w:val="22"/>
        </w:rPr>
      </w:pPr>
      <w:r/>
      <w:bookmarkStart w:id="15" w:name="_Toc294157990"/>
      <w:bookmarkEnd w:id="15"/>
      <w:r/>
      <w:bookmarkStart w:id="16" w:name="_Toc283017170"/>
      <w:bookmarkEnd w:id="16"/>
      <w:r/>
      <w:bookmarkStart w:id="17" w:name="_Toc286908231"/>
      <w:bookmarkEnd w:id="17"/>
      <w:r/>
      <w:r>
        <w:rPr>
          <w:sz w:val="22"/>
        </w:rPr>
        <w:t xml:space="preserve">Stand der </w:t>
      </w:r>
      <w:r>
        <w:rPr>
          <w:sz w:val="22"/>
        </w:rPr>
        <w:t>Forschung und eigene Vorarbeiten</w:t>
      </w:r>
      <w:r>
        <w:rPr>
          <w:sz w:val="22"/>
        </w:rPr>
      </w:r>
    </w:p>
    <w:p>
      <w:pPr>
        <w:rPr>
          <w:szCs w:val="28"/>
        </w:rPr>
      </w:pPr>
      <w:r>
        <w:rPr>
          <w:szCs w:val="28"/>
        </w:rPr>
      </w:r>
    </w:p>
    <w:p>
      <w:pPr>
        <w:rPr>
          <w:highlight w:val="white"/>
          <w:szCs w:val="28"/>
        </w:rPr>
      </w:pPr>
      <w:r>
        <w:rPr>
          <w:highlight w:val="white"/>
          <w:szCs w:val="28"/>
        </w:rPr>
        <w:t>Die Persönlichkeit des Maurice Festugière (1870 - 1950) ist nicht erst in den letzten Jahren ein Objekt der Diskussion im Bereich der Liturgiewissenschaft geworden. Sein Wirken fällt in eine Zeit des historischen Aufschwungs in der Liturgiegeschichte. Dieser Aufschwung war gekennzeichnet durch den „Kongress der katholischen Werke“, der vom 23. bis 25.9.1909 im belgischen Mecheln stattfand und sich in der Liturgiegeschichte als das „Mechelner Ereignis“ eingeprägt hat. Die Vorträge des Historikers Godefroid Kurth und des Benediktiners Lambert Beauduin aus der Abtei Mont-César bei Leuven, die anlässlich dieses Kongresses gehalten wurden, hatten einen weitreichenden Einfluss. Nach Beauduins Worten in seinem Redebeitrag am 23.0.1909 gilt: „Die erste und durch nichts zu ersetzende Quelle des wahren christlichen Geistes liegt in der Teilnahme am öffentlichen Kult.“</w:t>
      </w:r>
      <w:r>
        <w:rPr>
          <w:rStyle w:val="char352"/>
          <w:rFonts w:ascii="Liberation Serif" w:hAnsi="Liberation Serif" w:eastAsia="Droid Sans Fallback" w:cs="FreeSans"/>
          <w:sz w:val="24"/>
          <w:lang w:bidi="hi-in"/>
        </w:rPr>
      </w:r>
      <w:r>
        <w:rPr>
          <w:rStyle w:val="char352"/>
          <w:rFonts w:ascii="Liberation Serif" w:hAnsi="Liberation Serif" w:eastAsia="Droid Sans Fallback" w:cs="FreeSans"/>
          <w:sz w:val="24"/>
          <w:lang w:bidi="hi-in"/>
        </w:rPr>
        <w:footnoteReference w:id="19"/>
      </w:r>
      <w:r>
        <w:rPr>
          <w:highlight w:val="white"/>
          <w:szCs w:val="28"/>
        </w:rPr>
        <w:t xml:space="preserve"> Im Kongressbeitrag des Godefroid Kurth, der am gleichen Tag vorgetragen hatte, war davon die Rede, dass die liturgische Unkenntnis der Menschen der Hauptgrund für die Unkenntnis in Dingen des Glaubens sei. Drittklassige fromme Bücher seien bei den Gläubigen an die Stelle liturgischer Texte getreten, die viel authentischer über die Religion sprechen würden, wenn man sie denn nur lesen würde</w:t>
      </w:r>
      <w:r>
        <w:rPr>
          <w:rStyle w:val="char352"/>
          <w:rFonts w:ascii="Liberation Serif" w:hAnsi="Liberation Serif" w:eastAsia="Droid Sans Fallback" w:cs="FreeSans"/>
          <w:sz w:val="24"/>
          <w:lang w:bidi="hi-in"/>
        </w:rPr>
      </w:r>
      <w:r>
        <w:rPr>
          <w:rStyle w:val="char352"/>
          <w:rFonts w:ascii="Liberation Serif" w:hAnsi="Liberation Serif" w:eastAsia="Droid Sans Fallback" w:cs="FreeSans"/>
          <w:sz w:val="24"/>
          <w:lang w:bidi="hi-in"/>
        </w:rPr>
        <w:footnoteReference w:id="20"/>
      </w:r>
      <w:r>
        <w:rPr>
          <w:highlight w:val="white"/>
          <w:szCs w:val="28"/>
        </w:rPr>
        <w:t>. Vor allem die Rede Godefroid Kurths wurde vom Kongress mit großer Begeisterung aufgenommen. Von diesem Moment entwickelten die Projekte, deren Ziel es war, liturgische Texte der Messe und des Stundengebetes zu erschließen und der Öffentlichkeit in Übersetzungen zur Verfügung zu stellen immer mehr Anziehungskraft. Die von der Abtei Mont-César herausgegebene Zeitschrift „La vie liturgique“, in der liturgische Texte übersetzt in Übersetzungen publiziert wurden, erreichte immer höhere Auflagen. Bereits 1910 wurde ein zweijähriges liturgiewissenschaftliches Kursprogramm in Mont-César ins Leben gerufen, das noch 1912 ein weiteres Mal durchgeführt werden konnte</w:t>
      </w:r>
      <w:r>
        <w:rPr>
          <w:rStyle w:val="char352"/>
          <w:rFonts w:ascii="Liberation Serif" w:hAnsi="Liberation Serif" w:eastAsia="Droid Sans Fallback" w:cs="FreeSans"/>
          <w:sz w:val="24"/>
          <w:lang w:bidi="hi-in"/>
        </w:rPr>
      </w:r>
      <w:r>
        <w:rPr>
          <w:rStyle w:val="char352"/>
          <w:rFonts w:ascii="Liberation Serif" w:hAnsi="Liberation Serif" w:eastAsia="Droid Sans Fallback" w:cs="FreeSans"/>
          <w:sz w:val="24"/>
          <w:lang w:bidi="hi-in"/>
        </w:rPr>
        <w:footnoteReference w:id="21"/>
      </w:r>
      <w:r>
        <w:rPr>
          <w:highlight w:val="white"/>
          <w:szCs w:val="28"/>
        </w:rPr>
        <w:t>. Das „Mechelner Ereignis“ gilt seitdem als die Geburtsstunde der Liturgischen Bewegung</w:t>
      </w:r>
      <w:r>
        <w:rPr>
          <w:rStyle w:val="char352"/>
          <w:rFonts w:ascii="Liberation Serif" w:hAnsi="Liberation Serif" w:eastAsia="Droid Sans Fallback" w:cs="FreeSans"/>
          <w:sz w:val="24"/>
          <w:lang w:bidi="hi-in"/>
        </w:rPr>
      </w:r>
      <w:r>
        <w:rPr>
          <w:rStyle w:val="char352"/>
          <w:rFonts w:ascii="Liberation Serif" w:hAnsi="Liberation Serif" w:eastAsia="Droid Sans Fallback" w:cs="FreeSans"/>
          <w:sz w:val="24"/>
          <w:lang w:bidi="hi-in"/>
        </w:rPr>
        <w:footnoteReference w:id="22"/>
      </w:r>
      <w:r>
        <w:rPr>
          <w:highlight w:val="white"/>
          <w:szCs w:val="28"/>
        </w:rPr>
        <w:t>.</w:t>
      </w:r>
    </w:p>
    <w:p>
      <w:pPr>
        <w:rPr>
          <w:highlight w:val="white"/>
          <w:szCs w:val="28"/>
        </w:rPr>
      </w:pPr>
      <w:r>
        <w:rPr>
          <w:highlight w:val="white"/>
          <w:szCs w:val="28"/>
        </w:rPr>
        <w:t xml:space="preserve">In diese Zeit und in die nähere Umgebung des „Mechelner Ereignisses“ fällt die aktivste Phase im Leben des Maurice Festugière. Wo Godefroid Kurth und Lambert Beauduin in Mecheln 1909 die Forderung aufstellten, die Gebete der Liturgie wieder zum Allgemeingut der Gläubigen zu machen, gelang es Maurice Festugière in seinem Hauptwerk «Die katholische Liturgie. Entwurf einer Zusammenfassung» die Frage nach der Bedeutung der Liturgie im Leben der Gläubigen zu einem generellen Objekt seiner philosophisch-theologischen Überlegungen zu machen. Dieses Buch war zuerst im Rahmen von zwei Aufsätzen der Zeitschrift „Revue de Philosophie“ erschienen. Für die Artikel war Festugière an die thematische Vorgabe der Redaktionsleitung gebunden, die Rolle und die psychologischen Wirkungen von rituellem Gebet und liturgischen Handlungen zu untersuchen. Seine Artikel sollten für die Zeitschrift eine bereits begonnene Serie von Artikeln über die religiöse Erfahrung im Katholizismus fortsetzen. </w:t>
      </w:r>
    </w:p>
    <w:p>
      <w:pPr>
        <w:rPr>
          <w:highlight w:val="white"/>
          <w:szCs w:val="28"/>
        </w:rPr>
      </w:pPr>
      <w:r>
        <w:rPr>
          <w:highlight w:val="white"/>
          <w:szCs w:val="28"/>
        </w:rPr>
        <w:t>In derselben Epoche, in der die Forderung nach der Erschließung der Liturgie für das religiöse Leben der Gläubigen laut und deutlich gestellt wurde, schrieb Festugière ein Werk, das die Möglichkeiten einer solchen Erschließung aus philosophischer Sicht ins Zentrum seiner Überlegungen stellte. Eine philosophische Studie bildet sein Werk vor allem auch deshalb, weil er weitestgehend nicht auf das Übernatürliche als Erklärungsmodell zurückgreifen wollte oder auf die kirchliche Autorität als Begründung für das, was in der Liturgie geschieht Diese Eigenart vor allem macht sein Werk in einer autoritätskritischen Zeit wie der unseren besonders interessant.</w:t>
      </w:r>
    </w:p>
    <w:p>
      <w:pPr>
        <w:rPr>
          <w:highlight w:val="white"/>
          <w:szCs w:val="28"/>
        </w:rPr>
      </w:pPr>
      <w:r>
        <w:rPr>
          <w:highlight w:val="white"/>
          <w:szCs w:val="28"/>
        </w:rPr>
        <w:t>Zudem waren Lambert Beauduin und Maurice Festugière bestens bekannt miteinander</w:t>
      </w:r>
      <w:r>
        <w:rPr>
          <w:rStyle w:val="char352"/>
          <w:rFonts w:ascii="Liberation Serif" w:hAnsi="Liberation Serif" w:eastAsia="Droid Sans Fallback" w:cs="FreeSans"/>
          <w:sz w:val="24"/>
          <w:lang w:bidi="hi-in"/>
        </w:rPr>
      </w:r>
      <w:r>
        <w:rPr>
          <w:rStyle w:val="char352"/>
          <w:rFonts w:ascii="Liberation Serif" w:hAnsi="Liberation Serif" w:eastAsia="Droid Sans Fallback" w:cs="FreeSans"/>
          <w:sz w:val="24"/>
          <w:lang w:bidi="hi-in"/>
        </w:rPr>
        <w:footnoteReference w:id="23"/>
      </w:r>
      <w:r>
        <w:rPr>
          <w:highlight w:val="white"/>
          <w:szCs w:val="28"/>
        </w:rPr>
        <w:t>. Beauduin selbst schrieb in der Zeitschrift «Questions liturgiques» eine Rezension zu Festugières «Die katholische Liturgie»</w:t>
      </w:r>
      <w:r>
        <w:rPr>
          <w:rStyle w:val="char352"/>
          <w:rFonts w:ascii="Liberation Serif" w:hAnsi="Liberation Serif" w:eastAsia="Droid Sans Fallback" w:cs="FreeSans"/>
          <w:sz w:val="24"/>
          <w:lang w:bidi="hi-in"/>
        </w:rPr>
      </w:r>
      <w:r>
        <w:rPr>
          <w:rStyle w:val="char352"/>
          <w:rFonts w:ascii="Liberation Serif" w:hAnsi="Liberation Serif" w:eastAsia="Droid Sans Fallback" w:cs="FreeSans"/>
          <w:sz w:val="24"/>
          <w:lang w:bidi="hi-in"/>
        </w:rPr>
        <w:footnoteReference w:id="24"/>
      </w:r>
      <w:r>
        <w:rPr>
          <w:highlight w:val="white"/>
          <w:szCs w:val="28"/>
        </w:rPr>
        <w:t>. Nachdem es in der jesuitischen Zeitschrift «Études» durch Jean-Joseph Navatel scharfen Widerspruch zu Festugières Thesen gegeben hatte (v.a. bezüglich der These, die jesuitische Spiritualität mit ihrer Betonung des individuellen Zugangs jedes Gläubigen zu Gott hätte die Menschen von dem bewussten und gemeinsamen Mitvollzug der Liturgie entfremdet), entgegnete Beauduin auch hierauf mit einem entsprechenden Artikel in den «Questions Liturgiques»</w:t>
      </w:r>
      <w:r>
        <w:rPr>
          <w:rStyle w:val="char352"/>
          <w:rFonts w:ascii="Liberation Serif" w:hAnsi="Liberation Serif" w:eastAsia="Droid Sans Fallback" w:cs="FreeSans"/>
          <w:sz w:val="24"/>
          <w:lang w:bidi="hi-in"/>
        </w:rPr>
      </w:r>
      <w:r>
        <w:rPr>
          <w:rStyle w:val="char352"/>
          <w:rFonts w:ascii="Liberation Serif" w:hAnsi="Liberation Serif" w:eastAsia="Droid Sans Fallback" w:cs="FreeSans"/>
          <w:sz w:val="24"/>
          <w:lang w:bidi="hi-in"/>
        </w:rPr>
        <w:footnoteReference w:id="25"/>
      </w:r>
      <w:r>
        <w:rPr>
          <w:highlight w:val="white"/>
          <w:szCs w:val="28"/>
        </w:rPr>
        <w:t xml:space="preserve">. </w:t>
      </w:r>
    </w:p>
    <w:p>
      <w:pPr>
        <w:pStyle w:val="para11"/>
        <w:spacing w:line="240" w:lineRule="auto"/>
      </w:pPr>
      <w:r>
        <w:t>Unter den Studien, die den „Stand der Forschung“ des vorliegenden Themas umfassen, wären vor allem diejenigen zu zählen, die sich mit Maurice Festugière in monografischer Hinsicht beschäftigen.</w:t>
      </w:r>
    </w:p>
    <w:p>
      <w:pPr>
        <w:pStyle w:val="para11"/>
        <w:spacing w:line="240" w:lineRule="auto"/>
      </w:pPr>
      <w:r>
        <w:t xml:space="preserve">Nur einige wenige </w:t>
      </w:r>
      <w:r>
        <w:rPr>
          <w:i/>
          <w:iCs/>
        </w:rPr>
        <w:t>monographische</w:t>
      </w:r>
      <w:r>
        <w:t xml:space="preserve"> (a) Studien sind bisher überhaupt über Maurice Festugière abgefasst worden. 2008 veröffentlichte Edmond Yawo Amekuse eine Dissertation mit dem Titel „Die zentrale Rolle der Liturgie in der christlichen Heilsökonomie. Der Beitrag Maurice Festugières zur Liturgischen Bewegung“</w:t>
      </w:r>
      <w:r>
        <w:rPr>
          <w:rStyle w:val="char17"/>
        </w:rPr>
      </w:r>
      <w:r>
        <w:rPr>
          <w:rStyle w:val="char17"/>
        </w:rPr>
        <w:footnoteReference w:id="26"/>
      </w:r>
      <w:r>
        <w:t>. Vor allem analysiert Amekuse das Hauptwerk Festugières „Die katholische Liturgie“ und geht hierbei explizit auch auf den handschriftlichen Entwurf einer zweiten Auflage dieses Werkes ein. Er interpretiert Festugières Hauptwerk auf der Grundlage seiner philosophischen Hintergründe und erörtert die durch das Werk entfachte kontroverse Diskussion in den Jahren 1913/14, in der Festugières deutlichster Opponent der Jesuit Jean Joseph Navatel (1863-1935) gewesen ist. Auf andere Schriften Festugières geht Amekuse nur punktuell ein.</w:t>
      </w:r>
    </w:p>
    <w:p>
      <w:pPr>
        <w:rPr>
          <w:szCs w:val="28"/>
        </w:rPr>
      </w:pPr>
      <w:r>
        <w:rPr>
          <w:szCs w:val="28"/>
        </w:rPr>
        <w:t>Bereits 1955 erschien John H. Millers Dissertation „Die Beziehung zwischen liturgischem und privatem Gebet“</w:t>
      </w:r>
      <w:r>
        <w:rPr>
          <w:rStyle w:val="char17"/>
          <w:szCs w:val="28"/>
        </w:rPr>
      </w:r>
      <w:r>
        <w:rPr>
          <w:rStyle w:val="char17"/>
          <w:szCs w:val="28"/>
        </w:rPr>
        <w:footnoteReference w:id="27"/>
      </w:r>
      <w:r>
        <w:rPr>
          <w:szCs w:val="28"/>
        </w:rPr>
        <w:t>. Miller geht zuerst auf die Kontroverse der Jahre 1913/14 ein und erörtert dann aus den Dokumenten der Jahre vor dem Ersten Weltkrieg, aber auch auf Grundlage von späteren Veröffentlichungen die theologische Verhältnisbestimmung von privatem und li</w:t>
      </w:r>
      <w:r>
        <w:rPr>
          <w:szCs w:val="28"/>
        </w:rPr>
        <w:t>turgischem Gebet, die im Mittelpunkt der Kontroverse von 1913/14 gestanden hat.</w:t>
      </w:r>
      <w:r>
        <w:rPr>
          <w:szCs w:val="28"/>
        </w:rPr>
        <w:t xml:space="preserve"> Ähnlich wie Miller analysiert auch Paul Lontsie-Keune in seiner 1994 vorgelegten Lizenziatsarbeit „Öffentlicher und privater Kultus – Bilanz einer Kontroverse“</w:t>
      </w:r>
      <w:r>
        <w:rPr>
          <w:rStyle w:val="char17"/>
          <w:szCs w:val="28"/>
        </w:rPr>
      </w:r>
      <w:r>
        <w:rPr>
          <w:rStyle w:val="char17"/>
          <w:szCs w:val="28"/>
        </w:rPr>
        <w:footnoteReference w:id="28"/>
      </w:r>
      <w:r>
        <w:rPr>
          <w:szCs w:val="28"/>
        </w:rPr>
        <w:t xml:space="preserve"> den Disput der Jahre 1913/14. Anders als Miller konzentriert sich Lontsie-Keune im Wesentlichen aber auf Dokumente aus der Zeit, in der die Kontroverse stattgefunden hatte. Seine Analyse umfasst dabei die Stellungnahmen auf beiden Seiten der Debatte, was es ihm ermöglicht, zu einer ausgewogenen Sicht der diskutierten Frage des Verhältnisses von persönlichem und öffentlichem Gebet zu gelangen.</w:t>
      </w:r>
      <w:r>
        <w:rPr>
          <w:szCs w:val="28"/>
        </w:rPr>
      </w:r>
    </w:p>
    <w:p>
      <w:pPr>
        <w:rPr>
          <w:szCs w:val="28"/>
        </w:rPr>
      </w:pPr>
      <w:r>
        <w:rPr>
          <w:szCs w:val="28"/>
        </w:rPr>
      </w:r>
    </w:p>
    <w:p>
      <w:pPr>
        <w:rPr>
          <w:szCs w:val="28"/>
        </w:rPr>
      </w:pPr>
      <w:r>
        <w:rPr>
          <w:szCs w:val="28"/>
        </w:rPr>
        <w:t>Darüber hinaus wären zum Forschungsstand auch zahlreiche Studien zu zählen, die nicht monographisch erschienen sind, so etwa von Andrea Grillo</w:t>
      </w:r>
      <w:r>
        <w:rPr>
          <w:rStyle w:val="char17"/>
          <w:szCs w:val="28"/>
        </w:rPr>
      </w:r>
      <w:r>
        <w:rPr>
          <w:rStyle w:val="char17"/>
          <w:szCs w:val="28"/>
        </w:rPr>
        <w:footnoteReference w:id="29"/>
      </w:r>
      <w:r>
        <w:rPr>
          <w:szCs w:val="28"/>
        </w:rPr>
        <w:t xml:space="preserve"> oder Annalisa Girolimetto</w:t>
      </w:r>
      <w:r>
        <w:rPr>
          <w:rStyle w:val="char17"/>
          <w:szCs w:val="28"/>
        </w:rPr>
      </w:r>
      <w:r>
        <w:rPr>
          <w:rStyle w:val="char17"/>
          <w:szCs w:val="28"/>
        </w:rPr>
        <w:footnoteReference w:id="30"/>
      </w:r>
      <w:r>
        <w:rPr>
          <w:szCs w:val="28"/>
        </w:rPr>
        <w:t>. Die zuletzt genannte Autorin hat im Rahmen des Sammelbandes „Liturgie. Themen und Autoren. Studienbeiträge über die liturgische Bewegung“ ihre Dissertation unter dem Titel „Liturgie und geistliches Leben: Die Debat</w:t>
      </w:r>
      <w:r>
        <w:rPr>
          <w:szCs w:val="28"/>
        </w:rPr>
        <w:t xml:space="preserve">te der Jahre 1913-1914“ veröffentlicht. Die Dissertation wurde 1988 an der «Università del Sacro Cuore» in Mailand abgeschlossen. </w:t>
      </w:r>
      <w:r>
        <w:rPr>
          <w:szCs w:val="28"/>
        </w:rPr>
      </w:r>
    </w:p>
    <w:p>
      <w:pPr>
        <w:rPr>
          <w:szCs w:val="28"/>
        </w:rPr>
      </w:pPr>
      <w:r>
        <w:rPr>
          <w:szCs w:val="28"/>
        </w:rPr>
      </w:r>
    </w:p>
    <w:p>
      <w:pPr>
        <w:rPr>
          <w:szCs w:val="28"/>
        </w:rPr>
      </w:pPr>
      <w:r>
        <w:rPr>
          <w:szCs w:val="28"/>
        </w:rPr>
        <w:t>Zahlreiche liturgiegeschichtlich orientierte Arbeiten wurden in den letzten Jahrzehnten veröffentlicht, d. h. also Arbeiten, die sich mit Persönlichkeiten beschäftigen, die in der Entwick</w:t>
        <w:softHyphen/>
        <w:t xml:space="preserve">lung des christlichen Gottesdienstes einflussreich gewesen sind (z. B. eine Persönlichkeit, die eine bedeutende Rolle in der liturgischen Bewegung gespielt hat) oder mit Zeiten und Regionen, in denen es eine bemerkenswerte Entwicklung des Gottesdienstes gegeben hat (z. B. die Umsetzung der Liturgiereform in einer spezifischen Diözese). Seltener wird aber auch die </w:t>
      </w:r>
      <w:r>
        <w:rPr>
          <w:i/>
          <w:iCs/>
          <w:szCs w:val="28"/>
        </w:rPr>
        <w:t>wissenschaftsgeschichtliche Entwicklung der Liturgiewissenschaft</w:t>
      </w:r>
      <w:r>
        <w:rPr>
          <w:szCs w:val="28"/>
        </w:rPr>
        <w:t xml:space="preserve"> (b) in den Blickpunkt gerückt.</w:t>
      </w:r>
    </w:p>
    <w:p>
      <w:pPr>
        <w:rPr>
          <w:szCs w:val="28"/>
        </w:rPr>
      </w:pPr>
      <w:r>
        <w:rPr>
          <w:szCs w:val="28"/>
        </w:rPr>
      </w:r>
    </w:p>
    <w:p>
      <w:pPr>
        <w:rPr>
          <w:szCs w:val="28"/>
        </w:rPr>
      </w:pPr>
      <w:r>
        <w:rPr>
          <w:szCs w:val="28"/>
        </w:rPr>
        <w:t>Studien, die diesem Bereich zuzuordnen wären, weisen natürliche Parallelen zum vorgestellten Projekt auf. Insofern zählen sie zu den Vorarbeiten dieses Projektes, auch wenn ihr unmittelbarer Beitrag zur hier vorzustellenden Studie eher marginal sein dürfte. Zu Studien dieses Bereichs würden z. B. die Dissertationen von Reinhold Malcherek</w:t>
      </w:r>
      <w:r>
        <w:rPr>
          <w:rStyle w:val="char17"/>
          <w:szCs w:val="28"/>
        </w:rPr>
      </w:r>
      <w:r>
        <w:rPr>
          <w:rStyle w:val="char17"/>
          <w:szCs w:val="28"/>
        </w:rPr>
        <w:footnoteReference w:id="31"/>
      </w:r>
      <w:r>
        <w:rPr>
          <w:szCs w:val="28"/>
        </w:rPr>
        <w:t xml:space="preserve"> oder Nicole Stockhoff</w:t>
      </w:r>
      <w:r>
        <w:rPr>
          <w:rStyle w:val="char17"/>
          <w:szCs w:val="28"/>
        </w:rPr>
      </w:r>
      <w:r>
        <w:rPr>
          <w:rStyle w:val="char17"/>
          <w:szCs w:val="28"/>
        </w:rPr>
        <w:footnoteReference w:id="32"/>
      </w:r>
      <w:r>
        <w:rPr>
          <w:szCs w:val="28"/>
        </w:rPr>
        <w:t xml:space="preserve"> zählen. Mithilfe dieser Akzentuierung soll auch vermieden werden, dass in einer Studie über Festugière die Debatte der Jahre 1913/14 </w:t>
      </w:r>
      <w:r>
        <w:rPr>
          <w:szCs w:val="28"/>
        </w:rPr>
        <w:t>ein Mal mehr in den Mittelpunkt gerückt wird.</w:t>
      </w:r>
      <w:r>
        <w:rPr>
          <w:szCs w:val="28"/>
        </w:rPr>
      </w:r>
    </w:p>
    <w:p>
      <w:pPr>
        <w:rPr>
          <w:szCs w:val="28"/>
        </w:rPr>
      </w:pPr>
      <w:r>
        <w:rPr>
          <w:szCs w:val="28"/>
        </w:rPr>
      </w:r>
    </w:p>
    <w:p>
      <w:pPr>
        <w:rPr>
          <w:szCs w:val="28"/>
        </w:rPr>
      </w:pPr>
      <w:r>
        <w:rPr>
          <w:szCs w:val="28"/>
        </w:rPr>
        <w:t xml:space="preserve">Durch die dialogische Gegenüberstellung der Sichtweise Festugières auf eine liturgische Anthropologie mit anderen vergleichbaren Ansätzen soll in der </w:t>
      </w:r>
      <w:r>
        <w:rPr>
          <w:i/>
          <w:iCs/>
          <w:szCs w:val="28"/>
        </w:rPr>
        <w:t>Zielrichtung</w:t>
      </w:r>
      <w:r>
        <w:rPr>
          <w:szCs w:val="28"/>
        </w:rPr>
        <w:t xml:space="preserve"> (c) dieser Studie der Blick auf den Gegenstand der liturgischen Anthropologie geschärft werden. Die Frage „Was bringt es für den Menschen, wenn er Gottesdienste feiert?“ wurde von unterschiedlichen Autoren je unterschiedlich beantwortet. Wenn diese Arbeit durch die dialogische Gegenüberstellung der Thesen Festugières solche oder ähnliche Fragen näher beleuchtet, müssen auch die bisherigen Gesamtentwürfe zu diesem Themenbereich als Vorarbeiten zu dem hier vorgestellten Forschungsvorhaben gelten. In diesem Zusammenhang wäre vor allem Crispino Valenzianos Buch „Liturgie und Anthropologie“</w:t>
      </w:r>
      <w:r>
        <w:rPr>
          <w:rStyle w:val="char17"/>
          <w:szCs w:val="28"/>
        </w:rPr>
      </w:r>
      <w:r>
        <w:rPr>
          <w:rStyle w:val="char17"/>
          <w:szCs w:val="28"/>
        </w:rPr>
        <w:footnoteReference w:id="33"/>
      </w:r>
      <w:r>
        <w:rPr>
          <w:szCs w:val="28"/>
        </w:rPr>
        <w:t xml:space="preserve"> zu nennen. </w:t>
      </w:r>
      <w:r>
        <w:rPr>
          <w:szCs w:val="28"/>
        </w:rPr>
        <w:t>Aber auch die im Sammelband „Liturgie und Anthropologie“ der St.-Sergius-Konferenzen</w:t>
      </w:r>
      <w:r>
        <w:rPr>
          <w:rStyle w:val="char17"/>
          <w:szCs w:val="28"/>
        </w:rPr>
      </w:r>
      <w:r>
        <w:rPr>
          <w:rStyle w:val="char17"/>
          <w:szCs w:val="28"/>
        </w:rPr>
        <w:footnoteReference w:id="34"/>
      </w:r>
      <w:r>
        <w:rPr>
          <w:szCs w:val="28"/>
        </w:rPr>
        <w:t xml:space="preserve"> gesammelten Artikel würden hierbei von grund</w:t>
      </w:r>
      <w:r>
        <w:rPr>
          <w:szCs w:val="28"/>
        </w:rPr>
        <w:softHyphen/>
        <w:t>legender Bedeutung sein.</w:t>
      </w:r>
      <w:r>
        <w:rPr>
          <w:szCs w:val="28"/>
        </w:rPr>
      </w:r>
    </w:p>
    <w:p>
      <w:pPr>
        <w:rPr>
          <w:szCs w:val="28"/>
        </w:rPr>
      </w:pPr>
      <w:r>
        <w:rPr>
          <w:szCs w:val="28"/>
        </w:rPr>
      </w:r>
    </w:p>
    <w:p>
      <w:pPr>
        <w:rPr>
          <w:szCs w:val="28"/>
        </w:rPr>
      </w:pPr>
      <w:r>
        <w:rPr>
          <w:szCs w:val="28"/>
        </w:rPr>
        <w:t>Methodisch (d) bilden diejenigen Publikationen Grundlagen und Vorarbeiten zu dem hier präsentierten Projekt, die sich mit Fragen der theologischen und philosophischen Hermeneutik beschäftigen, so etwa Eric Donald Hirschs „Prinzipien der Hermeneutik“</w:t>
      </w:r>
      <w:r>
        <w:rPr>
          <w:rStyle w:val="char17"/>
          <w:szCs w:val="28"/>
        </w:rPr>
      </w:r>
      <w:r>
        <w:rPr>
          <w:rStyle w:val="char17"/>
          <w:szCs w:val="28"/>
        </w:rPr>
        <w:footnoteReference w:id="35"/>
      </w:r>
      <w:r>
        <w:rPr>
          <w:szCs w:val="28"/>
        </w:rPr>
        <w:t xml:space="preserve"> oder Werner Günter Jeanronds „Theologische Hermeneutik. E</w:t>
      </w:r>
      <w:r>
        <w:rPr>
          <w:szCs w:val="28"/>
        </w:rPr>
        <w:t>ntwicklung und Bedeutung“</w:t>
      </w:r>
      <w:r>
        <w:rPr>
          <w:rStyle w:val="char17"/>
          <w:szCs w:val="28"/>
        </w:rPr>
      </w:r>
      <w:r>
        <w:rPr>
          <w:rStyle w:val="char17"/>
          <w:szCs w:val="28"/>
        </w:rPr>
        <w:footnoteReference w:id="36"/>
      </w:r>
      <w:r>
        <w:rPr>
          <w:szCs w:val="28"/>
        </w:rPr>
        <w:t xml:space="preserve">. Diesen Schriften entnehme ich einen Impuls zu einer Konzentration auf die Erschließung des </w:t>
      </w:r>
      <w:r>
        <w:rPr>
          <w:i/>
          <w:iCs/>
          <w:szCs w:val="28"/>
        </w:rPr>
        <w:t>Textsinns</w:t>
      </w:r>
      <w:r>
        <w:rPr>
          <w:szCs w:val="28"/>
        </w:rPr>
        <w:t xml:space="preserve"> nach der Intention des Autors</w:t>
      </w:r>
      <w:r>
        <w:rPr>
          <w:rStyle w:val="char17"/>
          <w:szCs w:val="28"/>
        </w:rPr>
      </w:r>
      <w:r>
        <w:rPr>
          <w:rStyle w:val="char17"/>
          <w:szCs w:val="28"/>
        </w:rPr>
        <w:footnoteReference w:id="37"/>
      </w:r>
      <w:r>
        <w:rPr>
          <w:szCs w:val="28"/>
        </w:rPr>
        <w:t xml:space="preserve">. Von diesem Schritt zu trennen wäre dann die Erörterung der </w:t>
      </w:r>
      <w:r>
        <w:rPr>
          <w:i/>
          <w:iCs/>
          <w:szCs w:val="28"/>
        </w:rPr>
        <w:t>Bedeutung</w:t>
      </w:r>
      <w:r>
        <w:rPr>
          <w:szCs w:val="28"/>
        </w:rPr>
        <w:t xml:space="preserve"> dessen, was erschlossen wurde</w:t>
      </w:r>
      <w:r>
        <w:rPr>
          <w:rStyle w:val="char17"/>
          <w:szCs w:val="28"/>
        </w:rPr>
      </w:r>
      <w:r>
        <w:rPr>
          <w:rStyle w:val="char17"/>
          <w:szCs w:val="28"/>
        </w:rPr>
        <w:footnoteReference w:id="38"/>
      </w:r>
      <w:r>
        <w:rPr>
          <w:szCs w:val="28"/>
        </w:rPr>
        <w:t>, vor allem auf dem Weg des Vergleichs mit ähnlichen Konzepten aus späterer Zeit, ein Schritt, der es mir ermöglicht, diese Konzepte in ihrer Wirkungsgeschichte wahr</w:t>
      </w:r>
      <w:r>
        <w:rPr>
          <w:szCs w:val="28"/>
        </w:rPr>
        <w:softHyphen/>
        <w:t>zunehmen.</w:t>
      </w:r>
      <w:r>
        <w:rPr>
          <w:szCs w:val="28"/>
        </w:rPr>
      </w:r>
    </w:p>
    <w:p>
      <w:pPr>
        <w:rPr>
          <w:szCs w:val="28"/>
        </w:rPr>
      </w:pPr>
      <w:r>
        <w:rPr>
          <w:szCs w:val="28"/>
        </w:rPr>
      </w:r>
    </w:p>
    <w:p>
      <w:pPr>
        <w:rPr>
          <w:szCs w:val="28"/>
        </w:rPr>
      </w:pPr>
      <w:commentRangeStart w:id="2"/>
      <w:r>
        <w:rPr>
          <w:szCs w:val="28"/>
        </w:rPr>
        <w:t>Eigene Vorarbeiten im engen Sinn kann der Antragsteller für dieses Projekt nicht vorweisen. Als Erstantragsteller ist es gemäß dem „Leitfaden für die Antragstellung“ nicht notwendig, auf eigene projektspezifische Publikationen verweisen zu können</w:t>
      </w:r>
      <w:r>
        <w:rPr>
          <w:rStyle w:val="char17"/>
          <w:szCs w:val="28"/>
        </w:rPr>
      </w:r>
      <w:r>
        <w:rPr>
          <w:rStyle w:val="char17"/>
          <w:szCs w:val="28"/>
        </w:rPr>
        <w:footnoteReference w:id="39"/>
      </w:r>
      <w:r>
        <w:rPr>
          <w:szCs w:val="28"/>
        </w:rPr>
        <w:t xml:space="preserve">. Es sei an dieser Stelle erwähnt, dass die Dissertation </w:t>
      </w:r>
      <w:r>
        <w:rPr>
          <w:szCs w:val="28"/>
        </w:rPr>
        <w:t xml:space="preserve">des Antragstellers eine summarische Gesamtsicht der dort vorgelegten Analyse von Professriten des 19. Jahrhunderts im Hinblick auf Dimensionen der </w:t>
      </w:r>
      <w:r>
        <w:rPr>
          <w:i/>
          <w:iCs/>
          <w:szCs w:val="28"/>
        </w:rPr>
        <w:t>liturgischen Anthropologie</w:t>
      </w:r>
      <w:r>
        <w:rPr>
          <w:szCs w:val="28"/>
        </w:rPr>
        <w:t xml:space="preserve"> (c) enthält, die belegt, dass anthropologische Betrachtungen auch anderweitig in d</w:t>
      </w:r>
      <w:r>
        <w:rPr>
          <w:szCs w:val="28"/>
        </w:rPr>
        <w:t>er Studie bereits eine Rolle gespielt haben</w:t>
      </w:r>
      <w:r>
        <w:rPr>
          <w:rStyle w:val="char17"/>
          <w:szCs w:val="28"/>
        </w:rPr>
      </w:r>
      <w:r>
        <w:rPr>
          <w:rStyle w:val="char17"/>
          <w:szCs w:val="28"/>
        </w:rPr>
        <w:footnoteReference w:id="40"/>
      </w:r>
      <w:r>
        <w:rPr>
          <w:szCs w:val="28"/>
        </w:rPr>
        <w:t xml:space="preserve">. </w:t>
      </w:r>
      <w:r>
        <w:rPr>
          <w:szCs w:val="28"/>
        </w:rPr>
      </w:r>
      <w:commentRangeEnd w:id="2"/>
      <w:r>
        <w:commentReference w:id="2"/>
      </w:r>
    </w:p>
    <w:p>
      <w:pPr>
        <w:rPr>
          <w:szCs w:val="28"/>
        </w:rPr>
      </w:pPr>
      <w:r>
        <w:rPr>
          <w:szCs w:val="28"/>
        </w:rPr>
      </w:r>
    </w:p>
    <w:p>
      <w:pPr>
        <w:pStyle w:val="para2"/>
        <w:numPr>
          <w:ilvl w:val="1"/>
          <w:numId w:val="4"/>
        </w:numPr>
        <w:ind w:left="576" w:hanging="576"/>
      </w:pPr>
      <w:bookmarkStart w:id="40" w:name="_Toc294157991"/>
      <w:bookmarkEnd w:id="40"/>
      <w:r/>
      <w:bookmarkStart w:id="41" w:name="_Toc286761891"/>
      <w:bookmarkEnd w:id="41"/>
      <w:r/>
      <w:bookmarkStart w:id="42" w:name="_Toc286908232"/>
      <w:bookmarkEnd w:id="42"/>
      <w:r>
        <w:t xml:space="preserve">Projektbezogene Publikationen </w:t>
      </w:r>
    </w:p>
    <w:p>
      <w:r/>
    </w:p>
    <w:p>
      <w:pPr>
        <w:pStyle w:val="para3"/>
        <w:numPr>
          <w:ilvl w:val="2"/>
          <w:numId w:val="1"/>
        </w:numPr>
        <w:ind w:left="720" w:hanging="720"/>
      </w:pPr>
      <w:bookmarkStart w:id="43" w:name="_Toc286761892"/>
      <w:bookmarkEnd w:id="43"/>
      <w:r/>
      <w:bookmarkStart w:id="44" w:name="_Toc286908233"/>
      <w:bookmarkEnd w:id="44"/>
      <w:r>
        <w:t>Veröffentlichte Arbeiten aus Publikationsorganen mit wissenschaftlicherQualitäts</w:t>
        <w:softHyphen/>
        <w:t>sicherung, Buchveröffentlichungen sowie bereits zur Veröffentlichung angenom</w:t>
        <w:softHyphen/>
        <w:t>mene, aber noch nicht veröffentlichte Arbeiten.</w:t>
      </w:r>
    </w:p>
    <w:p>
      <w:r/>
    </w:p>
    <w:p>
      <w:pPr>
        <w:pStyle w:val="para3"/>
        <w:numPr>
          <w:ilvl w:val="2"/>
          <w:numId w:val="6"/>
        </w:numPr>
        <w:ind w:left="432" w:hanging="432"/>
        <w:rPr>
          <w:sz w:val="22"/>
        </w:rPr>
      </w:pPr>
      <w:r/>
      <w:bookmarkStart w:id="45" w:name="_Toc286761893"/>
      <w:bookmarkEnd w:id="45"/>
      <w:r/>
      <w:bookmarkStart w:id="46" w:name="_Toc286908234"/>
      <w:bookmarkEnd w:id="46"/>
      <w:r/>
      <w:r>
        <w:rPr>
          <w:sz w:val="22"/>
        </w:rPr>
        <w:t>Andere Veröffentlichungen</w:t>
      </w:r>
      <w:r>
        <w:rPr>
          <w:sz w:val="22"/>
        </w:rPr>
      </w:r>
    </w:p>
    <w:p>
      <w:r/>
    </w:p>
    <w:p>
      <w:pPr>
        <w:rPr>
          <w:szCs w:val="28"/>
        </w:rPr>
      </w:pPr>
      <w:commentRangeStart w:id="3"/>
      <w:r>
        <w:rPr>
          <w:szCs w:val="28"/>
        </w:rPr>
        <w:t>Wie oben bereits erwähnt, sind an dieser Stelle keine eigenen Publikationen zu vermelden, die sich im engen Sinn auf das Projekt beziehen, das Gegenstand des Antrags ist, weder in Organen mit wissenschaftlicher Qualitätssicherung, noch anderweitig.</w:t>
      </w:r>
      <w:commentRangeEnd w:id="3"/>
      <w:r>
        <w:commentReference w:id="3"/>
      </w:r>
    </w:p>
    <w:p>
      <w:pPr>
        <w:pStyle w:val="para3"/>
        <w:numPr>
          <w:ilvl w:val="2"/>
          <w:numId w:val="6"/>
        </w:numPr>
        <w:ind w:left="720" w:hanging="720"/>
      </w:pPr>
      <w:bookmarkStart w:id="47" w:name="_Toc286761894"/>
      <w:bookmarkEnd w:id="47"/>
      <w:r/>
      <w:bookmarkStart w:id="48" w:name="_Toc286908235"/>
      <w:bookmarkEnd w:id="48"/>
      <w:r>
        <w:t>Patente</w:t>
      </w:r>
    </w:p>
    <w:p>
      <w:r>
        <w:br w:type="textWrapping"/>
        <w:t>N. z.</w:t>
      </w:r>
    </w:p>
    <w:p>
      <w:r/>
    </w:p>
    <w:p>
      <w:pPr>
        <w:pStyle w:val="para1"/>
        <w:numPr>
          <w:ilvl w:val="0"/>
          <w:numId w:val="1"/>
        </w:numPr>
        <w:ind w:left="432" w:hanging="432"/>
      </w:pPr>
      <w:bookmarkStart w:id="49" w:name="_Toc294157992"/>
      <w:bookmarkEnd w:id="49"/>
      <w:r/>
      <w:bookmarkStart w:id="50" w:name="_Toc286761895"/>
      <w:bookmarkEnd w:id="50"/>
      <w:r/>
      <w:bookmarkStart w:id="51" w:name="_Toc286908236"/>
      <w:bookmarkEnd w:id="51"/>
      <w:r>
        <w:t>Ziele und Arbeitsprogramm</w:t>
      </w:r>
    </w:p>
    <w:p>
      <w:r/>
    </w:p>
    <w:p>
      <w:pPr>
        <w:pStyle w:val="para2"/>
        <w:numPr>
          <w:ilvl w:val="1"/>
          <w:numId w:val="1"/>
        </w:numPr>
        <w:ind w:left="576" w:hanging="576"/>
      </w:pPr>
      <w:bookmarkStart w:id="52" w:name="_Toc294157993"/>
      <w:bookmarkEnd w:id="52"/>
      <w:r/>
      <w:bookmarkStart w:id="53" w:name="_Toc286761896"/>
      <w:bookmarkEnd w:id="53"/>
      <w:r/>
      <w:bookmarkStart w:id="54" w:name="_Toc286908237"/>
      <w:bookmarkEnd w:id="54"/>
      <w:r>
        <w:t>Voraussichtliche Gesamtdauer des Projekts</w:t>
      </w:r>
    </w:p>
    <w:p>
      <w:pPr>
        <w:rPr>
          <w:szCs w:val="28"/>
        </w:rPr>
      </w:pPr>
      <w:r>
        <w:rPr>
          <w:szCs w:val="28"/>
        </w:rPr>
      </w:r>
    </w:p>
    <w:p>
      <w:pPr>
        <w:rPr>
          <w:szCs w:val="28"/>
        </w:rPr>
      </w:pPr>
      <w:r>
        <w:rPr>
          <w:szCs w:val="28"/>
        </w:rPr>
        <w:t>Als Gesamtdauer wird für das Projekt ein Zeitrahmen von drei Jahren vorgesehen.</w:t>
      </w:r>
    </w:p>
    <w:p>
      <w:pPr>
        <w:rPr>
          <w:b/>
          <w:szCs w:val="28"/>
        </w:rPr>
      </w:pPr>
      <w:r>
        <w:rPr>
          <w:b/>
          <w:szCs w:val="28"/>
        </w:rPr>
      </w:r>
    </w:p>
    <w:p>
      <w:pPr>
        <w:pStyle w:val="para2"/>
        <w:numPr>
          <w:ilvl w:val="1"/>
          <w:numId w:val="1"/>
        </w:numPr>
        <w:ind w:left="576" w:hanging="576"/>
      </w:pPr>
      <w:bookmarkStart w:id="55" w:name="_Toc294157994"/>
      <w:bookmarkEnd w:id="55"/>
      <w:r/>
      <w:bookmarkStart w:id="56" w:name="_Toc286761897"/>
      <w:bookmarkEnd w:id="56"/>
      <w:r/>
      <w:bookmarkStart w:id="57" w:name="_Toc286908238"/>
      <w:bookmarkEnd w:id="57"/>
      <w:commentRangeStart w:id="4"/>
      <w:r>
        <w:t>Ziele</w:t>
      </w:r>
      <w:commentRangeEnd w:id="4"/>
      <w:r>
        <w:commentReference w:id="4"/>
      </w:r>
    </w:p>
    <w:p>
      <w:pPr>
        <w:rPr>
          <w:szCs w:val="28"/>
        </w:rPr>
      </w:pPr>
      <w:r>
        <w:rPr>
          <w:szCs w:val="28"/>
        </w:rPr>
      </w:r>
    </w:p>
    <w:p>
      <w:pPr>
        <w:rPr>
          <w:szCs w:val="28"/>
        </w:rPr>
      </w:pPr>
      <w:r>
        <w:rPr>
          <w:szCs w:val="28"/>
        </w:rPr>
        <w:t xml:space="preserve">Erstes Ziel der Studie ist es, eine </w:t>
      </w:r>
      <w:r>
        <w:rPr>
          <w:i/>
          <w:iCs/>
          <w:szCs w:val="28"/>
        </w:rPr>
        <w:t>Einordnung der Schriften Maurice Festugières in die Geschichte der Liturgiewissenschaft</w:t>
      </w:r>
      <w:r>
        <w:rPr>
          <w:szCs w:val="28"/>
        </w:rPr>
        <w:t xml:space="preserve"> (1) </w:t>
      </w:r>
      <w:commentRangeStart w:id="5"/>
      <w:r>
        <w:rPr>
          <w:szCs w:val="28"/>
        </w:rPr>
        <w:t>vorlegen zu können</w:t>
      </w:r>
      <w:commentRangeEnd w:id="5"/>
      <w:r>
        <w:commentReference w:id="5"/>
      </w:r>
      <w:r>
        <w:rPr>
          <w:szCs w:val="28"/>
        </w:rPr>
        <w:t xml:space="preserve"> und dies unter der besonderen Berücksichtigung seiner Einsichten in </w:t>
      </w:r>
      <w:commentRangeStart w:id="6"/>
      <w:r>
        <w:rPr>
          <w:szCs w:val="28"/>
        </w:rPr>
        <w:t xml:space="preserve">liturgieanthropologische Zusammenhänge. Das </w:t>
      </w:r>
      <w:r>
        <w:rPr>
          <w:i/>
          <w:iCs/>
          <w:szCs w:val="28"/>
        </w:rPr>
        <w:t>Verständnis einer liturgischen Anthropologie</w:t>
      </w:r>
      <w:commentRangeEnd w:id="6"/>
      <w:r>
        <w:commentReference w:id="6"/>
      </w:r>
      <w:r>
        <w:rPr>
          <w:szCs w:val="28"/>
        </w:rPr>
        <w:t xml:space="preserve"> (2) insgesamt weiter voranzubringen, wäre die zweite Zielrichtung der Studie. Anthropologie wird hierbei nicht als ein Forum verstanden, vor dem sich alle Theologie und Liturgiewissenschaft zu verantworten habe. Vielmehr wird gesehen werden, wie Festugière liturgische Gegebenheiten betrachtet und mit ihnen Erkenntnisse über die Natur des Menschen korreliert. Diese Erkenntnisse sind nicht nur (bzw. eigentlich eher selten) theologisch begründet, sondern reflektieren den Kenntnisstand der Humanwissenschaften in der Zeit, in der Festugière gewirkt hatte. Insofern wird unter Liturgieanthropologie eine philosophisch-theologische Anthropologie verstanden, die die Feier des Gottesdienstes zu ihrem Objekt hat. Weiterhin soll es darum gehen, </w:t>
      </w:r>
      <w:r>
        <w:rPr>
          <w:i/>
          <w:iCs/>
          <w:szCs w:val="28"/>
        </w:rPr>
        <w:t>Festugières Profil als Autor philosophisch-theologischer Schriften</w:t>
      </w:r>
      <w:r>
        <w:rPr>
          <w:szCs w:val="28"/>
        </w:rPr>
        <w:t xml:space="preserve"> (3) zu präsentieren. Seine Rolle im Zwist der Jahre 1913/14 war ja bereits Gegenstand mehrerer theologischer Untersuchungen. Ein Verweis auf diesen Disput wird sich dennoch kaum vermeiden lassen, da ja schließlich sein Hauptwerk „Die katholische Liturgie“ Auslöser des Disputs gewesen ist.</w:t>
      </w:r>
    </w:p>
    <w:p>
      <w:pPr>
        <w:rPr>
          <w:szCs w:val="28"/>
        </w:rPr>
      </w:pPr>
      <w:r>
        <w:rPr>
          <w:szCs w:val="28"/>
        </w:rPr>
      </w:r>
    </w:p>
    <w:p>
      <w:pPr>
        <w:rPr>
          <w:szCs w:val="28"/>
        </w:rPr>
      </w:pPr>
      <w:r>
        <w:rPr>
          <w:szCs w:val="28"/>
        </w:rPr>
        <w:t>Im Sinne eines wissenschaftspolitischen Zieles wäre hinzuweisen auf den äußerst geringen Bekanntheitsgrad der Person Festugières und seiner Rolle im Prozess der liturgischen Bewegung im deutschen Sprachraum. Außerhalb des Raums der deutschsprachigen Wissenschaftslandschaft genießt Festugière einen weit höheren Bekanntheitsgrad, wie das Literaturverzeichnis dieses Antrags zweifellos belegen wird.</w:t>
      </w:r>
    </w:p>
    <w:p>
      <w:pPr>
        <w:rPr>
          <w:szCs w:val="28"/>
        </w:rPr>
      </w:pPr>
      <w:r>
        <w:rPr>
          <w:szCs w:val="28"/>
        </w:rPr>
      </w:r>
    </w:p>
    <w:p>
      <w:pPr>
        <w:rPr>
          <w:szCs w:val="28"/>
        </w:rPr>
      </w:pPr>
      <w:r>
        <w:rPr>
          <w:szCs w:val="28"/>
        </w:rPr>
        <w:t>Weiterhin ordnet sich die Studie in die Reihe anderer Studien zur Geschichte der liturgischen Bewegung ein. Auch wenn die erste Intention der Arbeit die Erschließung der Schriften Festugières in wissenschaftsgeschichtlicher Hinsicht ist, steht doch außer Frage, dass sich Leben und Werk Festugières nur aus seiner Einordnung in die Zusammenhänge der liturgischen Bewegung der ersten Jahrzehnte des 20. Jahrhunderts verstehen lassen. Aufgrund dieser Einordnung liegt für die Studie auch eine Zusammenarbeit mit dem Pius-Parsch-Institut</w:t>
      </w:r>
      <w:r/>
      <w:bookmarkStart w:id="58" w:name="Klosterneuburg"/>
      <w:bookmarkEnd w:id="58"/>
      <w:r/>
      <w:r>
        <w:rPr>
          <w:szCs w:val="28"/>
        </w:rPr>
        <w:t xml:space="preserve"> in Klosterneuburg (Nieder</w:t>
      </w:r>
      <w:r>
        <w:rPr>
          <w:szCs w:val="28"/>
        </w:rPr>
        <w:softHyphen/>
        <w:t>österreich) nahe</w:t>
      </w:r>
      <w:r>
        <w:rPr>
          <w:rStyle w:val="char17"/>
          <w:szCs w:val="28"/>
        </w:rPr>
      </w:r>
      <w:r>
        <w:rPr>
          <w:rStyle w:val="char17"/>
          <w:szCs w:val="28"/>
        </w:rPr>
        <w:footnoteReference w:id="60"/>
      </w:r>
      <w:r>
        <w:rPr>
          <w:szCs w:val="28"/>
        </w:rPr>
        <w:t>. Diese Zusammenarbeit könnte sich etwa in späteren Veröffentlichungen von Forschungsergebnissen in einer Schriftenreihe des Institutes äußern.</w:t>
      </w:r>
      <w:r>
        <w:rPr>
          <w:szCs w:val="28"/>
        </w:rPr>
      </w:r>
    </w:p>
    <w:p>
      <w:pPr>
        <w:rPr>
          <w:szCs w:val="28"/>
        </w:rPr>
      </w:pPr>
      <w:r>
        <w:rPr>
          <w:szCs w:val="28"/>
        </w:rPr>
      </w:r>
    </w:p>
    <w:p>
      <w:pPr>
        <w:pStyle w:val="para2"/>
        <w:numPr>
          <w:ilvl w:val="1"/>
          <w:numId w:val="1"/>
        </w:numPr>
        <w:ind w:left="576" w:hanging="576"/>
      </w:pPr>
      <w:bookmarkStart w:id="60" w:name="_Toc294157995"/>
      <w:bookmarkEnd w:id="60"/>
      <w:r/>
      <w:bookmarkStart w:id="61" w:name="_Toc286761898"/>
      <w:bookmarkEnd w:id="61"/>
      <w:r/>
      <w:bookmarkStart w:id="62" w:name="_Toc286908239"/>
      <w:bookmarkEnd w:id="62"/>
      <w:commentRangeStart w:id="7"/>
      <w:r>
        <w:t>Arbeitsprogramm</w:t>
      </w:r>
      <w:commentRangeEnd w:id="7"/>
      <w:r>
        <w:commentReference w:id="7"/>
      </w:r>
      <w:r>
        <w:t xml:space="preserve"> inkl. vorgesehener Untersuchungsmethoden</w:t>
        <w:br w:type="textWrapping"/>
      </w:r>
      <w:r>
        <w:rPr>
          <w:rFonts w:cs="Times New Roman"/>
          <w:b w:val="0"/>
          <w:bCs w:val="0"/>
          <w:i/>
          <w:sz w:val="18"/>
          <w:szCs w:val="18"/>
        </w:rPr>
        <w:t>Für jede Antragstellerin und jeden Antragsteller</w:t>
      </w:r>
      <w:r/>
    </w:p>
    <w:p>
      <w:pPr>
        <w:rPr>
          <w:szCs w:val="28"/>
        </w:rPr>
      </w:pPr>
      <w:r>
        <w:rPr>
          <w:szCs w:val="28"/>
        </w:rPr>
      </w:r>
    </w:p>
    <w:p>
      <w:pPr>
        <w:rPr>
          <w:szCs w:val="28"/>
        </w:rPr>
      </w:pPr>
      <w:r>
        <w:rPr>
          <w:szCs w:val="28"/>
        </w:rPr>
        <w:t>Es ist geplant, die Studie in ihrem Gesamtaufbau in vier Kapitel aufzuteilen. Ein erstes Kapitel soll mit dem Titel „Festugière im Kontext“ überschrieben sein. Dieses Kapitel wird in einem ersten Schritt Leben und Werk Festugières in den Blick nehmen und ihn als Autor philosophisch-theologischer Schriften zu Themen der Liturgie (und in begrenztem Maß auch darüber hinaus) in den Mittelpunkt rücken. Dieser erste Abschnitt des Kapitels wird insgesamt einen eher summarischen Charakter haben. Weiterhin wird sich das erste Kapitel der Einordnung der Schriften Festugières in die Geschichte der Liturgiewissenschaft widmen. Ein grundsätzlicher Aufriss der Geschichte der wissenschaftlichen Beschäftigung mit Fragen des Gottesdienstes wird den Boden dafür bereiten, um zu sehen, was die Liturgiewissenschaft durch die Thesen Festugières an neuen Impulsen erhalten hat und wo er auf ältere Modelle und Thesen zurückgreift. Dieser Überblick soll den zeitlichen Rahmen vom Barock bis ins Jahr 1914 umfassen, als nach der Teilnahme Festugières am Ersten Weltkrieg seine publizistische Tätigkeit ein erzwungenes Ende nahm, da er nach eigener Aussage den Kontakt zur liturgischen Bewegung seit 1919 völlig abgebrochen hatte</w:t>
      </w:r>
      <w:r>
        <w:rPr>
          <w:rStyle w:val="char17"/>
          <w:szCs w:val="28"/>
        </w:rPr>
      </w:r>
      <w:r>
        <w:rPr>
          <w:rStyle w:val="char17"/>
          <w:szCs w:val="28"/>
        </w:rPr>
        <w:footnoteReference w:id="64"/>
      </w:r>
      <w:r>
        <w:rPr>
          <w:szCs w:val="28"/>
        </w:rPr>
        <w:t xml:space="preserve">. Die Gesamtschau auf das Schrifttum Festugières und die Einordnung seiner </w:t>
      </w:r>
      <w:r>
        <w:rPr>
          <w:szCs w:val="28"/>
        </w:rPr>
        <w:t>Ansätze in die Geschichte der Liturgiewissenschaft bilden den zentralen Inhalt dieses ersten Kapitels. Wenn überhaupt, so wird in diesem Zusammenhang dann auch auf die Kontrove</w:t>
      </w:r>
      <w:r>
        <w:rPr>
          <w:szCs w:val="28"/>
        </w:rPr>
        <w:t>rse der Jahre 1913/14 eingegangen werden.</w:t>
      </w:r>
      <w:r>
        <w:rPr>
          <w:szCs w:val="28"/>
        </w:rPr>
      </w:r>
    </w:p>
    <w:p>
      <w:pPr>
        <w:rPr>
          <w:szCs w:val="28"/>
        </w:rPr>
      </w:pPr>
      <w:r>
        <w:rPr>
          <w:szCs w:val="28"/>
        </w:rPr>
      </w:r>
    </w:p>
    <w:p>
      <w:pPr>
        <w:rPr>
          <w:szCs w:val="28"/>
        </w:rPr>
      </w:pPr>
      <w:r>
        <w:rPr>
          <w:szCs w:val="28"/>
        </w:rPr>
        <w:t>Ein zweites Kapitel wird sich mit den Ansätzen der Liturgieanthropologie in den Werken Festugières beschäftigen. In diesem Kapitel wird auf die Kritik Festugières an den individualistischen Tendenzen der Philosophie und der Spiritualität seit dem 16. Jh. eingegangen werden, die im Bereich der Sichtweise der Liturgie und in den Formen der Spiritualität nach der Analyse Festugières konkrete Folgen gehabt haben. Ihnen schreibt es Festugière zu, wenn die Liturgie als Gebetsform der kirchlichen Gemeinschaft in den letzten Jahrhunderten immer mehr ins Hintertreffen geraten ist</w:t>
      </w:r>
      <w:r>
        <w:rPr>
          <w:rStyle w:val="char17"/>
          <w:szCs w:val="28"/>
        </w:rPr>
      </w:r>
      <w:r>
        <w:rPr>
          <w:rStyle w:val="char17"/>
          <w:szCs w:val="28"/>
        </w:rPr>
        <w:footnoteReference w:id="65"/>
      </w:r>
      <w:r>
        <w:rPr>
          <w:szCs w:val="28"/>
        </w:rPr>
        <w:t xml:space="preserve">. Seine Sicht auf die </w:t>
      </w:r>
      <w:r>
        <w:rPr>
          <w:i/>
          <w:iCs/>
          <w:szCs w:val="28"/>
        </w:rPr>
        <w:t>sozialpsychologischen Dimensionen des Menschseins </w:t>
      </w:r>
      <w:r>
        <w:rPr>
          <w:szCs w:val="28"/>
        </w:rPr>
        <w:t>(1)</w:t>
      </w:r>
      <w:r>
        <w:rPr>
          <w:szCs w:val="28"/>
        </w:rPr>
        <w:t xml:space="preserve"> wird thematisiert werden, und unter Berücksichtigung seiner Quellen (Gu</w:t>
      </w:r>
      <w:r>
        <w:rPr>
          <w:szCs w:val="28"/>
        </w:rPr>
        <w:t xml:space="preserve">stave le Bon, Gabriel Tarde) wird zu sehen sein, welche positiven und negativen Effekte auf das liturgische Leben eine solche Sicht nach sich ziehen kann. Ebenso wird auch in diesem Kapitel die Rolle der Liturgie für </w:t>
      </w:r>
      <w:r>
        <w:rPr>
          <w:i/>
          <w:iCs/>
          <w:szCs w:val="28"/>
        </w:rPr>
        <w:t xml:space="preserve">die religiöse Erfahrung des Menschen </w:t>
      </w:r>
      <w:r>
        <w:rPr>
          <w:szCs w:val="28"/>
        </w:rPr>
        <w:t>(2</w:t>
      </w:r>
      <w:r>
        <w:rPr>
          <w:szCs w:val="28"/>
        </w:rPr>
        <w:t>)</w:t>
      </w:r>
      <w:r>
        <w:rPr>
          <w:szCs w:val="28"/>
        </w:rPr>
        <w:t xml:space="preserve"> behandelt werden, im Hinblick auf den Menschen in seiner individuellen Natur wie auch im Hinblick auf den Menschen als ein Sozialwesen</w:t>
      </w:r>
      <w:r>
        <w:rPr>
          <w:rStyle w:val="char17"/>
          <w:szCs w:val="28"/>
        </w:rPr>
      </w:r>
      <w:r>
        <w:rPr>
          <w:rStyle w:val="char17"/>
          <w:szCs w:val="28"/>
        </w:rPr>
        <w:footnoteReference w:id="66"/>
      </w:r>
      <w:r>
        <w:rPr>
          <w:szCs w:val="28"/>
        </w:rPr>
        <w:t xml:space="preserve">. Schließlich wird Festugières </w:t>
      </w:r>
      <w:r>
        <w:rPr>
          <w:i/>
          <w:iCs/>
          <w:szCs w:val="28"/>
        </w:rPr>
        <w:t xml:space="preserve">theologische Anthropologie </w:t>
      </w:r>
      <w:r>
        <w:rPr>
          <w:szCs w:val="28"/>
        </w:rPr>
        <w:t>(3)</w:t>
      </w:r>
      <w:r>
        <w:rPr>
          <w:szCs w:val="28"/>
        </w:rPr>
        <w:t xml:space="preserve"> Gegenstand der Untersuchung in diesem Kapitel sein, die s</w:t>
      </w:r>
      <w:r>
        <w:rPr>
          <w:szCs w:val="28"/>
        </w:rPr>
        <w:t>ich mit den Sinngebungen der Liturgie im Interesse des gläubigen Menschen beschäftigt. Dieses Thema stützt sich vor allem auf die Ausführungen Festugières in seiner Schrift „Was ist Liturgie?“, in der er ausführlich seine theologische Anthropologie entwick</w:t>
      </w:r>
      <w:r>
        <w:rPr>
          <w:szCs w:val="28"/>
        </w:rPr>
        <w:t>elt</w:t>
      </w:r>
      <w:r>
        <w:rPr>
          <w:rStyle w:val="char17"/>
          <w:szCs w:val="28"/>
        </w:rPr>
      </w:r>
      <w:r>
        <w:rPr>
          <w:rStyle w:val="char17"/>
          <w:szCs w:val="28"/>
        </w:rPr>
        <w:footnoteReference w:id="67"/>
      </w:r>
      <w:r>
        <w:rPr>
          <w:szCs w:val="28"/>
        </w:rPr>
        <w:t>.</w:t>
      </w:r>
      <w:r>
        <w:rPr>
          <w:szCs w:val="28"/>
        </w:rPr>
      </w:r>
    </w:p>
    <w:p>
      <w:pPr>
        <w:rPr>
          <w:szCs w:val="28"/>
        </w:rPr>
      </w:pPr>
      <w:r>
        <w:rPr>
          <w:szCs w:val="28"/>
        </w:rPr>
      </w:r>
    </w:p>
    <w:p>
      <w:pPr>
        <w:rPr>
          <w:szCs w:val="28"/>
        </w:rPr>
      </w:pPr>
      <w:r>
        <w:rPr>
          <w:szCs w:val="28"/>
        </w:rPr>
        <w:t>Das dritte Kapitel soll den engeren Bereich der Beschäftigung mit den Schriften Festugières überschreiten. Hier soll Festugière als virtueller Gesprächspartner mit den Thesen dreier anderer, späterer Autoren in Kontakt gebracht werden, die sich aus ihrer Perspektive dem Themenbereich der liturgischen Anthropologie gewidmet haben. Der erste Autor ist Marie-Dominique Chenu, der erstmals überhaupt in der Geschichte der Liturgiewissenschaft explizit den Bereich von Liturgie und Anthropologie behandelt hat</w:t>
      </w:r>
      <w:r>
        <w:rPr>
          <w:rStyle w:val="char17"/>
          <w:szCs w:val="28"/>
        </w:rPr>
      </w:r>
      <w:r>
        <w:rPr>
          <w:rStyle w:val="char17"/>
          <w:szCs w:val="28"/>
        </w:rPr>
        <w:footnoteReference w:id="68"/>
      </w:r>
      <w:r>
        <w:rPr>
          <w:szCs w:val="28"/>
        </w:rPr>
        <w:t>. Der erste Artikel, in dem Chenu die Anthropologie liturgischen Geschehens behandelt, stammt aus dem Jahr 1947. Noch vor der Zeit des Zweiten Vatikanischen Konzils hat er also begonnen, sich mit dieser Thematik zu beschäftigen. Aber auch später noch hat</w:t>
      </w:r>
      <w:r>
        <w:rPr>
          <w:szCs w:val="28"/>
        </w:rPr>
        <w:t xml:space="preserve"> ihn die Frage der Bedeutung der Liturgie für den gläubigen Menschen beschäftigt</w:t>
      </w:r>
      <w:r>
        <w:rPr>
          <w:rStyle w:val="char17"/>
          <w:szCs w:val="28"/>
        </w:rPr>
      </w:r>
      <w:r>
        <w:rPr>
          <w:rStyle w:val="char17"/>
          <w:szCs w:val="28"/>
        </w:rPr>
        <w:footnoteReference w:id="69"/>
      </w:r>
      <w:r>
        <w:rPr>
          <w:szCs w:val="28"/>
        </w:rPr>
        <w:t>. Louis Bouyer wird als zweiter virtueller Gesprächspartner Festugières in Erscheinung treten.  Als Konzilstheologe und gleichzeitig auch als Kritiker des liturgischen Erneuer</w:t>
      </w:r>
      <w:r>
        <w:rPr>
          <w:szCs w:val="28"/>
        </w:rPr>
        <w:t>ungsprozesses bildet Bouyer eine Stimme aus der unmittelbaren Umgebung der konziliaren Erneuerung und soll aus dieser Perspektive die Fragen der liturgischen Anthropologie (z. B. die Liturgiefähigkeit des Menschen) in neuem Licht erscheinen lassen. Mit Ald</w:t>
      </w:r>
      <w:r>
        <w:rPr>
          <w:szCs w:val="28"/>
        </w:rPr>
        <w:t>o Natale Terrin schließlich wird Festugière ein Autor gegenübergestellt, der noch bis vor kurzem Dozent für Religionsgeschichte und Kulturanthropologie an den Universitäten von Mailand und Urbino sowie Professor am Pastoralliturgischen Institut von Santa G</w:t>
      </w:r>
      <w:r>
        <w:rPr>
          <w:szCs w:val="28"/>
        </w:rPr>
        <w:t>iustina in Padua gewesen ist</w:t>
      </w:r>
      <w:r>
        <w:rPr>
          <w:rStyle w:val="char17"/>
          <w:szCs w:val="28"/>
        </w:rPr>
      </w:r>
      <w:r>
        <w:rPr>
          <w:rStyle w:val="char17"/>
          <w:szCs w:val="28"/>
        </w:rPr>
        <w:footnoteReference w:id="70"/>
      </w:r>
      <w:r>
        <w:rPr>
          <w:szCs w:val="28"/>
        </w:rPr>
        <w:t>. Terrin wird als virtueller Dialogpartner für Festugière in seiner Eigenschaft als ausgewiesener Fachmann der religionsgeschichtlichen Analyse dienen. Vor allem wird er aber als ein Theologe unserer Tage zur Sprache kommen, de</w:t>
      </w:r>
      <w:r>
        <w:rPr>
          <w:szCs w:val="28"/>
        </w:rPr>
        <w:t xml:space="preserve">ssen Hauptinteresse auf Fragen aus dem Grenzbereich zwischen Theologie und </w:t>
      </w:r>
      <w:r>
        <w:rPr>
          <w:szCs w:val="28"/>
        </w:rPr>
        <w:t>Anthropologie liegt</w:t>
      </w:r>
      <w:r>
        <w:rPr>
          <w:rStyle w:val="char17"/>
          <w:szCs w:val="28"/>
        </w:rPr>
      </w:r>
      <w:r>
        <w:rPr>
          <w:rStyle w:val="char17"/>
          <w:szCs w:val="28"/>
        </w:rPr>
        <w:footnoteReference w:id="71"/>
      </w:r>
      <w:r>
        <w:rPr>
          <w:szCs w:val="28"/>
        </w:rPr>
        <w:t>. Da mit ihm eine noch lebende Persönlichkeit ausgewählt wurde, ergibt es sich von selbst, dass die Erarbeitung seiner Positionen nur eine Momentaufnahme aus sei</w:t>
      </w:r>
      <w:r>
        <w:rPr>
          <w:szCs w:val="28"/>
        </w:rPr>
        <w:t>nem Schaffen sein kann.</w:t>
      </w:r>
      <w:r>
        <w:rPr>
          <w:szCs w:val="28"/>
        </w:rPr>
      </w:r>
    </w:p>
    <w:p>
      <w:pPr>
        <w:rPr>
          <w:szCs w:val="28"/>
        </w:rPr>
      </w:pPr>
      <w:r>
        <w:rPr>
          <w:szCs w:val="28"/>
        </w:rPr>
      </w:r>
    </w:p>
    <w:p>
      <w:pPr>
        <w:rPr>
          <w:szCs w:val="28"/>
        </w:rPr>
      </w:pPr>
      <w:r>
        <w:rPr>
          <w:szCs w:val="28"/>
        </w:rPr>
        <w:t xml:space="preserve">Auf diese Weise wird die Studie eine sukzessive Aktualisierung der Thesen Festugières vornehmen, die seine Gedanken nicht unkritisch in eine andere Zeit transponieren, sondern die ihn aus der Zeit sprechen lassen, in der er seine Thesen aufgestellt hat, und die dennoch durch den Vergleich mit den drei genannten Autoren eine realistische Einschätzung der Aktualität seiner Thesen vornehmen kann. </w:t>
      </w:r>
    </w:p>
    <w:p>
      <w:pPr>
        <w:rPr>
          <w:szCs w:val="28"/>
        </w:rPr>
      </w:pPr>
      <w:r>
        <w:rPr>
          <w:szCs w:val="28"/>
        </w:rPr>
      </w:r>
    </w:p>
    <w:p>
      <w:pPr>
        <w:pStyle w:val="para2"/>
        <w:numPr>
          <w:ilvl w:val="1"/>
          <w:numId w:val="1"/>
        </w:numPr>
        <w:ind w:left="576" w:hanging="576"/>
      </w:pPr>
      <w:bookmarkStart w:id="71" w:name="_Toc294157996"/>
      <w:bookmarkEnd w:id="71"/>
      <w:r/>
      <w:bookmarkStart w:id="72" w:name="_Toc286908240"/>
      <w:bookmarkEnd w:id="72"/>
      <w:r/>
      <w:bookmarkStart w:id="73" w:name="_Toc286761899"/>
      <w:bookmarkEnd w:id="73"/>
      <w:r>
        <w:t>Umgang mit den im Projekt erzielten Forschungsdaten</w:t>
      </w:r>
    </w:p>
    <w:p>
      <w:r/>
    </w:p>
    <w:p>
      <w:r>
        <w:t>Die Forschungsergebnisse des Projektes sollen in eine zu veröffentlichende Studie einfließen. Angestrebt wird eine Veröffentlichung in der Reihe „Liturgiewissenschaftliche Quellen und Forschungen“ (LQF, Münster). Der „Louvain Index of Theology and Religious Studies for Journals and Series“ (LITaRS)“ listet LQF als eine Reihe von höchstem wissenschaftlichem Renommee unter der Kategorie IS1 auf</w:t>
      </w:r>
      <w:r>
        <w:rPr>
          <w:rStyle w:val="char17"/>
        </w:rPr>
      </w:r>
      <w:r>
        <w:rPr>
          <w:rStyle w:val="char17"/>
        </w:rPr>
        <w:footnoteReference w:id="75"/>
      </w:r>
      <w:r>
        <w:t>. Wie es im Falle meiner Dissertation jetzt schon gegeben ist</w:t>
      </w:r>
      <w:r>
        <w:rPr>
          <w:rStyle w:val="char17"/>
        </w:rPr>
      </w:r>
      <w:r>
        <w:rPr>
          <w:rStyle w:val="char17"/>
        </w:rPr>
        <w:footnoteReference w:id="76"/>
      </w:r>
      <w:r>
        <w:t>, wird auch die geplante Studie über die Liturgieanthropologie Maurice Festugières dem „Deutschen Liturgischen Institut“ in digitaler Form zur Verfügung gestellt werden. Hierbei wird der Text in einer Fassung publiziert werden, die die Rechte des jeweiligen Verlags, in dem publiziert werden soll, nicht berühren. Gleichzeitig soll der Zugang zu den Forschungsergebnissen durch eine langfristige Speicherung unter Nutzung der Infrastruktur des „Deutschen Liturgischen Instituts“ oder einer anderen öffentlichen Infrastruktur (z. B. des Dokumentenservers des von der DFG geförderten „Fachinformationsdienstes Theologie“ an der Universitätsbibliothek Tübingen) gewährleistet werden. Im Falle einer Veröffentlichung auf dem Dokumentenserver des „Fachinformations</w:t>
        <w:softHyphen/>
        <w:t>dienstes Theologie“ kann es sich aufgrund der entsprechenden rechtlichen Rahmenbedingungen dann nur um eine Teilpublikation vor Veröffentlichung der Monografie oder um eine Folgepublikation im Rahmen z. B. eines Zeitschriftenartikels handeln.</w:t>
      </w:r>
    </w:p>
    <w:p>
      <w:pPr>
        <w:rPr>
          <w:szCs w:val="28"/>
        </w:rPr>
      </w:pPr>
      <w:r>
        <w:rPr>
          <w:szCs w:val="28"/>
        </w:rPr>
      </w:r>
    </w:p>
    <w:p>
      <w:pPr>
        <w:pStyle w:val="para2"/>
        <w:numPr>
          <w:ilvl w:val="1"/>
          <w:numId w:val="1"/>
        </w:numPr>
        <w:ind w:left="576" w:hanging="576"/>
      </w:pPr>
      <w:bookmarkStart w:id="76" w:name="_Toc294157997"/>
      <w:bookmarkEnd w:id="76"/>
      <w:r/>
      <w:bookmarkStart w:id="77" w:name="_Toc286761900"/>
      <w:bookmarkEnd w:id="77"/>
      <w:r/>
      <w:bookmarkStart w:id="78" w:name="_Toc286908241"/>
      <w:bookmarkEnd w:id="78"/>
      <w:r>
        <w:t>Weitere Angaben</w:t>
      </w:r>
    </w:p>
    <w:p>
      <w:pPr>
        <w:tabs>
          <w:tab w:val="left" w:pos="563" w:leader="none"/>
        </w:tabs>
        <w:rPr>
          <w:i/>
          <w:sz w:val="18"/>
          <w:szCs w:val="18"/>
        </w:rPr>
      </w:pPr>
      <w:r>
        <w:rPr>
          <w:i/>
          <w:sz w:val="18"/>
          <w:szCs w:val="18"/>
        </w:rPr>
        <w:tab/>
        <w:t xml:space="preserve">Hier ist Raum für weitere Angaben soweit sie nicht in den anderen Punkten aufgeführt werden konnten, aber aus </w:t>
        <w:tab/>
        <w:t>Sicht der Antragstellerin bzw. des Antragstellers für diesen Antrag wichtig sind.</w:t>
      </w:r>
    </w:p>
    <w:p>
      <w:pPr>
        <w:rPr>
          <w:szCs w:val="28"/>
        </w:rPr>
      </w:pPr>
      <w:r>
        <w:rPr>
          <w:szCs w:val="28"/>
        </w:rPr>
      </w:r>
    </w:p>
    <w:p>
      <w:pPr>
        <w:pStyle w:val="para2"/>
        <w:numPr>
          <w:ilvl w:val="1"/>
          <w:numId w:val="1"/>
        </w:numPr>
        <w:ind w:left="576" w:hanging="576"/>
      </w:pPr>
      <w:bookmarkStart w:id="79" w:name="_Toc294157998"/>
      <w:bookmarkEnd w:id="79"/>
      <w:r/>
      <w:bookmarkStart w:id="80" w:name="_Toc286761901"/>
      <w:bookmarkEnd w:id="80"/>
      <w:r/>
      <w:bookmarkStart w:id="81" w:name="_Toc286908242"/>
      <w:bookmarkEnd w:id="81"/>
      <w:r>
        <w:t>Erläuterungen zu den vorgesehenen Untersuchungen bei Versuchen an Menschen oder an vom Menschen entnommenem Material oder Tieren sowie zu Versuchen mit möglichen sicherheitsrelevanten Aspekten („Dual-Use Research of Concern“)</w:t>
      </w:r>
    </w:p>
    <w:p>
      <w:pPr>
        <w:rPr>
          <w:szCs w:val="28"/>
        </w:rPr>
      </w:pPr>
      <w:r>
        <w:rPr>
          <w:szCs w:val="28"/>
        </w:rPr>
      </w:r>
    </w:p>
    <w:p>
      <w:r>
        <w:t>N. z.</w:t>
      </w:r>
    </w:p>
    <w:p>
      <w:pPr>
        <w:rPr>
          <w:szCs w:val="28"/>
        </w:rPr>
      </w:pPr>
      <w:r>
        <w:rPr>
          <w:szCs w:val="28"/>
        </w:rPr>
      </w:r>
    </w:p>
    <w:p>
      <w:pPr>
        <w:pStyle w:val="para2"/>
        <w:numPr>
          <w:ilvl w:val="1"/>
          <w:numId w:val="1"/>
        </w:numPr>
        <w:ind w:left="576" w:hanging="576"/>
      </w:pPr>
      <w:bookmarkStart w:id="82" w:name="_Toc294157999"/>
      <w:bookmarkEnd w:id="82"/>
      <w:r/>
      <w:bookmarkStart w:id="83" w:name="_Toc286761902"/>
      <w:bookmarkEnd w:id="83"/>
      <w:r/>
      <w:bookmarkStart w:id="84" w:name="_Toc286908243"/>
      <w:bookmarkEnd w:id="84"/>
      <w:r>
        <w:t>Erläuterungen zur inhaltlichen und finanziellen Projektbeteiligung von Kooperationspartnern im Ausland</w:t>
      </w:r>
    </w:p>
    <w:p>
      <w:pPr>
        <w:rPr>
          <w:szCs w:val="28"/>
        </w:rPr>
      </w:pPr>
      <w:r>
        <w:rPr>
          <w:szCs w:val="28"/>
        </w:rPr>
      </w:r>
    </w:p>
    <w:p>
      <w:r>
        <w:t xml:space="preserve">Für spätere Folgepublikationen ist eine Zusammenarbeit mit dem „Pius-Parsch-Institut für Liturgiewissenschaft und Sakramententheologie“ in Klosterneuburg (Niederösterreich) denkbar (vgl. S. </w:t>
      </w:r>
      <w:r>
        <w:fldChar w:fldCharType="begin"/>
        <w:instrText xml:space="preserve"> PAGEREF Klosterneuburg \h \* Arabic </w:instrText>
        <w:fldChar w:fldCharType="separate"/>
        <w:t>4</w:t>
        <w:fldChar w:fldCharType="end"/>
      </w:r>
      <w:r>
        <w:t>: 2.2 Ziele). An der Durchführung des Projektes selbst ist das Pius-Parsch-Institut nicht beteiligt. Ein ergänzender Förderungsantrag an den österreichischen „Fonds für wissenschaftliche Forschung“ (FWF) ist nicht vorgesehen.</w:t>
      </w:r>
    </w:p>
    <w:p>
      <w:pPr>
        <w:rPr>
          <w:szCs w:val="28"/>
        </w:rPr>
      </w:pPr>
      <w:r>
        <w:rPr>
          <w:szCs w:val="28"/>
        </w:rPr>
      </w:r>
    </w:p>
    <w:p>
      <w:pPr>
        <w:pStyle w:val="para1"/>
        <w:numPr>
          <w:ilvl w:val="0"/>
          <w:numId w:val="1"/>
        </w:numPr>
        <w:ind w:left="432" w:hanging="432"/>
      </w:pPr>
      <w:bookmarkStart w:id="85" w:name="_Toc283017362"/>
      <w:bookmarkEnd w:id="85"/>
      <w:r/>
      <w:bookmarkStart w:id="86" w:name="_Toc283038945"/>
      <w:bookmarkEnd w:id="86"/>
      <w:r/>
      <w:bookmarkStart w:id="87" w:name="_Toc283039039"/>
      <w:bookmarkEnd w:id="87"/>
      <w:r/>
      <w:bookmarkStart w:id="88" w:name="_Toc286761890"/>
      <w:bookmarkEnd w:id="88"/>
      <w:r/>
      <w:bookmarkStart w:id="89" w:name="_Toc283017236"/>
      <w:bookmarkEnd w:id="89"/>
      <w:r/>
      <w:bookmarkStart w:id="90" w:name="_Toc283017171"/>
      <w:bookmarkEnd w:id="90"/>
      <w:r/>
      <w:bookmarkStart w:id="91" w:name="_Toc283017237"/>
      <w:bookmarkEnd w:id="91"/>
      <w:r/>
      <w:bookmarkStart w:id="92" w:name="_Toc283017363"/>
      <w:bookmarkEnd w:id="92"/>
      <w:r/>
      <w:bookmarkStart w:id="93" w:name="_Toc283038946"/>
      <w:bookmarkEnd w:id="93"/>
      <w:r/>
      <w:bookmarkStart w:id="94" w:name="_Toc283039040"/>
      <w:bookmarkEnd w:id="94"/>
      <w:r/>
      <w:bookmarkStart w:id="95" w:name="_Toc2830171701"/>
      <w:bookmarkEnd w:id="95"/>
      <w:r/>
      <w:r>
        <w:rPr>
          <w:sz w:val="22"/>
          <w:szCs w:val="22"/>
        </w:rPr>
        <w:t xml:space="preserve">Literaturverzeichnis </w:t>
      </w:r>
      <w:r/>
    </w:p>
    <w:p>
      <w:pPr>
        <w:rPr>
          <w:szCs w:val="28"/>
        </w:rPr>
      </w:pPr>
      <w:r>
        <w:rPr>
          <w:szCs w:val="28"/>
        </w:rPr>
      </w:r>
    </w:p>
    <w:p>
      <w:pPr>
        <w:pStyle w:val="para14"/>
        <w:rPr>
          <w:lang w:val="fr-fr"/>
        </w:rPr>
      </w:pPr>
      <w:r>
        <w:t xml:space="preserve">«Liturgie Catholique. Par Dom M. F. Festugière», </w:t>
      </w:r>
      <w:r>
        <w:rPr>
          <w:i/>
          <w:iCs/>
        </w:rPr>
        <w:t>Questions Liturgiques</w:t>
      </w:r>
      <w:r>
        <w:t xml:space="preserve"> 3 (1913), 391-394</w:t>
      </w:r>
      <w:r>
        <w:rPr>
          <w:lang w:val="fr-fr"/>
        </w:rPr>
        <w:t>.</w:t>
      </w:r>
      <w:r>
        <w:rPr>
          <w:lang w:val="fr-fr"/>
        </w:rPr>
      </w:r>
    </w:p>
    <w:p>
      <w:pPr>
        <w:pStyle w:val="para14"/>
        <w:rPr>
          <w:lang w:val="fr-fr"/>
        </w:rPr>
      </w:pPr>
      <w:r>
        <w:rPr>
          <w:lang w:val="fr-fr"/>
        </w:rPr>
        <w:t xml:space="preserve">Amekuse, Edmond Yawo, </w:t>
      </w:r>
      <w:r>
        <w:rPr>
          <w:i/>
          <w:iCs/>
          <w:lang w:val="fr-fr"/>
        </w:rPr>
        <w:t>Le rôle total de la liturgie dans l‘économie chrétienne. La contribution de Maurice Festugière au mouvement liturgique</w:t>
      </w:r>
      <w:r>
        <w:rPr>
          <w:lang w:val="fr-fr"/>
        </w:rPr>
        <w:t xml:space="preserve"> (Pontificium Athenaeum S. Anselmi de Urbe. Pontificium Institutum Liturgicum, Thesis ad Lauream n. 343), Roma 2008.</w:t>
      </w:r>
      <w:r>
        <w:rPr>
          <w:lang w:val="fr-fr"/>
        </w:rPr>
      </w:r>
    </w:p>
    <w:p>
      <w:pPr>
        <w:pStyle w:val="para14"/>
        <w:rPr>
          <w:lang w:val="fr-fr"/>
        </w:rPr>
      </w:pPr>
      <w:r>
        <w:t xml:space="preserve">Bärsch, Jürgen, « “...ein Hindurchgehen des Heiligen Geistes durch seine Kirche“ (SC 43). Die Liturgische Bewegung des 19. und 20. Jahrhuts als Aufbruch zur Erneuerung des Kirche und ihres Gottesdienstes», </w:t>
      </w:r>
      <w:r>
        <w:rPr>
          <w:i/>
          <w:iCs/>
        </w:rPr>
        <w:t>Trierer Theologische Zeitschrift</w:t>
      </w:r>
      <w:r>
        <w:t xml:space="preserve"> 124 (2015), 303-313</w:t>
      </w:r>
      <w:r>
        <w:rPr>
          <w:lang w:val="fr-fr"/>
        </w:rPr>
      </w:r>
    </w:p>
    <w:p>
      <w:pPr>
        <w:pStyle w:val="para14"/>
        <w:rPr>
          <w:lang w:val="it-it"/>
        </w:rPr>
      </w:pPr>
      <w:r>
        <w:t xml:space="preserve">Beauduin, Dom Lambert, «Das eigentliche Gebet der Kirche», </w:t>
      </w:r>
      <w:r>
        <w:rPr>
          <w:i/>
          <w:iCs/>
        </w:rPr>
        <w:t>Liturgisches Jahrbuch</w:t>
      </w:r>
      <w:r>
        <w:t xml:space="preserve"> 9 (1959), 198-202</w:t>
      </w:r>
      <w:r>
        <w:rPr>
          <w:lang w:val="it-it"/>
        </w:rPr>
        <w:t>.</w:t>
      </w:r>
    </w:p>
    <w:p>
      <w:pPr>
        <w:pStyle w:val="para14"/>
        <w:rPr>
          <w:lang w:val="it-it"/>
        </w:rPr>
      </w:pPr>
      <w:r>
        <w:t xml:space="preserve">Beauduin, Lambert, «Mise au point nécessaire. Réponse au R. P. Navatel», </w:t>
      </w:r>
      <w:r>
        <w:rPr>
          <w:i/>
          <w:iCs/>
        </w:rPr>
        <w:t>Questions Liturgique</w:t>
      </w:r>
      <w:r>
        <w:t>s 4 (1914), 83-104.</w:t>
      </w:r>
      <w:r>
        <w:rPr>
          <w:lang w:val="it-it"/>
        </w:rPr>
      </w:r>
    </w:p>
    <w:p>
      <w:pPr>
        <w:pStyle w:val="para14"/>
        <w:rPr>
          <w:lang w:val="it-it"/>
        </w:rPr>
      </w:pPr>
      <w:r>
        <w:rPr>
          <w:lang w:val="it-it"/>
        </w:rPr>
        <w:t xml:space="preserve">Bonaccorso (Hg.), Giorgio, </w:t>
      </w:r>
      <w:r>
        <w:rPr>
          <w:i/>
          <w:iCs/>
          <w:lang w:val="it-it"/>
        </w:rPr>
        <w:t>La liminalità del rito</w:t>
      </w:r>
      <w:r>
        <w:rPr>
          <w:lang w:val="it-it"/>
        </w:rPr>
        <w:t xml:space="preserve"> (Caro Salutis Cardo. Contributi 28), Padova 2014.</w:t>
      </w:r>
      <w:r>
        <w:rPr>
          <w:lang w:val="it-it"/>
        </w:rPr>
      </w:r>
    </w:p>
    <w:p>
      <w:pPr>
        <w:pStyle w:val="para14"/>
        <w:rPr>
          <w:lang w:val="it-it"/>
        </w:rPr>
      </w:pPr>
      <w:r>
        <w:t xml:space="preserve">Botte, Bernard, </w:t>
      </w:r>
      <w:r>
        <w:rPr>
          <w:i/>
          <w:iCs/>
        </w:rPr>
        <w:t>Le Mouvement Liturgique. Témoignage et souvenirs</w:t>
      </w:r>
      <w:r>
        <w:t>, Paris 1973</w:t>
      </w:r>
      <w:r>
        <w:rPr>
          <w:lang w:val="it-it"/>
        </w:rPr>
        <w:t>.</w:t>
      </w:r>
    </w:p>
    <w:p>
      <w:pPr>
        <w:pStyle w:val="para14"/>
        <w:rPr>
          <w:lang w:val="en-us"/>
        </w:rPr>
      </w:pPr>
      <w:r>
        <w:rPr>
          <w:lang w:val="it-it"/>
        </w:rPr>
        <w:t xml:space="preserve">Chenu, Marie-Dominique, «Anthropologie de la Liturgie», in: Yves Congar u.a., </w:t>
      </w:r>
      <w:r>
        <w:rPr>
          <w:i/>
          <w:iCs/>
          <w:lang w:val="it-it"/>
        </w:rPr>
        <w:t xml:space="preserve">La Liturgie après Vatican II. </w:t>
      </w:r>
      <w:r>
        <w:rPr>
          <w:i/>
          <w:iCs/>
          <w:lang w:val="en-us"/>
        </w:rPr>
        <w:t>Bilans, Études, Prospect</w:t>
      </w:r>
      <w:r>
        <w:rPr>
          <w:i/>
          <w:iCs/>
          <w:lang w:val="en-us"/>
        </w:rPr>
        <w:t>ive</w:t>
      </w:r>
      <w:r>
        <w:rPr>
          <w:lang w:val="en-us"/>
        </w:rPr>
        <w:t xml:space="preserve"> (</w:t>
      </w:r>
      <w:r>
        <w:rPr>
          <w:lang w:val="en-us"/>
        </w:rPr>
        <w:t>Unam Sanctam</w:t>
      </w:r>
      <w:r>
        <w:rPr>
          <w:lang w:val="en-us"/>
        </w:rPr>
        <w:t xml:space="preserve"> 66), Paris 1967, 159-177.</w:t>
      </w:r>
      <w:r>
        <w:rPr>
          <w:lang w:val="en-us"/>
        </w:rPr>
      </w:r>
    </w:p>
    <w:p>
      <w:pPr>
        <w:pStyle w:val="para14"/>
        <w:rPr>
          <w:lang w:val="en-us"/>
        </w:rPr>
      </w:pPr>
      <w:r>
        <w:rPr>
          <w:rStyle w:val="char356"/>
          <w:lang w:val="en-us"/>
        </w:rPr>
        <w:t>Chénu, Marie-Dominique, «</w:t>
      </w:r>
      <w:r>
        <w:rPr>
          <w:lang w:val="en-us"/>
        </w:rPr>
        <w:t xml:space="preserve">Anthropologie et Liturgie», </w:t>
      </w:r>
      <w:r>
        <w:rPr>
          <w:rStyle w:val="char14"/>
          <w:lang w:val="en-us"/>
        </w:rPr>
        <w:t>La Maison-Dieu</w:t>
      </w:r>
      <w:r>
        <w:rPr>
          <w:lang w:val="en-us"/>
        </w:rPr>
        <w:t xml:space="preserve"> 12 (1947), 51-65. </w:t>
      </w:r>
      <w:r>
        <w:rPr>
          <w:lang w:val="en-us"/>
        </w:rPr>
      </w:r>
    </w:p>
    <w:p>
      <w:pPr>
        <w:pStyle w:val="para14"/>
        <w:rPr>
          <w:lang w:val="it-it"/>
        </w:rPr>
      </w:pPr>
      <w:r>
        <w:rPr>
          <w:lang w:val="it-it"/>
        </w:rPr>
        <w:t xml:space="preserve">Chenu, Marie-Dominique, «Pour une anthropologie sacramentelle», </w:t>
      </w:r>
      <w:r>
        <w:rPr>
          <w:i/>
          <w:iCs/>
          <w:lang w:val="it-it"/>
        </w:rPr>
        <w:t>La Maison-Dieu</w:t>
      </w:r>
      <w:r>
        <w:rPr>
          <w:lang w:val="it-it"/>
        </w:rPr>
        <w:t xml:space="preserve"> 119 (1974), 85-100.</w:t>
      </w:r>
    </w:p>
    <w:p>
      <w:pPr>
        <w:pStyle w:val="para14"/>
        <w:rPr>
          <w:lang w:val="it-it"/>
        </w:rPr>
      </w:pPr>
      <w:r>
        <w:rPr>
          <w:lang w:val="it-it"/>
        </w:rPr>
        <w:t xml:space="preserve">Festugière, Maurice, «La definition de la Liturgie», </w:t>
      </w:r>
      <w:r>
        <w:rPr>
          <w:i/>
          <w:iCs/>
          <w:lang w:val="it-it"/>
        </w:rPr>
        <w:t>Revue liturgique et bénédictine</w:t>
      </w:r>
      <w:r>
        <w:rPr>
          <w:lang w:val="it-it"/>
        </w:rPr>
        <w:t xml:space="preserve"> 4 (1914), 288-297. </w:t>
      </w:r>
    </w:p>
    <w:p>
      <w:pPr>
        <w:pStyle w:val="para14"/>
        <w:rPr>
          <w:lang w:val="it-it"/>
        </w:rPr>
      </w:pPr>
      <w:r>
        <w:rPr>
          <w:lang w:val="it-it"/>
        </w:rPr>
        <w:t xml:space="preserve">Festugière, Maurice, </w:t>
      </w:r>
      <w:r>
        <w:rPr>
          <w:i/>
          <w:iCs/>
          <w:lang w:val="it-it"/>
        </w:rPr>
        <w:t>La Liturgie Catholique. Essai de synthèse, suivi de quelques développements</w:t>
      </w:r>
      <w:r>
        <w:rPr>
          <w:lang w:val="it-it"/>
        </w:rPr>
        <w:t>, Maredsous 1913.</w:t>
      </w:r>
    </w:p>
    <w:p>
      <w:pPr>
        <w:pStyle w:val="para14"/>
        <w:rPr>
          <w:lang w:val="it-it"/>
        </w:rPr>
      </w:pPr>
      <w:r>
        <w:rPr>
          <w:lang w:val="it-it"/>
        </w:rPr>
        <w:t xml:space="preserve">Festugière, Maurice, </w:t>
      </w:r>
      <w:r>
        <w:rPr>
          <w:i/>
          <w:iCs/>
          <w:lang w:val="it-it"/>
        </w:rPr>
        <w:t xml:space="preserve">Que est-ce que la Liturgie?, </w:t>
      </w:r>
      <w:r>
        <w:rPr>
          <w:lang w:val="it-it"/>
        </w:rPr>
        <w:t>Maredsous 1914.</w:t>
      </w:r>
      <w:r>
        <w:rPr>
          <w:lang w:val="it-it"/>
        </w:rPr>
      </w:r>
    </w:p>
    <w:p>
      <w:pPr>
        <w:pStyle w:val="para14"/>
        <w:rPr>
          <w:lang w:val="it-it"/>
        </w:rPr>
      </w:pPr>
      <w:r>
        <w:t xml:space="preserve">Fischer, Balthasar, «Das &lt;Mechelner Ereignis&gt; vom 23. September 1909», </w:t>
      </w:r>
      <w:r>
        <w:rPr>
          <w:i/>
          <w:iCs/>
        </w:rPr>
        <w:t>Liturgisches Jahrbuch</w:t>
      </w:r>
      <w:r>
        <w:t xml:space="preserve"> 9 (1959), 203-219</w:t>
      </w:r>
      <w:r>
        <w:rPr>
          <w:lang w:val="it-it"/>
        </w:rPr>
        <w:t>.</w:t>
      </w:r>
    </w:p>
    <w:p>
      <w:pPr>
        <w:pStyle w:val="para14"/>
        <w:rPr>
          <w:lang w:val="it-it"/>
        </w:rPr>
      </w:pPr>
      <w:r>
        <w:rPr>
          <w:lang w:val="it-it"/>
        </w:rPr>
        <w:t xml:space="preserve">Girolimetto, Annalisa, «Liturgia e vita spirituale. Il dibattito sorto negli anni 1913-1914», in: Franco Brovelli (Hg.), </w:t>
      </w:r>
      <w:r>
        <w:rPr>
          <w:i/>
          <w:iCs/>
          <w:lang w:val="it-it"/>
        </w:rPr>
        <w:t xml:space="preserve">Liturgia. Temi e autori. Saggi di studio sul movimento liturgico </w:t>
      </w:r>
      <w:r>
        <w:rPr>
          <w:lang w:val="it-it"/>
        </w:rPr>
        <w:t>(Bibliotheca «Ephemerides Liturgicae» «Subsidia» 53), 211-274.</w:t>
      </w:r>
    </w:p>
    <w:p>
      <w:pPr>
        <w:pStyle w:val="para14"/>
      </w:pPr>
      <w:r>
        <w:rPr>
          <w:lang w:val="it-it"/>
        </w:rPr>
        <w:t xml:space="preserve">Grillo, Andrea, </w:t>
      </w:r>
      <w:r>
        <w:rPr>
          <w:i/>
          <w:iCs/>
          <w:lang w:val="it-it"/>
        </w:rPr>
        <w:t>Introduzione alla teologia liturgica: approccio teorico alla liturgia e ai sacramenti cristiani</w:t>
      </w:r>
      <w:r>
        <w:rPr>
          <w:lang w:val="it-it"/>
        </w:rPr>
        <w:t xml:space="preserve"> (Caro Salutis Cardo. </w:t>
      </w:r>
      <w:r>
        <w:t xml:space="preserve">Sussidi 9), Padova </w:t>
      </w:r>
      <w:r>
        <w:rPr>
          <w:vertAlign w:val="superscript"/>
        </w:rPr>
        <w:t>2</w:t>
      </w:r>
      <w:r>
        <w:t xml:space="preserve">2011; deutsche Übersetzung: Ders., </w:t>
      </w:r>
      <w:r>
        <w:rPr>
          <w:i/>
          <w:iCs/>
        </w:rPr>
        <w:t>Einführung in die liturgische Theologie. Zur Theorie des Gottesdienstes und der christlichen Sakramente</w:t>
      </w:r>
      <w:r>
        <w:t xml:space="preserve"> (Arbeiten zur Pastoraltheologie, Liturgik und Hymnologie 49), Göttingen 2006; die deutsche Ausgabe geht auf die italienische Erstauflage zurück.</w:t>
      </w:r>
    </w:p>
    <w:p>
      <w:pPr>
        <w:pStyle w:val="para14"/>
        <w:rPr>
          <w:lang w:val="it-it"/>
        </w:rPr>
      </w:pPr>
      <w:r>
        <w:rPr>
          <w:lang w:val="it-it"/>
        </w:rPr>
        <w:t xml:space="preserve">Grillo, Andrea, «La Liturgia Cristiana dal movimento liturgico ai giorni nostri», in: Ders. - Crispino Valenziano (Hg.), </w:t>
      </w:r>
      <w:r>
        <w:rPr>
          <w:i/>
          <w:iCs/>
          <w:lang w:val="it-it"/>
        </w:rPr>
        <w:t>L‘uomo della liturgia</w:t>
      </w:r>
      <w:r>
        <w:rPr>
          <w:lang w:val="it-it"/>
        </w:rPr>
        <w:t>, Assisi 2007, 11-75.</w:t>
      </w:r>
    </w:p>
    <w:p>
      <w:pPr>
        <w:pStyle w:val="para14"/>
        <w:rPr>
          <w:lang w:val="it-it"/>
        </w:rPr>
      </w:pPr>
      <w:r>
        <w:rPr>
          <w:lang w:val="it-it"/>
        </w:rPr>
        <w:t>Grillo</w:t>
      </w:r>
      <w:r>
        <w:rPr>
          <w:i/>
          <w:iCs/>
          <w:lang w:val="it-it"/>
        </w:rPr>
        <w:t>‚</w:t>
      </w:r>
      <w:r>
        <w:rPr>
          <w:lang w:val="it-it"/>
        </w:rPr>
        <w:t xml:space="preserve"> Andrea,</w:t>
      </w:r>
      <w:r>
        <w:rPr>
          <w:i/>
          <w:iCs/>
          <w:lang w:val="it-it"/>
        </w:rPr>
        <w:t xml:space="preserve"> </w:t>
      </w:r>
      <w:r>
        <w:rPr>
          <w:lang w:val="it-it"/>
        </w:rPr>
        <w:t xml:space="preserve">«„La cause de la liturgie gagne chaque jour du terrain“. Modernità, rinascità liturgica e fondamento della fede in Maurice Festugière», </w:t>
      </w:r>
      <w:r>
        <w:rPr>
          <w:i/>
          <w:iCs/>
          <w:lang w:val="it-it"/>
        </w:rPr>
        <w:t>Ecclesia Orans</w:t>
      </w:r>
      <w:r>
        <w:rPr>
          <w:lang w:val="it-it"/>
        </w:rPr>
        <w:t xml:space="preserve"> 13 (1996), 229-251.</w:t>
      </w:r>
      <w:r>
        <w:rPr>
          <w:lang w:val="it-it"/>
        </w:rPr>
      </w:r>
    </w:p>
    <w:p>
      <w:pPr>
        <w:pStyle w:val="para14"/>
        <w:rPr>
          <w:lang w:val="it-it"/>
        </w:rPr>
      </w:pPr>
      <w:r>
        <w:rPr>
          <w:lang w:val="fr-fr"/>
        </w:rPr>
        <w:t xml:space="preserve">Haquin, André, «Dom L. Beauduin et le congrès des œuvres catholiques de Malines. À l’occasion du centenaire du Mouvement liturgique belge (1909 - 2009)», </w:t>
      </w:r>
      <w:r>
        <w:rPr>
          <w:i/>
          <w:iCs/>
          <w:lang w:val="fr-fr"/>
        </w:rPr>
        <w:t>Questions liturgiques</w:t>
      </w:r>
      <w:r>
        <w:rPr>
          <w:lang w:val="fr-fr"/>
        </w:rPr>
        <w:t xml:space="preserve"> 91 (2010), 18-36</w:t>
      </w:r>
      <w:r>
        <w:rPr>
          <w:lang w:val="it-it"/>
        </w:rPr>
        <w:t>.</w:t>
      </w:r>
    </w:p>
    <w:p>
      <w:pPr>
        <w:pStyle w:val="para14"/>
        <w:rPr>
          <w:lang w:val="it-it"/>
        </w:rPr>
      </w:pPr>
      <w:r>
        <w:rPr>
          <w:lang w:val="fr-fr"/>
        </w:rPr>
        <w:t>Haquin, André,</w:t>
      </w:r>
      <w:r>
        <w:rPr>
          <w:i/>
          <w:iCs/>
          <w:lang w:val="fr-fr"/>
        </w:rPr>
        <w:t xml:space="preserve"> Dom Lambert Beauduin et le renouveau liturgique</w:t>
      </w:r>
      <w:r>
        <w:rPr>
          <w:lang w:val="fr-fr"/>
        </w:rPr>
        <w:t xml:space="preserve"> (Recherches et Sythèses. Section d’histoire 1), Gembloux 1970</w:t>
      </w:r>
      <w:r>
        <w:rPr>
          <w:lang w:val="it-it"/>
        </w:rPr>
        <w:t>.</w:t>
      </w:r>
    </w:p>
    <w:p>
      <w:pPr>
        <w:pStyle w:val="para14"/>
      </w:pPr>
      <w:r>
        <w:t xml:space="preserve">Hirsch, Eric Donald, </w:t>
      </w:r>
      <w:r>
        <w:rPr>
          <w:i/>
          <w:iCs/>
        </w:rPr>
        <w:t>Prinzipien der Interpretation</w:t>
      </w:r>
      <w:r>
        <w:t>, Adelaide Anne Späth (Übers.), München 1972.</w:t>
      </w:r>
    </w:p>
    <w:p>
      <w:pPr>
        <w:pStyle w:val="para14"/>
        <w:rPr>
          <w:lang w:val="en-us"/>
        </w:rPr>
      </w:pPr>
      <w:r>
        <w:rPr>
          <w:lang w:val="en-us"/>
        </w:rPr>
        <w:t xml:space="preserve">Jeanrond, Werner Günter, </w:t>
      </w:r>
      <w:r>
        <w:rPr>
          <w:i/>
          <w:iCs/>
          <w:lang w:val="en-us"/>
        </w:rPr>
        <w:t>Theological Hermeneutics: Development and Significance</w:t>
      </w:r>
      <w:r>
        <w:rPr>
          <w:lang w:val="en-us"/>
        </w:rPr>
        <w:t>, New York 1991.</w:t>
      </w:r>
    </w:p>
    <w:p>
      <w:pPr>
        <w:pStyle w:val="para14"/>
        <w:rPr>
          <w:lang w:val="it-it"/>
        </w:rPr>
      </w:pPr>
      <w:r>
        <w:rPr>
          <w:lang w:val="it-it"/>
        </w:rPr>
        <w:t xml:space="preserve">Lontsie-Keune, Paul, </w:t>
      </w:r>
      <w:r>
        <w:rPr>
          <w:i/>
          <w:iCs/>
          <w:lang w:val="it-it"/>
        </w:rPr>
        <w:t>Culte public et prière privée. Bilan d'une controverse (avec la collaboration de Paul de Clerck)</w:t>
      </w:r>
      <w:r>
        <w:rPr>
          <w:lang w:val="it-it"/>
        </w:rPr>
        <w:t>, Paris 1994.</w:t>
      </w:r>
    </w:p>
    <w:p>
      <w:pPr>
        <w:pStyle w:val="para14"/>
      </w:pPr>
      <w:r>
        <w:t xml:space="preserve">Malcherek, Reinhold, </w:t>
      </w:r>
      <w:r>
        <w:rPr>
          <w:i/>
          <w:iCs/>
        </w:rPr>
        <w:t>Liturgiewissenschaft im 19. Jahrhundert. Valentin Thalhofer (1825-1891) und sein ‚Handbuch der katholischen Liturgik‘</w:t>
      </w:r>
      <w:r>
        <w:t xml:space="preserve"> (Liturgiewissenschaftliche Quellen und Forschungen 86), Münster 2001.</w:t>
      </w:r>
    </w:p>
    <w:p>
      <w:pPr>
        <w:pStyle w:val="para14"/>
        <w:rPr>
          <w:lang w:val="en-us"/>
        </w:rPr>
      </w:pPr>
      <w:r>
        <w:rPr>
          <w:lang w:val="en-us"/>
        </w:rPr>
        <w:t xml:space="preserve">Miller, John H., </w:t>
      </w:r>
      <w:r>
        <w:rPr>
          <w:i/>
          <w:iCs/>
          <w:lang w:val="en-us"/>
        </w:rPr>
        <w:t>The relationship between Liturgical and Private Prayer. A dissertation approved by the Theological Faculty of Trier for the degree of Doctor of Theology</w:t>
      </w:r>
      <w:r>
        <w:rPr>
          <w:lang w:val="en-us"/>
        </w:rPr>
        <w:t>, Trier 1955.</w:t>
      </w:r>
    </w:p>
    <w:p>
      <w:pPr>
        <w:pStyle w:val="para14"/>
      </w:pPr>
      <w:r>
        <w:t>Pius-Parsch-Institut für Liturgie und Sakramententheologie, Ziele und Arbeitsfelder, http://www.pius-parsch-institut.at/profil/arbeitsfelder (abgerufen am: 09.08.2018).</w:t>
      </w:r>
    </w:p>
    <w:p>
      <w:pPr>
        <w:pStyle w:val="para14"/>
        <w:rPr>
          <w:lang w:val="en-us"/>
        </w:rPr>
      </w:pPr>
      <w:r>
        <w:t xml:space="preserve">Poswick, Ferdinand, und Vos, Lambert, «Autour d‘un centenaire (1909 – 2009). </w:t>
      </w:r>
      <w:r>
        <w:rPr>
          <w:lang w:val="en-us"/>
        </w:rPr>
        <w:t>Les débuts du mouvement liturgique: Beauduin</w:t>
      </w:r>
      <w:r>
        <w:rPr>
          <w:lang w:val="en-us"/>
        </w:rPr>
        <w:t xml:space="preserve">, Marmion, Festugière et ... les autres», </w:t>
      </w:r>
      <w:r>
        <w:rPr>
          <w:i/>
          <w:iCs/>
          <w:lang w:val="en-us"/>
        </w:rPr>
        <w:t>Questions Liturgiques</w:t>
      </w:r>
      <w:r>
        <w:rPr>
          <w:lang w:val="en-us"/>
        </w:rPr>
        <w:t xml:space="preserve"> 92 (2011), 3-28.</w:t>
      </w:r>
    </w:p>
    <w:p>
      <w:pPr>
        <w:pStyle w:val="para14"/>
        <w:rPr>
          <w:lang w:val="fr-fr"/>
        </w:rPr>
      </w:pPr>
      <w:r>
        <w:rPr>
          <w:lang w:val="fr-fr"/>
        </w:rPr>
        <w:t>Quitslund, Sonya A., Beauduin. A Prophet vindicated, New York - Paramus - Toronto 1973.</w:t>
      </w:r>
    </w:p>
    <w:p>
      <w:pPr>
        <w:pStyle w:val="para14"/>
        <w:rPr>
          <w:lang w:val="it-it"/>
        </w:rPr>
      </w:pPr>
      <w:r>
        <w:t xml:space="preserve">Riegel SAC, Jürgen, </w:t>
      </w:r>
      <w:r>
        <w:rPr>
          <w:i/>
          <w:iCs/>
        </w:rPr>
        <w:t xml:space="preserve">Strukturen kommissiver Ritualität. Die Riten der Ordensprofess und andere äquivalente Riten der Eingliederung bei den im 19. Jh. gegründeten männlichen Kongregationen und Gesellschaften Apostolischen Lebens. </w:t>
      </w:r>
      <w:r>
        <w:rPr>
          <w:i/>
          <w:iCs/>
          <w:lang w:val="it-it"/>
        </w:rPr>
        <w:t>Excerptum ex Dissertatione ad Doctoratum Sacrae Liturgiae assequendum in Pontificio Instituto Liturgico</w:t>
      </w:r>
      <w:r>
        <w:rPr>
          <w:lang w:val="it-it"/>
        </w:rPr>
        <w:t>, Roma 2014.</w:t>
      </w:r>
      <w:r>
        <w:rPr>
          <w:lang w:val="it-it"/>
        </w:rPr>
      </w:r>
    </w:p>
    <w:p>
      <w:pPr>
        <w:pStyle w:val="para14"/>
        <w:rPr>
          <w:lang w:val="it-it"/>
        </w:rPr>
      </w:pPr>
      <w:r>
        <w:t xml:space="preserve">Rousseau, Olivier, </w:t>
      </w:r>
      <w:r>
        <w:rPr>
          <w:i/>
          <w:iCs/>
        </w:rPr>
        <w:t>Histoire du Mouvement Liturgique. Esquisse historique depuis le début du XIX</w:t>
      </w:r>
      <w:r>
        <w:rPr>
          <w:i/>
          <w:iCs/>
          <w:vertAlign w:val="superscript"/>
        </w:rPr>
        <w:t>e</w:t>
      </w:r>
      <w:r>
        <w:rPr>
          <w:i/>
          <w:iCs/>
        </w:rPr>
        <w:t xml:space="preserve"> siècle jusqu’au pontificat de Pie X</w:t>
      </w:r>
      <w:r>
        <w:t xml:space="preserve"> (Lex Orandi 3), Paris 1945</w:t>
      </w:r>
      <w:r>
        <w:rPr>
          <w:lang w:val="it-it"/>
        </w:rPr>
        <w:t>.</w:t>
      </w:r>
    </w:p>
    <w:p>
      <w:pPr>
        <w:pStyle w:val="para14"/>
      </w:pPr>
      <w:r>
        <w:t xml:space="preserve">Stockhoff, Nicole, </w:t>
      </w:r>
      <w:r>
        <w:rPr>
          <w:i/>
          <w:iCs/>
        </w:rPr>
        <w:t>Wenn liturgisches Denken Wirklichkeit trifft. Das liturgietheologische Werk von Pater Angelus A. Häußling (OSB) und dessen Transformation auf die Empirie der Zweiten Schweizer Sonderfallstudie</w:t>
      </w:r>
      <w:r>
        <w:t>, Münster 2014.</w:t>
      </w:r>
    </w:p>
    <w:p>
      <w:pPr>
        <w:pStyle w:val="para14"/>
        <w:rPr>
          <w:lang w:val="it-it"/>
        </w:rPr>
      </w:pPr>
      <w:r>
        <w:rPr>
          <w:lang w:val="it-it"/>
        </w:rPr>
        <w:t xml:space="preserve">Terrin (Hg.), Aldo Natale, </w:t>
      </w:r>
      <w:r>
        <w:rPr>
          <w:i/>
          <w:iCs/>
          <w:lang w:val="it-it"/>
        </w:rPr>
        <w:t>Preghiera e rito</w:t>
      </w:r>
      <w:r>
        <w:rPr>
          <w:lang w:val="it-it"/>
        </w:rPr>
        <w:t xml:space="preserve"> (Caro Salutis Cardo. Contributi 29), Padova 2015.</w:t>
      </w:r>
    </w:p>
    <w:p>
      <w:pPr>
        <w:pStyle w:val="para14"/>
        <w:rPr>
          <w:lang w:val="it-it"/>
        </w:rPr>
      </w:pPr>
      <w:r>
        <w:rPr>
          <w:lang w:val="it-it"/>
        </w:rPr>
        <w:t xml:space="preserve">Terrin, Aldo Natale, «L‘ ‚io‘ e il ‚noi‘ nell‘esperienza del sacro», in: Roberto Tagliaferri und Aldo Natale Terrin (Hg.), </w:t>
      </w:r>
      <w:r>
        <w:rPr>
          <w:i/>
          <w:iCs/>
          <w:lang w:val="it-it"/>
        </w:rPr>
        <w:t>La pastoralità e la questione dell‘individuo nella liturgia</w:t>
      </w:r>
      <w:r>
        <w:rPr>
          <w:lang w:val="it-it"/>
        </w:rPr>
        <w:t xml:space="preserve"> (Caro Salutis Cardo. Contributi 30), Padova 2016, 171-200.</w:t>
      </w:r>
    </w:p>
    <w:p>
      <w:pPr>
        <w:pStyle w:val="para14"/>
        <w:rPr>
          <w:lang w:val="it-it"/>
        </w:rPr>
      </w:pPr>
      <w:r>
        <w:rPr>
          <w:lang w:val="it-it"/>
        </w:rPr>
        <w:t xml:space="preserve">Terrin, Aldo Natale, </w:t>
      </w:r>
      <w:r>
        <w:rPr>
          <w:i/>
          <w:iCs/>
          <w:lang w:val="it-it"/>
        </w:rPr>
        <w:t>Il Rito. Antropologia e fenomenologia della ritualità</w:t>
      </w:r>
      <w:r>
        <w:rPr>
          <w:lang w:val="it-it"/>
        </w:rPr>
        <w:t xml:space="preserve">, Brescia 1999. </w:t>
      </w:r>
    </w:p>
    <w:p>
      <w:pPr>
        <w:pStyle w:val="para14"/>
        <w:rPr>
          <w:lang w:val="it-it"/>
        </w:rPr>
      </w:pPr>
      <w:r>
        <w:rPr>
          <w:lang w:val="it-it"/>
        </w:rPr>
        <w:t xml:space="preserve">Terrin, Aldo Natale, </w:t>
      </w:r>
      <w:r>
        <w:rPr>
          <w:i/>
          <w:iCs/>
          <w:lang w:val="it-it"/>
        </w:rPr>
        <w:t>Leitourgia: dimensione fenomenologica e aspetti semiotici</w:t>
      </w:r>
      <w:r>
        <w:rPr>
          <w:lang w:val="it-it"/>
        </w:rPr>
        <w:t xml:space="preserve">, Brescia 1988. </w:t>
      </w:r>
    </w:p>
    <w:p>
      <w:pPr>
        <w:pStyle w:val="para14"/>
        <w:rPr>
          <w:lang w:val="en-us"/>
        </w:rPr>
      </w:pPr>
      <w:r>
        <w:rPr>
          <w:lang w:val="it-it"/>
        </w:rPr>
        <w:t xml:space="preserve">Triacca, Achille Maria, und Pistoia, Alessandro (Hg.), </w:t>
      </w:r>
      <w:r>
        <w:rPr>
          <w:i/>
          <w:iCs/>
          <w:lang w:val="it-it"/>
        </w:rPr>
        <w:t xml:space="preserve">Liturgie et anthropologie. </w:t>
      </w:r>
      <w:r>
        <w:rPr>
          <w:i/>
          <w:iCs/>
          <w:lang w:val="en-us"/>
        </w:rPr>
        <w:t>Conferences Saint-</w:t>
      </w:r>
      <w:r>
        <w:rPr>
          <w:i/>
          <w:iCs/>
          <w:lang w:val="en-us"/>
        </w:rPr>
        <w:t>Serge. 36. Semaine d‘études liturgiques. Paris, 27 – 30. juin 1989</w:t>
      </w:r>
      <w:r>
        <w:rPr>
          <w:lang w:val="en-us"/>
        </w:rPr>
        <w:t xml:space="preserve"> (Bibliotheca «Ephemerides Liturgicae» «Subsidia» 55), Roma 1990.</w:t>
      </w:r>
      <w:r>
        <w:rPr>
          <w:lang w:val="en-us"/>
        </w:rPr>
      </w:r>
    </w:p>
    <w:p>
      <w:pPr>
        <w:pStyle w:val="para14"/>
        <w:rPr>
          <w:lang w:val="it-it"/>
        </w:rPr>
      </w:pPr>
      <w:r>
        <w:rPr>
          <w:lang w:val="it-it"/>
        </w:rPr>
        <w:t xml:space="preserve">Valenziano, Crispino, </w:t>
      </w:r>
      <w:r>
        <w:rPr>
          <w:i/>
          <w:iCs/>
          <w:lang w:val="it-it"/>
        </w:rPr>
        <w:t>Liturgia e antropologia</w:t>
      </w:r>
      <w:r>
        <w:rPr>
          <w:lang w:val="it-it"/>
        </w:rPr>
        <w:t>, Bologna 1998.</w:t>
      </w:r>
    </w:p>
    <w:p>
      <w:pPr>
        <w:pStyle w:val="para1"/>
        <w:numPr>
          <w:ilvl w:val="0"/>
          <w:numId w:val="1"/>
        </w:numPr>
        <w:ind w:left="432" w:hanging="432"/>
      </w:pPr>
      <w:bookmarkStart w:id="96" w:name="_Toc283017379"/>
      <w:bookmarkEnd w:id="96"/>
      <w:r/>
      <w:bookmarkStart w:id="97" w:name="_Toc283038962"/>
      <w:bookmarkEnd w:id="97"/>
      <w:r/>
      <w:bookmarkStart w:id="98" w:name="_Toc283039054"/>
      <w:bookmarkEnd w:id="98"/>
      <w:r/>
      <w:bookmarkStart w:id="99" w:name="_Toc294158001"/>
      <w:bookmarkEnd w:id="99"/>
      <w:r/>
      <w:bookmarkStart w:id="100" w:name="_Toc283017187"/>
      <w:bookmarkEnd w:id="100"/>
      <w:r/>
      <w:bookmarkStart w:id="101" w:name="_Toc283017253"/>
      <w:bookmarkEnd w:id="101"/>
      <w:r>
        <w:t>Beantragte Module/Mittel</w:t>
      </w:r>
    </w:p>
    <w:p>
      <w:pPr>
        <w:tabs>
          <w:tab w:val="left" w:pos="450" w:leader="none"/>
        </w:tabs>
        <w:rPr>
          <w:i/>
          <w:sz w:val="18"/>
          <w:szCs w:val="18"/>
        </w:rPr>
      </w:pPr>
      <w:r>
        <w:rPr>
          <w:i/>
          <w:sz w:val="18"/>
          <w:szCs w:val="18"/>
        </w:rPr>
        <w:tab/>
        <w:t>Alle unten angegebenen beantragten Mittel werden beantragt für: P. Dr. Jürgen Riegel SAC, Trier.</w:t>
      </w:r>
    </w:p>
    <w:p>
      <w:pPr>
        <w:rPr>
          <w:sz w:val="24"/>
          <w:szCs w:val="28"/>
        </w:rPr>
      </w:pPr>
      <w:r>
        <w:rPr>
          <w:sz w:val="24"/>
          <w:szCs w:val="28"/>
        </w:rPr>
      </w:r>
    </w:p>
    <w:p>
      <w:pPr>
        <w:pStyle w:val="para2"/>
        <w:numPr>
          <w:ilvl w:val="1"/>
          <w:numId w:val="1"/>
        </w:numPr>
        <w:ind w:left="576" w:hanging="576"/>
      </w:pPr>
      <w:bookmarkStart w:id="102" w:name="_Toc283017380"/>
      <w:bookmarkEnd w:id="102"/>
      <w:r/>
      <w:bookmarkStart w:id="103" w:name="_Toc283038963"/>
      <w:bookmarkEnd w:id="103"/>
      <w:r/>
      <w:bookmarkStart w:id="104" w:name="_Toc283039055"/>
      <w:bookmarkEnd w:id="104"/>
      <w:r/>
      <w:bookmarkStart w:id="105" w:name="_Toc294158002"/>
      <w:bookmarkEnd w:id="105"/>
      <w:r/>
      <w:bookmarkStart w:id="106" w:name="_Toc283017188"/>
      <w:bookmarkEnd w:id="106"/>
      <w:r/>
      <w:bookmarkStart w:id="107" w:name="_Toc283017254"/>
      <w:bookmarkEnd w:id="107"/>
      <w:r>
        <w:t>Basismodul</w:t>
      </w:r>
    </w:p>
    <w:p>
      <w:pPr>
        <w:rPr>
          <w:szCs w:val="28"/>
        </w:rPr>
      </w:pPr>
      <w:r>
        <w:rPr>
          <w:szCs w:val="28"/>
        </w:rPr>
      </w:r>
    </w:p>
    <w:p>
      <w:pPr>
        <w:pStyle w:val="para3"/>
        <w:numPr>
          <w:ilvl w:val="2"/>
          <w:numId w:val="1"/>
        </w:numPr>
        <w:ind w:left="720" w:hanging="720"/>
      </w:pPr>
      <w:bookmarkStart w:id="108" w:name="_Toc283017381"/>
      <w:bookmarkEnd w:id="108"/>
      <w:r/>
      <w:bookmarkStart w:id="109" w:name="_Toc283038964"/>
      <w:bookmarkEnd w:id="109"/>
      <w:r/>
      <w:bookmarkStart w:id="110" w:name="_Toc283039056"/>
      <w:bookmarkEnd w:id="110"/>
      <w:r/>
      <w:bookmarkStart w:id="111" w:name="_Toc283017189"/>
      <w:bookmarkEnd w:id="111"/>
      <w:r/>
      <w:bookmarkStart w:id="112" w:name="_Toc283017255"/>
      <w:bookmarkEnd w:id="112"/>
      <w:r>
        <w:t>Personalmittel</w:t>
      </w:r>
    </w:p>
    <w:p>
      <w:pPr>
        <w:rPr>
          <w:szCs w:val="28"/>
        </w:rPr>
      </w:pPr>
      <w:r>
        <w:rPr>
          <w:szCs w:val="28"/>
        </w:rPr>
      </w:r>
    </w:p>
    <w:p>
      <w:pPr>
        <w:rPr>
          <w:szCs w:val="28"/>
        </w:rPr>
      </w:pPr>
      <w:r>
        <w:rPr>
          <w:szCs w:val="28"/>
        </w:rPr>
        <w:t xml:space="preserve">Im Rahmen des Basismoduls werden keine eigenen Personalmittel </w:t>
      </w:r>
      <w:commentRangeStart w:id="8"/>
      <w:r>
        <w:rPr>
          <w:szCs w:val="28"/>
        </w:rPr>
        <w:t>beantragt</w:t>
      </w:r>
      <w:commentRangeEnd w:id="8"/>
      <w:r>
        <w:commentReference w:id="8"/>
      </w:r>
      <w:r>
        <w:rPr>
          <w:szCs w:val="28"/>
        </w:rPr>
        <w:t>.</w:t>
      </w:r>
    </w:p>
    <w:p>
      <w:pPr>
        <w:rPr>
          <w:szCs w:val="28"/>
        </w:rPr>
      </w:pPr>
      <w:r>
        <w:rPr>
          <w:szCs w:val="28"/>
        </w:rPr>
      </w:r>
    </w:p>
    <w:p>
      <w:pPr>
        <w:pStyle w:val="para3"/>
        <w:numPr>
          <w:ilvl w:val="2"/>
          <w:numId w:val="1"/>
        </w:numPr>
        <w:ind w:left="720" w:hanging="720"/>
      </w:pPr>
      <w:bookmarkStart w:id="113" w:name="_Toc283017382"/>
      <w:bookmarkEnd w:id="113"/>
      <w:r/>
      <w:bookmarkStart w:id="114" w:name="_Toc283038965"/>
      <w:bookmarkEnd w:id="114"/>
      <w:r/>
      <w:bookmarkStart w:id="115" w:name="_Toc283039057"/>
      <w:bookmarkEnd w:id="115"/>
      <w:r/>
      <w:bookmarkStart w:id="116" w:name="_Toc283017190"/>
      <w:bookmarkEnd w:id="116"/>
      <w:r/>
      <w:bookmarkStart w:id="117" w:name="_Toc283017256"/>
      <w:bookmarkEnd w:id="117"/>
      <w:r>
        <w:t>Sachmittel</w:t>
      </w:r>
    </w:p>
    <w:p>
      <w:pPr>
        <w:pStyle w:val="para4"/>
        <w:numPr>
          <w:ilvl w:val="3"/>
          <w:numId w:val="1"/>
        </w:numPr>
        <w:ind w:left="864" w:hanging="864"/>
      </w:pPr>
      <w:bookmarkStart w:id="118" w:name="_Toc283017191"/>
      <w:bookmarkEnd w:id="118"/>
      <w:r/>
      <w:bookmarkStart w:id="119" w:name="_Toc283017257"/>
      <w:bookmarkEnd w:id="119"/>
      <w:r/>
      <w:bookmarkStart w:id="120" w:name="_Toc283017383"/>
      <w:bookmarkEnd w:id="120"/>
      <w:r/>
      <w:bookmarkStart w:id="121" w:name="_Toc283038966"/>
      <w:bookmarkEnd w:id="121"/>
      <w:r>
        <w:t>Geräte bis 10.000 Euro, Software und Verbrauchsmaterial</w:t>
      </w:r>
    </w:p>
    <w:p>
      <w:r>
        <w:t xml:space="preserve">N. </w:t>
      </w:r>
      <w:commentRangeStart w:id="9"/>
      <w:r>
        <w:t>z</w:t>
      </w:r>
      <w:commentRangeEnd w:id="9"/>
      <w:r>
        <w:commentReference w:id="9"/>
      </w:r>
      <w:r>
        <w:t>.</w:t>
      </w:r>
    </w:p>
    <w:p>
      <w:pPr>
        <w:pStyle w:val="para4"/>
        <w:numPr>
          <w:ilvl w:val="3"/>
          <w:numId w:val="1"/>
        </w:numPr>
        <w:ind w:left="864" w:hanging="864"/>
      </w:pPr>
      <w:bookmarkStart w:id="122" w:name="_Toc283017384"/>
      <w:bookmarkEnd w:id="122"/>
      <w:r/>
      <w:bookmarkStart w:id="123" w:name="_Toc283038967"/>
      <w:bookmarkEnd w:id="123"/>
      <w:r/>
      <w:bookmarkStart w:id="124" w:name="_Toc283017192"/>
      <w:bookmarkEnd w:id="124"/>
      <w:r/>
      <w:bookmarkStart w:id="125" w:name="_Toc283017258"/>
      <w:bookmarkEnd w:id="125"/>
      <w:commentRangeStart w:id="10"/>
      <w:r>
        <w:t>Reisemittel</w:t>
      </w:r>
      <w:commentRangeEnd w:id="10"/>
      <w:r>
        <w:commentReference w:id="10"/>
      </w:r>
    </w:p>
    <w:p>
      <w:r/>
    </w:p>
    <w:p>
      <w:r>
        <w:t>Für die Dauer des Projektes wird ein Reisekostenzuschuss für maximal 2 Aufenthalte von je ca. einer Woche im Kloster Maredsous (Belgien, Provinz Namur), dem Heimatkloster des Maurice Festugière, beantragt. Die Aufenthalte dienen der weiteren Beschaffung von Literatur, der Kontaktaufnahme mit den Mitgliedern des dortigen Benediktinerkonvents, die mit der Pflege des historischen Erbes der Abtei betraut sind, und der Konsultation des Abteiarchivs.</w:t>
      </w:r>
    </w:p>
    <w:p>
      <w:pPr>
        <w:pStyle w:val="para4"/>
        <w:numPr>
          <w:ilvl w:val="3"/>
          <w:numId w:val="1"/>
        </w:numPr>
        <w:ind w:left="864" w:hanging="864"/>
      </w:pPr>
      <w:bookmarkStart w:id="126" w:name="_Toc283017385"/>
      <w:bookmarkEnd w:id="126"/>
      <w:r/>
      <w:bookmarkStart w:id="127" w:name="_Toc283038968"/>
      <w:bookmarkEnd w:id="127"/>
      <w:r/>
      <w:bookmarkStart w:id="128" w:name="_Toc283017259"/>
      <w:bookmarkEnd w:id="128"/>
      <w:r/>
      <w:bookmarkStart w:id="129" w:name="_Toc283017193"/>
      <w:bookmarkEnd w:id="129"/>
      <w:r/>
      <w:r>
        <w:rPr>
          <w:szCs w:val="24"/>
        </w:rPr>
        <w:t>Mittel für wissenschaftliche Gäste</w:t>
      </w:r>
      <w:r>
        <w:rPr>
          <w:sz w:val="22"/>
        </w:rPr>
        <w:t xml:space="preserve"> </w:t>
      </w:r>
      <w:r>
        <w:rPr>
          <w:b w:val="0"/>
          <w:sz w:val="22"/>
        </w:rPr>
        <w:t>(ausgenommen Mercator-Fellow)</w:t>
      </w:r>
      <w:r/>
    </w:p>
    <w:p>
      <w:pPr>
        <w:rPr>
          <w:rFonts w:eastAsia="SimSun" w:cs="Arial" w:hint="eastAsia"/>
          <w:bCs/>
          <w:szCs w:val="28"/>
        </w:rPr>
      </w:pPr>
      <w:r>
        <w:rPr>
          <w:rFonts w:eastAsia="SimSun" w:cs="Arial"/>
          <w:bCs/>
          <w:szCs w:val="28"/>
        </w:rPr>
        <w:t>N. z.</w:t>
      </w:r>
      <w:r>
        <w:rPr>
          <w:rFonts w:eastAsia="SimSun" w:cs="Arial" w:hint="eastAsia"/>
          <w:bCs/>
          <w:szCs w:val="28"/>
        </w:rPr>
      </w:r>
    </w:p>
    <w:p>
      <w:pPr>
        <w:pStyle w:val="para4"/>
        <w:numPr>
          <w:ilvl w:val="3"/>
          <w:numId w:val="1"/>
        </w:numPr>
        <w:ind w:left="864" w:hanging="864"/>
      </w:pPr>
      <w:bookmarkStart w:id="130" w:name="_Toc283017194"/>
      <w:bookmarkEnd w:id="130"/>
      <w:r/>
      <w:bookmarkStart w:id="131" w:name="_Toc283038969"/>
      <w:bookmarkEnd w:id="131"/>
      <w:r/>
      <w:bookmarkStart w:id="132" w:name="_Toc283017386"/>
      <w:bookmarkEnd w:id="132"/>
      <w:r/>
      <w:bookmarkStart w:id="133" w:name="_Toc283017260"/>
      <w:bookmarkEnd w:id="133"/>
      <w:r>
        <w:t>Mittel für Versuchstiere</w:t>
      </w:r>
    </w:p>
    <w:p>
      <w:r>
        <w:t>N. z.</w:t>
      </w:r>
    </w:p>
    <w:p>
      <w:pPr>
        <w:pStyle w:val="para4"/>
        <w:numPr>
          <w:ilvl w:val="3"/>
          <w:numId w:val="1"/>
        </w:numPr>
        <w:ind w:left="864" w:hanging="864"/>
      </w:pPr>
      <w:bookmarkStart w:id="134" w:name="_Toc283017195"/>
      <w:bookmarkEnd w:id="134"/>
      <w:r/>
      <w:bookmarkStart w:id="135" w:name="_Toc283038970"/>
      <w:bookmarkEnd w:id="135"/>
      <w:r/>
      <w:bookmarkStart w:id="136" w:name="_Toc283017387"/>
      <w:bookmarkEnd w:id="136"/>
      <w:r/>
      <w:bookmarkStart w:id="137" w:name="_Toc283017261"/>
      <w:bookmarkEnd w:id="137"/>
      <w:r>
        <w:t>Sonstige Mittel</w:t>
      </w:r>
    </w:p>
    <w:p>
      <w:r>
        <w:t>N. z.</w:t>
      </w:r>
    </w:p>
    <w:p>
      <w:pPr>
        <w:pStyle w:val="para4"/>
        <w:numPr>
          <w:ilvl w:val="3"/>
          <w:numId w:val="1"/>
        </w:numPr>
        <w:ind w:left="864" w:hanging="864"/>
      </w:pPr>
      <w:bookmarkStart w:id="138" w:name="_Toc283017196"/>
      <w:bookmarkEnd w:id="138"/>
      <w:r/>
      <w:bookmarkStart w:id="139" w:name="_Toc283038971"/>
      <w:bookmarkEnd w:id="139"/>
      <w:r/>
      <w:bookmarkStart w:id="140" w:name="_Toc283017388"/>
      <w:bookmarkEnd w:id="140"/>
      <w:r/>
      <w:bookmarkStart w:id="141" w:name="_Toc283017262"/>
      <w:bookmarkEnd w:id="141"/>
      <w:r>
        <w:t>Publikationsmittel</w:t>
      </w:r>
    </w:p>
    <w:p>
      <w:r/>
    </w:p>
    <w:p>
      <w:r>
        <w:t>Als Zuschuss zu den Kosten für die Veröffentlichung werden für jedes der drei projektierten</w:t>
      </w:r>
    </w:p>
    <w:p>
      <w:r>
        <w:t>Jahre 750,- € beantragt. Da die Publikation der Forschungsergebnisse in Buchform erfolgt,</w:t>
      </w:r>
    </w:p>
    <w:p>
      <w:r>
        <w:t>werden die Mittel bis zum Projektende angespart.</w:t>
      </w:r>
    </w:p>
    <w:p>
      <w:pPr>
        <w:rPr>
          <w:szCs w:val="28"/>
        </w:rPr>
      </w:pPr>
      <w:r>
        <w:rPr>
          <w:szCs w:val="28"/>
        </w:rPr>
      </w:r>
    </w:p>
    <w:p>
      <w:pPr>
        <w:pStyle w:val="para3"/>
        <w:numPr>
          <w:ilvl w:val="2"/>
          <w:numId w:val="1"/>
        </w:numPr>
        <w:ind w:left="720" w:hanging="720"/>
      </w:pPr>
      <w:bookmarkStart w:id="142" w:name="_Toc283017389"/>
      <w:bookmarkEnd w:id="142"/>
      <w:r/>
      <w:bookmarkStart w:id="143" w:name="_Toc283038972"/>
      <w:bookmarkEnd w:id="143"/>
      <w:r/>
      <w:bookmarkStart w:id="144" w:name="_Toc283039058"/>
      <w:bookmarkEnd w:id="144"/>
      <w:r/>
      <w:bookmarkStart w:id="145" w:name="_Toc283017197"/>
      <w:bookmarkEnd w:id="145"/>
      <w:r/>
      <w:bookmarkStart w:id="146" w:name="_Toc283017263"/>
      <w:bookmarkEnd w:id="146"/>
      <w:r>
        <w:t>Investitionsmittel</w:t>
      </w:r>
    </w:p>
    <w:p>
      <w:pPr>
        <w:pStyle w:val="para4"/>
        <w:numPr>
          <w:ilvl w:val="3"/>
          <w:numId w:val="1"/>
        </w:numPr>
        <w:ind w:left="864" w:hanging="864"/>
      </w:pPr>
      <w:r>
        <w:t>Geräte über 10.000 Euro</w:t>
      </w:r>
    </w:p>
    <w:p>
      <w:r>
        <w:t>N. z.</w:t>
      </w:r>
    </w:p>
    <w:p>
      <w:pPr>
        <w:pStyle w:val="para4"/>
        <w:numPr>
          <w:ilvl w:val="3"/>
          <w:numId w:val="1"/>
        </w:numPr>
        <w:ind w:left="864" w:hanging="864"/>
      </w:pPr>
      <w:r>
        <w:t>Großgeräte über 50.000 Euro</w:t>
      </w:r>
    </w:p>
    <w:p>
      <w:r>
        <w:t>N. z.</w:t>
      </w:r>
    </w:p>
    <w:p>
      <w:pPr>
        <w:rPr>
          <w:szCs w:val="28"/>
        </w:rPr>
      </w:pPr>
      <w:r>
        <w:rPr>
          <w:szCs w:val="28"/>
        </w:rPr>
      </w:r>
    </w:p>
    <w:p>
      <w:pPr>
        <w:pStyle w:val="para2"/>
        <w:numPr>
          <w:ilvl w:val="1"/>
          <w:numId w:val="1"/>
        </w:numPr>
        <w:ind w:left="576" w:hanging="576"/>
      </w:pPr>
      <w:bookmarkStart w:id="147" w:name="_Toc283017390"/>
      <w:bookmarkEnd w:id="147"/>
      <w:r/>
      <w:bookmarkStart w:id="148" w:name="_Toc283039059"/>
      <w:bookmarkEnd w:id="148"/>
      <w:r/>
      <w:bookmarkStart w:id="149" w:name="_Toc294158003"/>
      <w:bookmarkEnd w:id="149"/>
      <w:r/>
      <w:bookmarkStart w:id="150" w:name="_Toc283017198"/>
      <w:bookmarkEnd w:id="150"/>
      <w:r/>
      <w:bookmarkStart w:id="151" w:name="_Toc283017264"/>
      <w:bookmarkEnd w:id="151"/>
      <w:r/>
      <w:bookmarkStart w:id="152" w:name="_Toc283038973"/>
      <w:bookmarkEnd w:id="152"/>
      <w:r>
        <w:t>Modul Eigene Stelle</w:t>
      </w:r>
    </w:p>
    <w:p>
      <w:r/>
    </w:p>
    <w:p>
      <w:r>
        <w:t>Zur Durchführung des Projektes wird beantragt, für den Antragsteller selbst an der Theologischen  Fakultät Trier für die Laufzeit des Projektes eine eigene Stelle in Vollzeit zu installieren. Es gelten hierbei die Personalmittelsätze für Postdoktoranden. Die Erklärung der Theologischen Fakultät Trier als aufnehmende Institution liegt diesem Antrag bei.</w:t>
      </w:r>
    </w:p>
    <w:p>
      <w:pPr>
        <w:rPr>
          <w:szCs w:val="28"/>
        </w:rPr>
      </w:pPr>
      <w:r>
        <w:rPr>
          <w:szCs w:val="28"/>
        </w:rPr>
      </w:r>
    </w:p>
    <w:p>
      <w:pPr>
        <w:pStyle w:val="para2"/>
        <w:numPr>
          <w:ilvl w:val="1"/>
          <w:numId w:val="1"/>
        </w:numPr>
        <w:ind w:left="576" w:hanging="576"/>
      </w:pPr>
      <w:bookmarkStart w:id="153" w:name="_Toc283039060"/>
      <w:bookmarkEnd w:id="153"/>
      <w:r/>
      <w:bookmarkStart w:id="154" w:name="_Toc294158004"/>
      <w:bookmarkEnd w:id="154"/>
      <w:r/>
      <w:bookmarkStart w:id="155" w:name="_Toc283017199"/>
      <w:bookmarkEnd w:id="155"/>
      <w:r/>
      <w:bookmarkStart w:id="156" w:name="_Toc283017265"/>
      <w:bookmarkEnd w:id="156"/>
      <w:r/>
      <w:bookmarkStart w:id="157" w:name="_Toc283017391"/>
      <w:bookmarkEnd w:id="157"/>
      <w:r/>
      <w:bookmarkStart w:id="158" w:name="_Toc283038974"/>
      <w:bookmarkEnd w:id="158"/>
      <w:r>
        <w:t>Modul Vertretung</w:t>
      </w:r>
    </w:p>
    <w:p>
      <w:r>
        <w:t>N. z.</w:t>
      </w:r>
    </w:p>
    <w:p>
      <w:r/>
    </w:p>
    <w:p>
      <w:pPr>
        <w:pStyle w:val="para2"/>
        <w:numPr>
          <w:ilvl w:val="1"/>
          <w:numId w:val="1"/>
        </w:numPr>
        <w:ind w:left="576" w:hanging="576"/>
      </w:pPr>
      <w:bookmarkStart w:id="159" w:name="_Toc283017266"/>
      <w:bookmarkEnd w:id="159"/>
      <w:r/>
      <w:bookmarkStart w:id="160" w:name="_Toc294158005"/>
      <w:bookmarkEnd w:id="160"/>
      <w:r/>
      <w:bookmarkStart w:id="161" w:name="_Toc283039061"/>
      <w:bookmarkEnd w:id="161"/>
      <w:r/>
      <w:bookmarkStart w:id="162" w:name="_Toc283017392"/>
      <w:bookmarkEnd w:id="162"/>
      <w:r/>
      <w:bookmarkStart w:id="163" w:name="_Toc283038975"/>
      <w:bookmarkEnd w:id="163"/>
      <w:r/>
      <w:bookmarkStart w:id="164" w:name="_Toc283017200"/>
      <w:bookmarkEnd w:id="164"/>
      <w:r>
        <w:t>Modul Rotationsstellen</w:t>
      </w:r>
    </w:p>
    <w:p>
      <w:r>
        <w:t>N. z.</w:t>
      </w:r>
    </w:p>
    <w:p>
      <w:r/>
    </w:p>
    <w:p>
      <w:pPr>
        <w:pStyle w:val="para2"/>
        <w:numPr>
          <w:ilvl w:val="1"/>
          <w:numId w:val="1"/>
        </w:numPr>
        <w:ind w:left="576" w:hanging="576"/>
      </w:pPr>
      <w:r>
        <w:t>Modul Mercator Fellow</w:t>
      </w:r>
    </w:p>
    <w:p>
      <w:r>
        <w:t>N. z.</w:t>
      </w:r>
    </w:p>
    <w:p>
      <w:r/>
    </w:p>
    <w:p>
      <w:pPr>
        <w:pStyle w:val="para2"/>
        <w:numPr>
          <w:ilvl w:val="1"/>
          <w:numId w:val="1"/>
        </w:numPr>
        <w:ind w:left="576" w:hanging="576"/>
      </w:pPr>
      <w:bookmarkStart w:id="165" w:name="_Toc283017202"/>
      <w:bookmarkEnd w:id="165"/>
      <w:r/>
      <w:bookmarkStart w:id="166" w:name="_Toc294158007"/>
      <w:bookmarkEnd w:id="166"/>
      <w:r/>
      <w:bookmarkStart w:id="167" w:name="_Toc283039063"/>
      <w:bookmarkEnd w:id="167"/>
      <w:r/>
      <w:bookmarkStart w:id="168" w:name="_Toc283038977"/>
      <w:bookmarkEnd w:id="168"/>
      <w:r/>
      <w:bookmarkStart w:id="169" w:name="_Toc283017394"/>
      <w:bookmarkEnd w:id="169"/>
      <w:r/>
      <w:bookmarkStart w:id="170" w:name="_Toc283017268"/>
      <w:bookmarkEnd w:id="170"/>
      <w:r>
        <w:t>Modul Projektspezifische Workshops</w:t>
      </w:r>
    </w:p>
    <w:p>
      <w:r>
        <w:t>N. z.</w:t>
      </w:r>
    </w:p>
    <w:p>
      <w:r/>
    </w:p>
    <w:p>
      <w:pPr>
        <w:pStyle w:val="para2"/>
        <w:numPr>
          <w:ilvl w:val="1"/>
          <w:numId w:val="1"/>
        </w:numPr>
        <w:ind w:left="576" w:hanging="576"/>
      </w:pPr>
      <w:bookmarkStart w:id="171" w:name="_Toc283017393"/>
      <w:bookmarkEnd w:id="171"/>
      <w:r/>
      <w:bookmarkStart w:id="172" w:name="_Toc283038976"/>
      <w:bookmarkEnd w:id="172"/>
      <w:r/>
      <w:bookmarkStart w:id="173" w:name="_Toc283039062"/>
      <w:bookmarkEnd w:id="173"/>
      <w:r/>
      <w:bookmarkStart w:id="174" w:name="_Toc294158006"/>
      <w:bookmarkEnd w:id="174"/>
      <w:r/>
      <w:bookmarkStart w:id="175" w:name="_Toc283017201"/>
      <w:bookmarkEnd w:id="175"/>
      <w:r/>
      <w:bookmarkStart w:id="176" w:name="_Toc283017267"/>
      <w:bookmarkEnd w:id="176"/>
      <w:r>
        <w:t>Modul Öffentlichkeitsarbeit</w:t>
      </w:r>
    </w:p>
    <w:p>
      <w:pPr>
        <w:rPr>
          <w:szCs w:val="28"/>
        </w:rPr>
      </w:pPr>
      <w:r>
        <w:rPr>
          <w:szCs w:val="28"/>
        </w:rPr>
        <w:t>N. z.</w:t>
      </w:r>
    </w:p>
    <w:p>
      <w:pPr>
        <w:rPr>
          <w:szCs w:val="28"/>
        </w:rPr>
      </w:pPr>
      <w:r>
        <w:rPr>
          <w:szCs w:val="28"/>
        </w:rPr>
      </w:r>
    </w:p>
    <w:p>
      <w:pPr>
        <w:pStyle w:val="para1"/>
        <w:numPr>
          <w:ilvl w:val="0"/>
          <w:numId w:val="1"/>
        </w:numPr>
        <w:ind w:left="432" w:hanging="432"/>
      </w:pPr>
      <w:r>
        <w:t xml:space="preserve">  </w:t>
      </w:r>
      <w:bookmarkStart w:id="177" w:name="_Toc283017395"/>
      <w:bookmarkEnd w:id="177"/>
      <w:r/>
      <w:bookmarkStart w:id="178" w:name="_Toc283038978"/>
      <w:bookmarkEnd w:id="178"/>
      <w:r/>
      <w:bookmarkStart w:id="179" w:name="_Toc283039064"/>
      <w:bookmarkEnd w:id="179"/>
      <w:r/>
      <w:bookmarkStart w:id="180" w:name="_Toc294158008"/>
      <w:bookmarkEnd w:id="180"/>
      <w:r/>
      <w:bookmarkStart w:id="181" w:name="_Toc283017203"/>
      <w:bookmarkEnd w:id="181"/>
      <w:r/>
      <w:bookmarkStart w:id="182" w:name="_Toc283017269"/>
      <w:bookmarkEnd w:id="182"/>
      <w:r>
        <w:t>Voraussetzungen für die Durchführung des Vorhabens</w:t>
      </w:r>
    </w:p>
    <w:p>
      <w:r/>
    </w:p>
    <w:p>
      <w:pPr>
        <w:pStyle w:val="para2"/>
        <w:numPr>
          <w:ilvl w:val="1"/>
          <w:numId w:val="1"/>
        </w:numPr>
        <w:ind w:left="576" w:hanging="576"/>
      </w:pPr>
      <w:bookmarkStart w:id="183" w:name="_Toc283017396"/>
      <w:bookmarkEnd w:id="183"/>
      <w:r/>
      <w:bookmarkStart w:id="184" w:name="_Toc283038979"/>
      <w:bookmarkEnd w:id="184"/>
      <w:r/>
      <w:bookmarkStart w:id="185" w:name="_Toc283039065"/>
      <w:bookmarkEnd w:id="185"/>
      <w:r/>
      <w:bookmarkStart w:id="186" w:name="_Toc294158009"/>
      <w:bookmarkEnd w:id="186"/>
      <w:r/>
      <w:bookmarkStart w:id="187" w:name="_Toc283017204"/>
      <w:bookmarkEnd w:id="187"/>
      <w:r/>
      <w:bookmarkStart w:id="188" w:name="_Toc283017270"/>
      <w:bookmarkEnd w:id="188"/>
      <w:r>
        <w:t>Angaben zur Dienststellung</w:t>
      </w:r>
    </w:p>
    <w:p>
      <w:pPr>
        <w:tabs>
          <w:tab w:val="left" w:pos="563" w:leader="none"/>
        </w:tabs>
        <w:rPr>
          <w:i/>
          <w:sz w:val="18"/>
          <w:szCs w:val="18"/>
        </w:rPr>
      </w:pPr>
      <w:r>
        <w:rPr>
          <w:i/>
          <w:sz w:val="18"/>
          <w:szCs w:val="18"/>
        </w:rPr>
        <w:t xml:space="preserve"> </w:t>
        <w:tab/>
        <w:t xml:space="preserve">Für jede Antragstellerin und jeden Antragsteller, unter Angabe von Name, Vorname, Dienststellung (bei befristetem </w:t>
        <w:tab/>
        <w:t>Arbeitsvertrag Angaben zur Laufzeit und ggf. zum Zuwendungsgeber)</w:t>
      </w:r>
    </w:p>
    <w:p>
      <w:pPr>
        <w:rPr>
          <w:b/>
          <w:i/>
          <w:sz w:val="18"/>
          <w:szCs w:val="18"/>
        </w:rPr>
      </w:pPr>
      <w:r>
        <w:rPr>
          <w:b/>
          <w:i/>
          <w:sz w:val="18"/>
          <w:szCs w:val="18"/>
        </w:rPr>
      </w:r>
    </w:p>
    <w:p>
      <w:r>
        <w:t>Der Antragsteller, P. Dr. Riegel SAC, ist zum gegebenen Zeitpunkt (seit 01.10.2018) als wissenschaftlicher Mitarbeiter beim Deutschen Liturgischen Institut (Weberbach 72a, 54290 Trier) beschäftigt. Das Arbeitsverhältnis ist unbefristet auf geringfügiger Beschäftigungsbasis.</w:t>
      </w:r>
    </w:p>
    <w:p>
      <w:pPr>
        <w:rPr>
          <w:b/>
          <w:szCs w:val="28"/>
        </w:rPr>
      </w:pPr>
      <w:r>
        <w:rPr>
          <w:b/>
          <w:szCs w:val="28"/>
        </w:rPr>
        <w:t xml:space="preserve"> </w:t>
      </w:r>
    </w:p>
    <w:p>
      <w:pPr>
        <w:pStyle w:val="para2"/>
        <w:numPr>
          <w:ilvl w:val="1"/>
          <w:numId w:val="1"/>
        </w:numPr>
        <w:ind w:left="576" w:hanging="576"/>
      </w:pPr>
      <w:bookmarkStart w:id="189" w:name="_Toc283017397"/>
      <w:bookmarkEnd w:id="189"/>
      <w:r/>
      <w:bookmarkStart w:id="190" w:name="_Toc283038980"/>
      <w:bookmarkEnd w:id="190"/>
      <w:r/>
      <w:bookmarkStart w:id="191" w:name="_Toc283039066"/>
      <w:bookmarkEnd w:id="191"/>
      <w:r/>
      <w:bookmarkStart w:id="192" w:name="_Toc294158010"/>
      <w:bookmarkEnd w:id="192"/>
      <w:r/>
      <w:bookmarkStart w:id="193" w:name="_Toc283017205"/>
      <w:bookmarkEnd w:id="193"/>
      <w:r/>
      <w:bookmarkStart w:id="194" w:name="_Toc283017271"/>
      <w:bookmarkEnd w:id="194"/>
      <w:r>
        <w:t>Angaben zur Erstantragstellung</w:t>
      </w:r>
    </w:p>
    <w:p>
      <w:pPr>
        <w:tabs>
          <w:tab w:val="left" w:pos="563" w:leader="none"/>
        </w:tabs>
        <w:rPr>
          <w:i/>
          <w:sz w:val="18"/>
          <w:szCs w:val="18"/>
        </w:rPr>
      </w:pPr>
      <w:r>
        <w:rPr>
          <w:i/>
          <w:sz w:val="18"/>
          <w:szCs w:val="18"/>
        </w:rPr>
        <w:tab/>
        <w:t xml:space="preserve">Nur angeben, falls zutreffend: Name, Vorname der Erstantragstellerin und/oder des Erstantragstellers </w:t>
      </w:r>
    </w:p>
    <w:p>
      <w:pPr>
        <w:rPr>
          <w:i/>
          <w:sz w:val="18"/>
          <w:szCs w:val="18"/>
        </w:rPr>
      </w:pPr>
      <w:r>
        <w:rPr>
          <w:i/>
          <w:sz w:val="18"/>
          <w:szCs w:val="18"/>
        </w:rPr>
      </w:r>
    </w:p>
    <w:p>
      <w:r>
        <w:t xml:space="preserve">P. Dr. Riegel SAC, Jürgen, ist für dieses Projekt der Erstantragsteller. </w:t>
      </w:r>
    </w:p>
    <w:p>
      <w:pPr>
        <w:rPr>
          <w:i/>
          <w:sz w:val="18"/>
          <w:szCs w:val="18"/>
        </w:rPr>
      </w:pPr>
      <w:r>
        <w:rPr>
          <w:i/>
          <w:sz w:val="18"/>
          <w:szCs w:val="18"/>
        </w:rPr>
      </w:r>
    </w:p>
    <w:p>
      <w:pPr>
        <w:pStyle w:val="para2"/>
        <w:numPr>
          <w:ilvl w:val="1"/>
          <w:numId w:val="1"/>
        </w:numPr>
        <w:ind w:left="576" w:hanging="576"/>
      </w:pPr>
      <w:bookmarkStart w:id="195" w:name="_Toc283017398"/>
      <w:bookmarkEnd w:id="195"/>
      <w:r/>
      <w:bookmarkStart w:id="196" w:name="_Toc283038981"/>
      <w:bookmarkEnd w:id="196"/>
      <w:r/>
      <w:bookmarkStart w:id="197" w:name="_Toc283039067"/>
      <w:bookmarkEnd w:id="197"/>
      <w:r/>
      <w:bookmarkStart w:id="198" w:name="_Toc294158011"/>
      <w:bookmarkEnd w:id="198"/>
      <w:r/>
      <w:bookmarkStart w:id="199" w:name="_Toc283017206"/>
      <w:bookmarkEnd w:id="199"/>
      <w:r/>
      <w:bookmarkStart w:id="200" w:name="_Toc283017272"/>
      <w:bookmarkEnd w:id="200"/>
      <w:r>
        <w:t>Zusammensetzung der Projektarbeitsgruppe</w:t>
      </w:r>
    </w:p>
    <w:p>
      <w:pPr>
        <w:tabs>
          <w:tab w:val="left" w:pos="563" w:leader="none"/>
        </w:tabs>
        <w:rPr>
          <w:i/>
          <w:sz w:val="18"/>
          <w:szCs w:val="18"/>
        </w:rPr>
      </w:pPr>
      <w:r>
        <w:rPr>
          <w:i/>
          <w:sz w:val="18"/>
          <w:szCs w:val="18"/>
        </w:rPr>
        <w:tab/>
        <w:t xml:space="preserve">Angabe nur der Personen, die im Projekt mitarbeiten, aber nicht aus diesem finanziert werden, mit Name, </w:t>
        <w:tab/>
        <w:t>akademischem Grad, Dienststellung und Art der Finanzierung</w:t>
      </w:r>
    </w:p>
    <w:p>
      <w:pPr>
        <w:rPr>
          <w:i/>
          <w:sz w:val="18"/>
          <w:szCs w:val="18"/>
        </w:rPr>
      </w:pPr>
      <w:r>
        <w:rPr>
          <w:i/>
          <w:sz w:val="18"/>
          <w:szCs w:val="18"/>
        </w:rPr>
      </w:r>
    </w:p>
    <w:p>
      <w:r>
        <w:t>N. z.</w:t>
      </w:r>
    </w:p>
    <w:p>
      <w:pPr>
        <w:rPr>
          <w:i/>
          <w:sz w:val="18"/>
          <w:szCs w:val="18"/>
        </w:rPr>
      </w:pPr>
      <w:r>
        <w:rPr>
          <w:i/>
          <w:sz w:val="18"/>
          <w:szCs w:val="18"/>
        </w:rPr>
      </w:r>
    </w:p>
    <w:p>
      <w:pPr>
        <w:pStyle w:val="para2"/>
        <w:numPr>
          <w:ilvl w:val="1"/>
          <w:numId w:val="1"/>
        </w:numPr>
        <w:ind w:left="576" w:hanging="576"/>
      </w:pPr>
      <w:bookmarkStart w:id="201" w:name="_Toc283017399"/>
      <w:bookmarkEnd w:id="201"/>
      <w:r/>
      <w:bookmarkStart w:id="202" w:name="_Toc283038982"/>
      <w:bookmarkEnd w:id="202"/>
      <w:r/>
      <w:bookmarkStart w:id="203" w:name="_Toc283039068"/>
      <w:bookmarkEnd w:id="203"/>
      <w:r/>
      <w:bookmarkStart w:id="204" w:name="_Toc294158012"/>
      <w:bookmarkEnd w:id="204"/>
      <w:r/>
      <w:bookmarkStart w:id="205" w:name="_Toc283017207"/>
      <w:bookmarkEnd w:id="205"/>
      <w:r/>
      <w:bookmarkStart w:id="206" w:name="_Toc283017273"/>
      <w:bookmarkEnd w:id="206"/>
      <w:r>
        <w:t>Zusammenarbeit mit anderen Wissenschaftlerinnen und Wissenschaftlern</w:t>
      </w:r>
    </w:p>
    <w:p>
      <w:pPr>
        <w:rPr>
          <w:szCs w:val="28"/>
        </w:rPr>
      </w:pPr>
      <w:r>
        <w:rPr>
          <w:szCs w:val="28"/>
        </w:rPr>
      </w:r>
    </w:p>
    <w:p>
      <w:pPr>
        <w:pStyle w:val="para3"/>
        <w:numPr>
          <w:ilvl w:val="2"/>
          <w:numId w:val="1"/>
        </w:numPr>
        <w:ind w:left="720" w:hanging="720"/>
      </w:pPr>
      <w:bookmarkStart w:id="207" w:name="_Toc283017400"/>
      <w:bookmarkEnd w:id="207"/>
      <w:r/>
      <w:bookmarkStart w:id="208" w:name="_Toc283017274"/>
      <w:bookmarkEnd w:id="208"/>
      <w:r/>
      <w:bookmarkStart w:id="209" w:name="_Toc283017208"/>
      <w:bookmarkEnd w:id="209"/>
      <w:r/>
      <w:bookmarkStart w:id="210" w:name="_Toc283039069"/>
      <w:bookmarkEnd w:id="210"/>
      <w:r/>
      <w:bookmarkStart w:id="211" w:name="_Toc283038983"/>
      <w:bookmarkEnd w:id="211"/>
      <w:r>
        <w:t>Wissenschaftlerinnen und Wissenschaftler, mit denen für dieses Vorhaben eine konkrete Vereinbarung zur Zusammenarbeit besteht.</w:t>
      </w:r>
    </w:p>
    <w:p>
      <w:r/>
    </w:p>
    <w:p>
      <w:r>
        <w:t>N. z.</w:t>
      </w:r>
    </w:p>
    <w:p>
      <w:r/>
    </w:p>
    <w:p>
      <w:pPr>
        <w:pStyle w:val="para3"/>
        <w:numPr>
          <w:ilvl w:val="2"/>
          <w:numId w:val="1"/>
        </w:numPr>
        <w:ind w:left="720" w:hanging="720"/>
      </w:pPr>
      <w:bookmarkStart w:id="212" w:name="_Toc283017401"/>
      <w:bookmarkEnd w:id="212"/>
      <w:r/>
      <w:bookmarkStart w:id="213" w:name="_Toc283017275"/>
      <w:bookmarkEnd w:id="213"/>
      <w:r/>
      <w:bookmarkStart w:id="214" w:name="_Toc283017209"/>
      <w:bookmarkEnd w:id="214"/>
      <w:r/>
      <w:bookmarkStart w:id="215" w:name="_Toc283039070"/>
      <w:bookmarkEnd w:id="215"/>
      <w:r/>
      <w:bookmarkStart w:id="216" w:name="_Toc283038984"/>
      <w:bookmarkEnd w:id="216"/>
      <w:r>
        <w:t xml:space="preserve">Wissenschaftlerinnen und Wissenschaftler, mit denen in den letzten drei Jahren </w:t>
      </w:r>
      <w:commentRangeStart w:id="11"/>
      <w:r>
        <w:t>wissenschaftlich</w:t>
      </w:r>
      <w:commentRangeEnd w:id="11"/>
      <w:r>
        <w:commentReference w:id="11"/>
      </w:r>
      <w:r>
        <w:t xml:space="preserve"> zusammengearbeitet wurde.</w:t>
      </w:r>
    </w:p>
    <w:p>
      <w:r/>
    </w:p>
    <w:p>
      <w:r>
        <w:t>In der Eigenschaft des wissenschaftlichen Assistenten am Lehrstuhl für Liturgiewissenschaft der Theologischen Fakultät Trier bestand in den letzten Jahren eine enge Zusammenarbeit des Antragstellers mit Prof. Dr. Klaus Peter Dannecker. Im Zuge der wachsenden Zusammenarbeit zwischen der Theologischen Fakultät Trier und der Theologischen Fakultät der Philosophisch-Theologischen Hochschule Vallendar wurden jeweils zwei Mal pro Semester Kolloquien von Promovenden und Habilitanden der Lehrstühle für Liturgiewissenschaft beider Fakultäten durchgeführt. Somit hat sich auch eine kollegiale und erfreuliche Zusammenarbeit mit Herrn Prof. Dr. Andreas Redtenbacher in den letzten Jahren etabliert.</w:t>
      </w:r>
    </w:p>
    <w:p>
      <w:r/>
    </w:p>
    <w:p>
      <w:pPr>
        <w:pStyle w:val="para2"/>
        <w:numPr>
          <w:ilvl w:val="1"/>
          <w:numId w:val="1"/>
        </w:numPr>
        <w:ind w:left="576" w:hanging="576"/>
      </w:pPr>
      <w:bookmarkStart w:id="217" w:name="_Toc283017402"/>
      <w:bookmarkEnd w:id="217"/>
      <w:r/>
      <w:bookmarkStart w:id="218" w:name="_Toc283038985"/>
      <w:bookmarkEnd w:id="218"/>
      <w:r/>
      <w:bookmarkStart w:id="219" w:name="_Toc283039071"/>
      <w:bookmarkEnd w:id="219"/>
      <w:r/>
      <w:bookmarkStart w:id="220" w:name="_Toc294158013"/>
      <w:bookmarkEnd w:id="220"/>
      <w:r/>
      <w:bookmarkStart w:id="221" w:name="_Toc283017210"/>
      <w:bookmarkEnd w:id="221"/>
      <w:r/>
      <w:bookmarkStart w:id="222" w:name="_Toc283017276"/>
      <w:bookmarkEnd w:id="222"/>
      <w:r>
        <w:t>Apparative Ausstattung</w:t>
      </w:r>
    </w:p>
    <w:p>
      <w:pPr>
        <w:tabs>
          <w:tab w:val="left" w:pos="563" w:leader="none"/>
        </w:tabs>
        <w:rPr>
          <w:sz w:val="18"/>
          <w:szCs w:val="18"/>
        </w:rPr>
      </w:pPr>
      <w:r>
        <w:rPr>
          <w:i/>
          <w:sz w:val="18"/>
          <w:szCs w:val="18"/>
        </w:rPr>
        <w:tab/>
        <w:t xml:space="preserve">Angaben zu den für das Projekt zur Verfügung stehenden größeren Geräten (ggf. auch Großrechenanlagen, wenn </w:t>
        <w:tab/>
        <w:t>Rechenleistung benötigt wird)</w:t>
      </w:r>
      <w:r>
        <w:rPr>
          <w:sz w:val="18"/>
          <w:szCs w:val="18"/>
        </w:rPr>
      </w:r>
    </w:p>
    <w:p>
      <w:r/>
    </w:p>
    <w:p>
      <w:r>
        <w:t>N. z.</w:t>
      </w:r>
    </w:p>
    <w:p>
      <w:r/>
    </w:p>
    <w:p>
      <w:pPr>
        <w:pStyle w:val="para2"/>
        <w:numPr>
          <w:ilvl w:val="1"/>
          <w:numId w:val="1"/>
        </w:numPr>
        <w:ind w:left="576" w:hanging="576"/>
      </w:pPr>
      <w:r>
        <w:t>Projektrelevante Zusammenarbeit mit erwerbswirtschaftlichen Unternehmen</w:t>
      </w:r>
    </w:p>
    <w:p>
      <w:pPr>
        <w:tabs>
          <w:tab w:val="left" w:pos="563" w:leader="none"/>
        </w:tabs>
        <w:rPr>
          <w:i/>
          <w:sz w:val="18"/>
          <w:szCs w:val="18"/>
        </w:rPr>
      </w:pPr>
      <w:r>
        <w:rPr>
          <w:i/>
          <w:sz w:val="18"/>
          <w:szCs w:val="18"/>
        </w:rPr>
        <w:tab/>
        <w:t xml:space="preserve">Falls dies der Fall ist, beachten Sie bitte die beihilferechtlichen Vorgaben der EU. Setzen Sie sich ggf. hierzu mit </w:t>
        <w:tab/>
        <w:t>Ihrer Forschungseinrichtung in Verbindung.</w:t>
      </w:r>
    </w:p>
    <w:p>
      <w:pPr>
        <w:rPr>
          <w:i/>
          <w:sz w:val="18"/>
          <w:szCs w:val="18"/>
        </w:rPr>
      </w:pPr>
      <w:r>
        <w:rPr>
          <w:i/>
          <w:sz w:val="18"/>
          <w:szCs w:val="18"/>
        </w:rPr>
      </w:r>
    </w:p>
    <w:p>
      <w:r>
        <w:t>N. z.</w:t>
      </w:r>
    </w:p>
    <w:p>
      <w:pPr>
        <w:rPr>
          <w:i/>
          <w:sz w:val="18"/>
          <w:szCs w:val="18"/>
        </w:rPr>
      </w:pPr>
      <w:r>
        <w:rPr>
          <w:i/>
          <w:sz w:val="18"/>
          <w:szCs w:val="18"/>
        </w:rPr>
      </w:r>
    </w:p>
    <w:p>
      <w:pPr>
        <w:pStyle w:val="para2"/>
        <w:numPr>
          <w:ilvl w:val="1"/>
          <w:numId w:val="1"/>
        </w:numPr>
        <w:ind w:left="578" w:hanging="578"/>
        <w:rPr>
          <w:sz w:val="22"/>
          <w:szCs w:val="20"/>
        </w:rPr>
      </w:pPr>
      <w:r/>
      <w:bookmarkStart w:id="223" w:name="_Toc283017211"/>
      <w:bookmarkEnd w:id="223"/>
      <w:r/>
      <w:bookmarkStart w:id="224" w:name="_Toc294158014"/>
      <w:bookmarkEnd w:id="224"/>
      <w:r/>
      <w:bookmarkStart w:id="225" w:name="_Toc283039072"/>
      <w:bookmarkEnd w:id="225"/>
      <w:r/>
      <w:bookmarkStart w:id="226" w:name="_Toc283038986"/>
      <w:bookmarkEnd w:id="226"/>
      <w:r/>
      <w:bookmarkStart w:id="227" w:name="_Toc283017403"/>
      <w:bookmarkEnd w:id="227"/>
      <w:r/>
      <w:bookmarkStart w:id="228" w:name="_Toc283017277"/>
      <w:bookmarkEnd w:id="228"/>
      <w:r/>
      <w:r>
        <w:rPr>
          <w:sz w:val="22"/>
          <w:szCs w:val="20"/>
        </w:rPr>
        <w:t>Projektrelevante Beteiligungen an erwerbswirtschaftlichen Unternehmen</w:t>
      </w:r>
      <w:r>
        <w:rPr>
          <w:sz w:val="22"/>
          <w:szCs w:val="20"/>
        </w:rPr>
      </w:r>
    </w:p>
    <w:p>
      <w:pPr>
        <w:tabs>
          <w:tab w:val="left" w:pos="563" w:leader="none"/>
        </w:tabs>
        <w:rPr>
          <w:i/>
          <w:sz w:val="18"/>
          <w:szCs w:val="18"/>
        </w:rPr>
      </w:pPr>
      <w:r>
        <w:rPr>
          <w:i/>
          <w:sz w:val="18"/>
          <w:szCs w:val="18"/>
        </w:rPr>
        <w:tab/>
        <w:t>Angaben zum Zusammenhang des Projekts mit dem Produktbereich des Unternehmens</w:t>
      </w:r>
    </w:p>
    <w:p>
      <w:pPr>
        <w:rPr>
          <w:highlight w:val="lightGray"/>
          <w:szCs w:val="28"/>
        </w:rPr>
      </w:pPr>
      <w:r>
        <w:rPr>
          <w:highlight w:val="lightGray"/>
          <w:szCs w:val="28"/>
        </w:rPr>
      </w:r>
    </w:p>
    <w:p>
      <w:pPr>
        <w:rPr>
          <w:szCs w:val="22"/>
        </w:rPr>
      </w:pPr>
      <w:r>
        <w:rPr>
          <w:szCs w:val="22"/>
        </w:rPr>
        <w:t>N. z.</w:t>
      </w:r>
    </w:p>
    <w:p>
      <w:pPr>
        <w:rPr>
          <w:szCs w:val="22"/>
        </w:rPr>
      </w:pPr>
      <w:r>
        <w:rPr>
          <w:szCs w:val="22"/>
        </w:rPr>
      </w:r>
    </w:p>
    <w:p>
      <w:pPr>
        <w:rPr>
          <w:szCs w:val="22"/>
        </w:rPr>
      </w:pPr>
      <w:r>
        <w:rPr>
          <w:szCs w:val="22"/>
        </w:rPr>
      </w:r>
    </w:p>
    <w:p>
      <w:pPr>
        <w:pStyle w:val="para1"/>
        <w:numPr>
          <w:ilvl w:val="0"/>
          <w:numId w:val="1"/>
        </w:numPr>
        <w:ind w:left="432" w:hanging="432"/>
      </w:pPr>
      <w:bookmarkStart w:id="229" w:name="_Toc283017404"/>
      <w:bookmarkEnd w:id="229"/>
      <w:r/>
      <w:bookmarkStart w:id="230" w:name="_Toc283038987"/>
      <w:bookmarkEnd w:id="230"/>
      <w:r/>
      <w:bookmarkStart w:id="231" w:name="_Toc283039073"/>
      <w:bookmarkEnd w:id="231"/>
      <w:r/>
      <w:bookmarkStart w:id="232" w:name="_Toc294158015"/>
      <w:bookmarkEnd w:id="232"/>
      <w:r/>
      <w:bookmarkStart w:id="233" w:name="_Toc283017212"/>
      <w:bookmarkEnd w:id="233"/>
      <w:r/>
      <w:bookmarkStart w:id="234" w:name="_Toc283017278"/>
      <w:bookmarkEnd w:id="234"/>
      <w:r>
        <w:t>Ergänzende Erklärungen</w:t>
      </w:r>
    </w:p>
    <w:p>
      <w:pPr>
        <w:spacing w:before="120"/>
        <w:tabs>
          <w:tab w:val="left" w:pos="450" w:leader="none"/>
        </w:tabs>
        <w:rPr>
          <w:i/>
          <w:sz w:val="18"/>
          <w:szCs w:val="18"/>
        </w:rPr>
      </w:pPr>
      <w:r>
        <w:rPr>
          <w:i/>
          <w:sz w:val="18"/>
          <w:szCs w:val="18"/>
        </w:rPr>
        <w:tab/>
        <w:t xml:space="preserve">Bitte informieren Sie die DFG hier insbesondere - sofern zutreffend - über bereits an anderer Stelle eingereichte </w:t>
        <w:tab/>
        <w:t>Anträge bzw. Anträge mit Großgeräten.</w:t>
      </w:r>
    </w:p>
    <w:p>
      <w:pPr>
        <w:rPr>
          <w:highlight w:val="lightGray"/>
          <w:szCs w:val="28"/>
        </w:rPr>
      </w:pPr>
      <w:r>
        <w:rPr>
          <w:highlight w:val="lightGray"/>
          <w:szCs w:val="28"/>
        </w:rPr>
      </w:r>
    </w:p>
    <w:p>
      <w:r>
        <w:t>N. z.</w:t>
      </w:r>
    </w:p>
    <w:sectPr>
      <w:footnotePr>
        <w:pos w:val="pageBottom"/>
        <w:numFmt w:val="decimal"/>
        <w:numStart w:val="1"/>
        <w:numRestart w:val="continuous"/>
      </w:footnotePr>
      <w:endnotePr>
        <w:pos w:val="docEnd"/>
        <w:numFmt w:val="decimal"/>
        <w:numStart w:val="1"/>
        <w:numRestart w:val="continuous"/>
      </w:endnotePr>
      <w:headerReference w:type="default" r:id="rId9"/>
      <w:footerReference w:type="default" r:id="rId10"/>
      <w:type w:val="nextPage"/>
      <w:pgSz w:h="16838" w:w="11906"/>
      <w:pgMar w:left="1418" w:top="1418" w:right="1134" w:bottom="851" w:header="709" w:footer="709"/>
      <w:paperSrc w:first="0" w:other="0"/>
      <w:pgNumType w:fmt="decimal"/>
      <w:tmGutter w:val="3"/>
      <w:mirrorMargins w:val="0"/>
      <w:tmSection w:h="-1">
        <w:tmHeader w:id="0" w:h="0" edge="709" text="0">
          <w:shd w:val="none"/>
        </w:tmHeader>
        <w:tmFooter w:id="0" w:h="0" edge="709"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ich" w:date="2018-11-16T19:29:00Z" w:initials="i">
    <w:p>
      <w:pPr>
        <w:pStyle w:val="para45"/>
      </w:pPr>
      <w:r>
        <w:t>Das Zielpublikum des Textes sind Kollegen aus der Theologie, die sich nicht unbedingt mit Liturgiewissenschaft auskennen. Der Text muss also insgesamt allgemeinverständlich sein und es muss auch Novizen in diesem Feld klar werden, was du vorhast und warum das wichtig ist. Das sehe ich bisher noch nicht im Antrag.</w:t>
      </w:r>
    </w:p>
  </w:comment>
  <w:comment w:id="1" w:author="ich" w:date="2018-11-16T20:58:00Z" w:initials="i">
    <w:p>
      <w:pPr>
        <w:pStyle w:val="para45"/>
      </w:pPr>
      <w:r>
        <w:t>Sieht der Antrag auch ein kurzes Abstract vor? Das war bei meinem Antrag vorgeschrieben und ich habe es als sehr hilfreich empfunden, um das Projekt klar und knapp zu beschreiben.</w:t>
      </w:r>
    </w:p>
  </w:comment>
  <w:comment w:id="2" w:author="ich" w:date="2018-11-16T21:13:00Z" w:initials="i">
    <w:p>
      <w:pPr>
        <w:pStyle w:val="para45"/>
      </w:pPr>
      <w:r>
        <w:t>Dieser Absatz geht so nicht. Selbst wenn du keine Aufsätze als Vorarbeiten hast, sollte hier stehen, wie lange du dich in welcher Form schon mit dem Projekt befasst hast und welche Kontakte sich dabei ergeben haben. Auch geplante Vorträge, Gespräche etc. gehören dazu.</w:t>
      </w:r>
    </w:p>
    <w:p>
      <w:pPr>
        <w:pStyle w:val="para45"/>
      </w:pPr>
      <w:r/>
    </w:p>
    <w:p>
      <w:pPr>
        <w:pStyle w:val="para45"/>
      </w:pPr>
      <w:r>
        <w:t>Tatsächlich ist die Schwachstelle dieses Antrags, dass du nicht so recht als Wissenschaftler sichtbar wirst. Das ist insofern problematisch, als es um Mittel für wissenschaftliche Grundlagenforschung geht und der Antrag im Rahmen eines kompetitiven Verfahrens gestellt wird. Sprich: E</w:t>
      </w:r>
      <w:bookmarkStart w:id="236" w:name="_GoBack"/>
      <w:bookmarkEnd w:id="236"/>
      <w:r>
        <w:t xml:space="preserve">r konkurriert mit Anträgen von Postdocs, die eine längere Publikationsliste aufweisen können und z.T. international vernetzt sind. Damit dein Antrag nicht direkt untergeht, muss er deutlich klarer, fokussierter und wissenschaftlicher werden. Wenn du zeigen kannst, dass du in entsprechende Forschungsdiskurse oder Netzwerke eingebunden bist und Möglichkeiten jenseits des eigenen Hauses hast, deine Analysen und Ergebnisse zu diskutieren, wäre das ein Anfang. </w:t>
      </w:r>
    </w:p>
  </w:comment>
  <w:comment w:id="3" w:author="ich" w:date="2018-11-16T21:12:00Z" w:initials="i">
    <w:p>
      <w:pPr>
        <w:pStyle w:val="para45"/>
      </w:pPr>
      <w:r>
        <w:t>S. vorhergehender Kommentar.</w:t>
      </w:r>
    </w:p>
  </w:comment>
  <w:comment w:id="4" w:author="ich" w:date="2018-11-16T21:00:00Z" w:initials="i">
    <w:p>
      <w:pPr>
        <w:pStyle w:val="para45"/>
      </w:pPr>
      <w:r>
        <w:t>Mir ist dieser Abschnitt noch zu unpräzise. Ich würde versuchen, das Vorhaben noch genauer auf den Punkt zu bringen. Ich fürchte, wer nicht mit den liturgiewissenschaftlichen Diskursen vertraut ist, hat wenig Chance das Potential dieses Projekts zu beurteilen – und das schmälert die Chancen für die Annahme des Antrags</w:t>
      </w:r>
    </w:p>
  </w:comment>
  <w:comment w:id="5" w:author="ich" w:date="2018-11-16T19:58:00Z" w:initials="i">
    <w:p>
      <w:pPr>
        <w:pStyle w:val="para45"/>
      </w:pPr>
      <w:r>
        <w:t>Konjunktive würde ich bei den Zielen generell vermeiden. Insgesamt ist für einen Antrag eine klare Sprache mit kurzen Sätzen hilfreich.</w:t>
      </w:r>
    </w:p>
  </w:comment>
  <w:comment w:id="6" w:author="ich" w:date="2018-11-16T19:54:00Z" w:initials="i">
    <w:p>
      <w:pPr>
        <w:pStyle w:val="para45"/>
      </w:pPr>
      <w:r>
        <w:t>Mir ist der Begriff „Liturgische Anthropologie“ bislang völlig unbekannt gewesen und ich vermute, dass es einigen Gutachtern auch so gehen könnte. Hier (oder im vorangehenden Punkt) wäre eine Begriffsklärung und/oder Einführung hilfreich.</w:t>
      </w:r>
    </w:p>
  </w:comment>
  <w:comment w:id="7" w:author="ich" w:date="2018-11-16T21:02:00Z" w:initials="i">
    <w:p>
      <w:pPr>
        <w:pStyle w:val="para45"/>
      </w:pPr>
      <w:r>
        <w:t>In diesem Abschnitt wäre eine kleine tabellarische Übersicht hilfreich, ferner ein zeitlicher Aufriss des Projekts, der die Abfolge der Arbeitsschritte klärt.</w:t>
      </w:r>
    </w:p>
    <w:p>
      <w:pPr>
        <w:pStyle w:val="para45"/>
      </w:pPr>
      <w:r/>
    </w:p>
    <w:p>
      <w:pPr>
        <w:pStyle w:val="para45"/>
      </w:pPr>
      <w:r>
        <w:t>Generell fehlt mir in diesem Unterpunkt auch die genauere Aufschlüsselung der Arbeitsmethoden.</w:t>
      </w:r>
    </w:p>
  </w:comment>
  <w:comment w:id="8" w:author="ich" w:date="2018-11-16T21:03:00Z" w:initials="i">
    <w:p>
      <w:pPr>
        <w:pStyle w:val="para45"/>
      </w:pPr>
      <w:r>
        <w:t>Das würde ich mir nochmals überlegen. Mittel für Hilfskräfte sind immer eine gute Idee, und die Stunden können für Literaturrecherche und –beschaffung eingesetzt werden</w:t>
      </w:r>
    </w:p>
  </w:comment>
  <w:comment w:id="9" w:author="ich" w:date="2018-11-16T21:04:00Z" w:initials="i">
    <w:p>
      <w:pPr>
        <w:pStyle w:val="para45"/>
      </w:pPr>
      <w:r>
        <w:t>Würde ich ebenfalls überdenken. Hier können Kosten für Laptpop, Drucker etc. aufgeführt werden, die in einem solchen Projekt eigentlich fast immer anfallen. Ode r wird das alles vom DLI gestellt? Dann würde ich das auch schreiben.</w:t>
      </w:r>
    </w:p>
  </w:comment>
  <w:comment w:id="10" w:author="ich" w:date="2018-11-16T21:05:00Z" w:initials="i">
    <w:p>
      <w:pPr>
        <w:pStyle w:val="para45"/>
      </w:pPr>
      <w:r>
        <w:t>Bei den Reisemitteln würde ich grobe Kalkulationen befügen.</w:t>
      </w:r>
    </w:p>
  </w:comment>
  <w:comment w:id="11" w:author="ich" w:date="2018-11-16T21:06:00Z" w:initials="i">
    <w:p>
      <w:pPr>
        <w:pStyle w:val="para45"/>
      </w:pPr>
      <w:r>
        <w:t>Diesen Punkt würde ich nüchterner formulieren. Es geht nicht darum, mit wem man wie fruchtbar zusammenarbeitet, sondern wer als Gutachter für den Antrag nicht infrage kommt…</w:t>
      </w:r>
    </w:p>
  </w:comment>
  <w:comment w:id="12" w:author="Jürgen Riegel" w:date="2018-11-20T11:16:00Z" w:initials="JR">
    <w:p>
      <w:pPr>
        <w:pStyle w:val="para47"/>
      </w:pPr>
      <w:r>
        <w:t>Seltsamerweise ist das im Leitfaden für die Antragstellung nicht vorgesehen. Daher auch meine umständliche Einleitung, die zuerst am Anfang stand. In diesem Bereich soll aber laut Leitfaden deutlich werden, wo sich die eigene Arbeit im allgemeinen Forschungsprozess einordnen lässt. Ich sehe, dass ich hier grundsätzlich anders ansetzen muss. Wenn die Kapelle Walzer spielt, muss auch Walzer getanzt werden.</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sic Roman">
    <w:charset w:val="00"/>
    <w:family w:val="roman"/>
    <w:pitch w:val="default"/>
  </w:font>
  <w:font w:name="Basic Sans">
    <w:charset w:val="00"/>
    <w:family w:val="roman"/>
    <w:pitch w:val="default"/>
  </w:font>
  <w:font w:name="Arial">
    <w:charset w:val="00"/>
    <w:family w:val="swiss"/>
    <w:pitch w:val="default"/>
  </w:font>
  <w:font w:name="Times New Roman">
    <w:charset w:val="00"/>
    <w:family w:val="roman"/>
    <w:pitch w:val="default"/>
  </w:font>
  <w:font w:name="Liberation Serif">
    <w:charset w:val="00"/>
    <w:family w:val="roman"/>
    <w:pitch w:val="default"/>
  </w:font>
  <w:font w:name="Droid Sans Fallback">
    <w:charset w:val="00"/>
    <w:family w:val="roman"/>
    <w:pitch w:val="default"/>
  </w:font>
  <w:font w:name="FreeSans">
    <w:charset w:val="00"/>
    <w:family w:val="roman"/>
    <w:pitch w:val="default"/>
  </w:font>
  <w:font w:name="ZapfHumnst Dm BT">
    <w:charset w:val="01"/>
    <w:family w:val="auto"/>
    <w:pitch w:val="default"/>
  </w:font>
  <w:font w:name="Courier New">
    <w:charset w:val="00"/>
    <w:family w:val="modern"/>
    <w:pitch w:val="default"/>
  </w:font>
  <w:font w:name="SimSun">
    <w:charset w:val="86"/>
    <w:family w:val="auto"/>
    <w:pitch w:val="default"/>
  </w:font>
  <w:font w:name="Cambria">
    <w:charset w:val="00"/>
    <w:family w:val="roman"/>
    <w:pitch w:val="default"/>
  </w:font>
  <w:font w:name="Segoe UI">
    <w:charset w:val="00"/>
    <w:family w:val="swiss"/>
    <w:pitch w:val="default"/>
  </w:font>
  <w:font w:name="Liberation Sans">
    <w:charset w:val="01"/>
    <w:family w:val="swiss"/>
    <w:pitch w:val="default"/>
  </w:font>
  <w:font w:name="Calibri">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name w:val="Tabelle1"/>
      <w:tabOrder w:val="0"/>
      <w:jc w:val="left"/>
      <w:tblInd w:w="0" w:type="dxa"/>
      <w:tblW w:w="9072" w:type="dxa"/>
    </w:tblPr>
    <w:tblGrid>
      <w:gridCol w:w="6804"/>
      <w:gridCol w:w="2268"/>
    </w:tblGrid>
    <w:tr>
      <w:trPr>
        <w:trHeight w:val="283" w:hRule="atLeast"/>
      </w:trPr>
      <w:tc>
        <w:tcPr>
          <w:tcW w:w="6804" w:type="dxa"/>
          <w:vAlign w:val="bottom"/>
          <w:shd w:val="solid" w:color="FFFFFF" tmshd="1677721856, 0, 16777215"/>
          <w:tcMar>
            <w:top w:w="0" w:type="dxa"/>
            <w:left w:w="0" w:type="dxa"/>
            <w:bottom w:w="0" w:type="dxa"/>
            <w:right w:w="0" w:type="dxa"/>
          </w:tcMar>
          <w:tcBorders>
            <w:top w:val="nil" w:sz="0" w:space="0" w:color="000000" tmln="20, 20, 20, 0, 0"/>
            <w:left w:val="nil" w:sz="0" w:space="0" w:color="000000" tmln="20, 20, 20, 0, 0"/>
            <w:bottom w:val="nil" w:sz="0" w:space="0" w:color="000000" tmln="20, 20, 20, 0, 0"/>
            <w:right w:val="nil" w:sz="0" w:space="0" w:color="000000" tmln="20, 20, 20, 0, 0"/>
            <w:tl2br w:val="nil" w:sz="0" w:space="0" w:color="000000" tmln="20, 20, 20, 0, 0"/>
            <w:tr2bl w:val="nil" w:sz="0" w:space="0" w:color="000000" tmln="20, 20, 20, 0, 0"/>
          </w:tcBorders>
          <w:tmTcPr id="1543576029" protected="0"/>
        </w:tcPr>
        <w:p>
          <w:pPr>
            <w:pStyle w:val="para36"/>
            <w:rPr>
              <w:rFonts w:ascii="ZapfHumnst Dm BT" w:hAnsi="ZapfHumnst Dm BT"/>
            </w:rPr>
          </w:pPr>
          <w:r>
            <w:rPr>
              <w:rFonts w:ascii="ZapfHumnst Dm BT" w:hAnsi="ZapfHumnst Dm BT"/>
            </w:rPr>
            <w:t>Deutsche Forschungsgemeinschaft</w:t>
          </w:r>
        </w:p>
        <w:p>
          <w:pPr>
            <w:pStyle w:val="para35"/>
            <w:tabs>
              <w:tab w:val="clear" w:pos="4536" w:leader="none"/>
              <w:tab w:val="clear" w:pos="9072" w:leader="none"/>
            </w:tabs>
            <w:rPr>
              <w:rFonts w:ascii="ZapfHumnst Dm BT" w:hAnsi="ZapfHumnst Dm BT"/>
            </w:rPr>
          </w:pPr>
          <w:r>
            <w:rPr>
              <w:rFonts w:ascii="ZapfHumnst Dm BT" w:hAnsi="ZapfHumnst Dm BT"/>
            </w:rPr>
            <w:t xml:space="preserve">Kennedyallee 40 </w:t>
          </w:r>
          <w:r>
            <w:rPr>
              <w:rFonts w:ascii="ZapfHumnst Dm BT" w:hAnsi="ZapfHumnst Dm BT"/>
              <w:b/>
            </w:rPr>
            <w:t>∙</w:t>
          </w:r>
          <w:r>
            <w:rPr>
              <w:rFonts w:ascii="ZapfHumnst Dm BT" w:hAnsi="ZapfHumnst Dm BT"/>
            </w:rPr>
            <w:t xml:space="preserve"> 53175 Bonn </w:t>
          </w:r>
          <w:r>
            <w:rPr>
              <w:rFonts w:ascii="ZapfHumnst Dm BT" w:hAnsi="ZapfHumnst Dm BT"/>
              <w:b/>
            </w:rPr>
            <w:t>∙</w:t>
          </w:r>
          <w:r>
            <w:rPr>
              <w:rFonts w:ascii="ZapfHumnst Dm BT" w:hAnsi="ZapfHumnst Dm BT"/>
            </w:rPr>
            <w:t xml:space="preserve"> Postanschrift: 53170 Bonn</w:t>
          </w:r>
        </w:p>
        <w:p>
          <w:pPr>
            <w:pStyle w:val="para35"/>
            <w:tabs>
              <w:tab w:val="clear" w:pos="4536" w:leader="none"/>
              <w:tab w:val="clear" w:pos="9072" w:leader="none"/>
            </w:tabs>
            <w:rPr>
              <w:rFonts w:ascii="ZapfHumnst Dm BT" w:hAnsi="ZapfHumnst Dm BT"/>
            </w:rPr>
          </w:pPr>
          <w:r>
            <w:rPr>
              <w:rFonts w:ascii="ZapfHumnst Dm BT" w:hAnsi="ZapfHumnst Dm BT"/>
            </w:rPr>
            <w:t xml:space="preserve">Telefon: + 49 228 885-1 </w:t>
          </w:r>
          <w:r>
            <w:rPr>
              <w:rFonts w:ascii="ZapfHumnst Dm BT" w:hAnsi="ZapfHumnst Dm BT"/>
              <w:b/>
            </w:rPr>
            <w:t>∙</w:t>
          </w:r>
          <w:r>
            <w:rPr>
              <w:rFonts w:ascii="ZapfHumnst Dm BT" w:hAnsi="ZapfHumnst Dm BT"/>
            </w:rPr>
            <w:t xml:space="preserve"> Telefax: + 49 228 885-2777 </w:t>
          </w:r>
          <w:r>
            <w:rPr>
              <w:rFonts w:ascii="ZapfHumnst Dm BT" w:hAnsi="ZapfHumnst Dm BT"/>
              <w:b/>
            </w:rPr>
            <w:t>∙</w:t>
          </w:r>
          <w:r>
            <w:rPr>
              <w:rFonts w:ascii="ZapfHumnst Dm BT" w:hAnsi="ZapfHumnst Dm BT"/>
            </w:rPr>
            <w:t xml:space="preserve"> postmaster@dfg.de ∙ www.dfg.de</w:t>
          </w:r>
        </w:p>
      </w:tc>
      <w:tc>
        <w:tcPr>
          <w:tcW w:w="2268" w:type="dxa"/>
          <w:vAlign w:val="bottom"/>
          <w:tcMar>
            <w:top w:w="0" w:type="dxa"/>
            <w:left w:w="0" w:type="dxa"/>
            <w:bottom w:w="0" w:type="dxa"/>
            <w:right w:w="0" w:type="dxa"/>
          </w:tcMar>
          <w:tcBorders>
            <w:top w:val="nil" w:sz="0" w:space="0" w:color="000000" tmln="20, 20, 20, 0, 0"/>
            <w:left w:val="nil" w:sz="0" w:space="0" w:color="000000" tmln="20, 20, 20, 0, 0"/>
            <w:bottom w:val="nil" w:sz="0" w:space="0" w:color="000000" tmln="20, 20, 20, 0, 0"/>
            <w:right w:val="nil" w:sz="0" w:space="0" w:color="000000" tmln="20, 20, 20, 0, 0"/>
            <w:tl2br w:val="nil" w:sz="0" w:space="0" w:color="000000" tmln="20, 20, 20, 0, 0"/>
            <w:tr2bl w:val="nil" w:sz="0" w:space="0" w:color="000000" tmln="20, 20, 20, 0, 0"/>
          </w:tcBorders>
          <w:tmTcPr id="1543576029" protected="0"/>
        </w:tcPr>
        <w:p>
          <w:pPr>
            <w:pStyle w:val="para35"/>
            <w:spacing w:before="60"/>
            <w:jc w:val="right"/>
            <w:tabs>
              <w:tab w:val="clear" w:pos="4536" w:leader="none"/>
              <w:tab w:val="clear" w:pos="9072" w:leader="none"/>
            </w:tabs>
            <w:rPr>
              <w:rFonts w:ascii="ZapfHumnst Dm BT" w:hAnsi="ZapfHumnst Dm BT" w:cs="Times New Roman"/>
              <w:color w:val="00529e"/>
              <w:sz w:val="74"/>
              <w:szCs w:val="74"/>
            </w:rPr>
          </w:pPr>
          <w:r>
            <w:rPr>
              <w:rFonts w:ascii="ZapfHumnst Dm BT" w:hAnsi="ZapfHumnst Dm BT" w:cs="Times New Roman"/>
              <w:color w:val="00529e"/>
              <w:sz w:val="74"/>
              <w:szCs w:val="74"/>
            </w:rPr>
            <w:t>DFG</w:t>
          </w:r>
        </w:p>
      </w:tc>
    </w:tr>
  </w:tbl>
  <w:p>
    <w:pPr>
      <w:pStyle w:val="para17"/>
    </w:p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id="19">
    <w:p>
      <w:pPr>
        <w:pStyle w:val="para21"/>
      </w:pPr>
      <w:r>
        <w:rPr>
          <w:rStyle w:val="char352"/>
        </w:rPr>
      </w:r>
      <w:r>
        <w:rPr>
          <w:rStyle w:val="char352"/>
        </w:rPr>
        <w:footnoteRef/>
      </w:r>
      <w:r>
        <w:t xml:space="preserve">    Dom Lambert Beauduin, «Das eigentliche Gebet der Kirche», </w:t>
      </w:r>
      <w:r>
        <w:rPr>
          <w:i/>
          <w:iCs/>
        </w:rPr>
        <w:t>Liturgisches Jahrbuch</w:t>
      </w:r>
      <w:r>
        <w:t xml:space="preserve"> 9 (1959), 198-202, hier: 201.</w:t>
      </w:r>
    </w:p>
  </w:footnote>
  <w:footnote w:id="20">
    <w:p>
      <w:pPr>
        <w:pStyle w:val="para21"/>
      </w:pPr>
      <w:r>
        <w:rPr>
          <w:rStyle w:val="char352"/>
        </w:rPr>
      </w:r>
      <w:r>
        <w:rPr>
          <w:rStyle w:val="char352"/>
        </w:rPr>
        <w:footnoteRef/>
      </w:r>
      <w:r>
        <w:t xml:space="preserve">    Vgl. Olivier Rousseau, </w:t>
      </w:r>
      <w:r>
        <w:rPr>
          <w:i/>
          <w:iCs/>
        </w:rPr>
        <w:t>Histoire du Mouvement Liturgique. Esquisse historique depuis le début du XIX</w:t>
      </w:r>
      <w:r>
        <w:rPr>
          <w:i/>
          <w:iCs/>
          <w:vertAlign w:val="superscript"/>
        </w:rPr>
        <w:t>e</w:t>
      </w:r>
      <w:r>
        <w:rPr>
          <w:i/>
          <w:iCs/>
        </w:rPr>
        <w:t xml:space="preserve"> siècle jusqu’au pontificat de Pie X</w:t>
      </w:r>
      <w:r>
        <w:t xml:space="preserve"> (Lex Orandi 3), Paris 1945, 221f.</w:t>
      </w:r>
    </w:p>
  </w:footnote>
  <w:footnote w:id="21">
    <w:p>
      <w:pPr>
        <w:pStyle w:val="para21"/>
      </w:pPr>
      <w:r>
        <w:rPr>
          <w:rStyle w:val="char352"/>
        </w:rPr>
      </w:r>
      <w:r>
        <w:rPr>
          <w:rStyle w:val="char352"/>
        </w:rPr>
        <w:footnoteRef/>
      </w:r>
      <w:r>
        <w:t xml:space="preserve">    Eine gute Übersicht liefert: </w:t>
      </w:r>
      <w:r>
        <w:rPr>
          <w:lang w:val="fr-fr"/>
        </w:rPr>
        <w:t xml:space="preserve">André Haquin, «Dom L. Beauduin et le congrès des œuvres catholiques de Malines. À l’occasion du centenaire du Mouvement liturgique belge (1909 - 2009)», </w:t>
      </w:r>
      <w:r>
        <w:rPr>
          <w:i/>
          <w:iCs/>
          <w:lang w:val="fr-fr"/>
        </w:rPr>
        <w:t>Questions liturgiques</w:t>
      </w:r>
      <w:r>
        <w:rPr>
          <w:lang w:val="fr-fr"/>
        </w:rPr>
        <w:t xml:space="preserve"> 91 (2010), 18-36</w:t>
      </w:r>
      <w:r>
        <w:t>; vor allem: 24-30.</w:t>
      </w:r>
    </w:p>
  </w:footnote>
  <w:footnote w:id="22">
    <w:p>
      <w:pPr>
        <w:pStyle w:val="para21"/>
      </w:pPr>
      <w:r>
        <w:rPr>
          <w:rStyle w:val="char352"/>
        </w:rPr>
      </w:r>
      <w:r>
        <w:rPr>
          <w:rStyle w:val="char352"/>
        </w:rPr>
        <w:footnoteRef/>
      </w:r>
      <w:r>
        <w:t xml:space="preserve"> </w:t>
        <w:tab/>
        <w:t xml:space="preserve">Vgl. Balthasar Fischer, «Das &lt;Mechelner Ereignis&gt; vom 23. September 1909», </w:t>
      </w:r>
      <w:r>
        <w:rPr>
          <w:i/>
          <w:iCs/>
        </w:rPr>
        <w:t>Liturgisches Jahrbuch</w:t>
      </w:r>
      <w:r>
        <w:t xml:space="preserve"> 9 (1959), 203-219; Jürgen Bärsch, « “...ein Hindurchgehen des Heiligen Geistes durch seine Kirche“ (SC 43). Die Liturgische Bewegung des 19. und 20. Jahrhuts als Aufbruch zur Erneuerung des Kirche und ihres Gottesdienstes», </w:t>
      </w:r>
      <w:r>
        <w:rPr>
          <w:i/>
          <w:iCs/>
        </w:rPr>
        <w:t>Trierer Theologische Zeitschrift</w:t>
      </w:r>
      <w:r>
        <w:t xml:space="preserve"> 124 (2015), 303-313, hier: 306.</w:t>
      </w:r>
    </w:p>
  </w:footnote>
  <w:footnote w:id="23">
    <w:p>
      <w:pPr>
        <w:pStyle w:val="para21"/>
        <w:rPr>
          <w:lang w:val="fr-fr"/>
        </w:rPr>
      </w:pPr>
      <w:r>
        <w:rPr>
          <w:rStyle w:val="char352"/>
        </w:rPr>
      </w:r>
      <w:r>
        <w:rPr>
          <w:rStyle w:val="char352"/>
        </w:rPr>
        <w:footnoteRef/>
      </w:r>
      <w:r>
        <w:t xml:space="preserve">   </w:t>
      </w:r>
      <w:bookmarkStart w:id="235" w:name="Vgl_Louis_Bouyer"/>
      <w:bookmarkEnd w:id="235"/>
      <w:r>
        <w:t xml:space="preserve">Vgl. Louis Bouyer, </w:t>
      </w:r>
      <w:r>
        <w:rPr>
          <w:i/>
          <w:iCs/>
        </w:rPr>
        <w:t>Dom Lambert Beauduin. Un homme d’Église</w:t>
      </w:r>
      <w:r>
        <w:t xml:space="preserve">, Casterman 1964, 49-53; Bernard Botte, </w:t>
      </w:r>
      <w:r>
        <w:rPr>
          <w:i/>
          <w:iCs/>
        </w:rPr>
        <w:t>Le Mouvement Liturgique. Témoignage et souvenirs</w:t>
      </w:r>
      <w:r>
        <w:t xml:space="preserve">, Paris 1973, 33f.; </w:t>
      </w:r>
      <w:r>
        <w:rPr>
          <w:lang w:val="fr-fr"/>
        </w:rPr>
        <w:t xml:space="preserve">Edmond Yawo Amekuse, </w:t>
      </w:r>
      <w:r>
        <w:rPr>
          <w:i/>
          <w:iCs/>
          <w:lang w:val="fr-fr"/>
        </w:rPr>
        <w:t>Le rôle total de la liturgie dans l‘économie chrétienne. La contribution de Maurice Festugière au mouvement liturgique</w:t>
      </w:r>
      <w:r>
        <w:rPr>
          <w:lang w:val="fr-fr"/>
        </w:rPr>
        <w:t xml:space="preserve"> (Pontificium Athenaeum S. Anselmi de Urbe. Pontificium Institutum Liturgicum, Thesis ad Lauream n. 343), Roma 2008, 109f.; André Haquin, </w:t>
      </w:r>
      <w:r>
        <w:rPr>
          <w:i/>
          <w:iCs/>
          <w:lang w:val="fr-fr"/>
        </w:rPr>
        <w:t>Dom Lambert Beauduin et le renouveau liturgique</w:t>
      </w:r>
      <w:r>
        <w:rPr>
          <w:lang w:val="fr-fr"/>
        </w:rPr>
        <w:t xml:space="preserve"> (Recherches et Sythèses. Section d’histoire 1), Gembloux 1970, 193-198; Sonya A. Quitslund, Beauduin. A Prophet vindicated, New York - Paramus - Toronto 1973, 28-29.</w:t>
      </w:r>
    </w:p>
  </w:footnote>
  <w:footnote w:id="24">
    <w:p>
      <w:pPr>
        <w:pStyle w:val="para21"/>
      </w:pPr>
      <w:r>
        <w:rPr>
          <w:rStyle w:val="char352"/>
        </w:rPr>
      </w:r>
      <w:r>
        <w:rPr>
          <w:rStyle w:val="char352"/>
        </w:rPr>
        <w:footnoteRef/>
      </w:r>
      <w:r>
        <w:t xml:space="preserve">    </w:t>
      </w:r>
      <w:r>
        <w:rPr>
          <w:rFonts w:cs="FreeSans"/>
        </w:rPr>
        <w:t xml:space="preserve">«Liturgie Catholique. Par Dom M. F. Festugière», </w:t>
      </w:r>
      <w:r>
        <w:rPr>
          <w:rFonts w:cs="FreeSans"/>
          <w:i/>
          <w:iCs/>
        </w:rPr>
        <w:t>Questions Liturgiques</w:t>
      </w:r>
      <w:r>
        <w:rPr>
          <w:rFonts w:cs="FreeSans"/>
        </w:rPr>
        <w:t xml:space="preserve"> 3 (1913), 391-394</w:t>
      </w:r>
      <w:r>
        <w:rPr>
          <w:rFonts w:cs="FreeSans"/>
          <w:lang w:val="fr-fr"/>
        </w:rPr>
        <w:t xml:space="preserve">; </w:t>
      </w:r>
      <w:r>
        <w:rPr>
          <w:rFonts w:cs="FreeSans"/>
          <w:lang w:eastAsia="de-de" w:bidi="de-de"/>
        </w:rPr>
        <w:t xml:space="preserve">ein Autor ist bei der Rezension nicht angegeben, mit Louis Bouyer sollte aber davon auszugehen sein, dass Beauduin der Autor war: </w:t>
      </w:r>
      <w:r>
        <w:t xml:space="preserve">Louis Bouyer, </w:t>
      </w:r>
      <w:r>
        <w:rPr>
          <w:i/>
          <w:iCs/>
        </w:rPr>
        <w:t>Dom Lambert Beauduin. Un homme d’Église</w:t>
      </w:r>
      <w:r>
        <w:t>, Casterman 1964, 50.</w:t>
      </w:r>
    </w:p>
  </w:footnote>
  <w:footnote w:id="25">
    <w:p>
      <w:pPr>
        <w:pStyle w:val="para21"/>
        <w:rPr>
          <w:rFonts w:cs="FreeSans"/>
          <w:sz w:val="22"/>
          <w:szCs w:val="24"/>
        </w:rPr>
      </w:pPr>
      <w:r>
        <w:rPr>
          <w:rStyle w:val="char352"/>
        </w:rPr>
      </w:r>
      <w:r>
        <w:rPr>
          <w:rStyle w:val="char352"/>
        </w:rPr>
        <w:footnoteRef/>
      </w:r>
      <w:r>
        <w:t xml:space="preserve">    </w:t>
      </w:r>
      <w:r>
        <w:t xml:space="preserve">Vgl. Jean-Joseph Navatel, «L’Apostolat liturgique et la piété personelle», </w:t>
      </w:r>
      <w:r>
        <w:rPr>
          <w:i/>
          <w:iCs/>
        </w:rPr>
        <w:t>Études</w:t>
      </w:r>
      <w:r>
        <w:t xml:space="preserve"> 137 (1913), 449-476; </w:t>
      </w:r>
      <w:r>
        <w:rPr>
          <w:rFonts w:cs="FreeSans"/>
        </w:rPr>
        <w:t xml:space="preserve">Lambert Beauduin, «Mise au point nécessaire. Réponse au R. P. Navatel», </w:t>
      </w:r>
      <w:r>
        <w:rPr>
          <w:rFonts w:cs="FreeSans"/>
          <w:i/>
          <w:iCs/>
        </w:rPr>
        <w:t>Questions Liturgique</w:t>
      </w:r>
      <w:r>
        <w:rPr>
          <w:rFonts w:cs="FreeSans"/>
        </w:rPr>
        <w:t>s 4 (1914), 83-104.</w:t>
      </w:r>
      <w:r>
        <w:rPr>
          <w:rFonts w:cs="FreeSans"/>
          <w:sz w:val="22"/>
          <w:szCs w:val="24"/>
        </w:rPr>
      </w:r>
    </w:p>
  </w:footnote>
  <w:footnote w:id="26">
    <w:p>
      <w:pPr>
        <w:pStyle w:val="para21"/>
        <w:rPr>
          <w:lang w:val="fr-fr"/>
        </w:rPr>
      </w:pPr>
      <w:r>
        <w:rPr>
          <w:rStyle w:val="char352"/>
        </w:rPr>
      </w:r>
      <w:r>
        <w:rPr>
          <w:rStyle w:val="char352"/>
        </w:rPr>
        <w:footnoteRef/>
      </w:r>
      <w:r>
        <w:rPr>
          <w:lang w:val="fr-fr"/>
        </w:rPr>
        <w:tab/>
      </w:r>
      <w:r>
        <w:rPr>
          <w:lang w:val="fr-fr"/>
        </w:rPr>
        <w:t xml:space="preserve">Edmond Yawo Amekuse, </w:t>
      </w:r>
      <w:r>
        <w:rPr>
          <w:i/>
          <w:iCs/>
          <w:lang w:val="fr-fr"/>
        </w:rPr>
        <w:t>Le rôle total de la liturgie dans l‘économie chrétienne. La contribution de Maurice Festugière au mouvement liturgique</w:t>
      </w:r>
      <w:r>
        <w:rPr>
          <w:lang w:val="fr-fr"/>
        </w:rPr>
        <w:t xml:space="preserve"> (Pontificium Athenaeum S. Anselmi de Urbe. Pontificium Institutum Liturgicum, Thesis ad Lauream n. 343), Roma 2008.</w:t>
      </w:r>
      <w:r>
        <w:rPr>
          <w:lang w:val="fr-fr"/>
        </w:rPr>
      </w:r>
    </w:p>
  </w:footnote>
  <w:footnote w:id="27">
    <w:p>
      <w:pPr>
        <w:pStyle w:val="para21"/>
        <w:rPr>
          <w:lang w:val="en-us"/>
        </w:rPr>
      </w:pPr>
      <w:r>
        <w:rPr>
          <w:rStyle w:val="char352"/>
        </w:rPr>
      </w:r>
      <w:r>
        <w:rPr>
          <w:rStyle w:val="char352"/>
        </w:rPr>
        <w:footnoteRef/>
      </w:r>
      <w:r>
        <w:rPr>
          <w:lang w:val="en-us"/>
        </w:rPr>
        <w:tab/>
        <w:t xml:space="preserve"> John H. Miller, </w:t>
      </w:r>
      <w:r>
        <w:rPr>
          <w:i/>
          <w:iCs/>
          <w:lang w:val="en-us"/>
        </w:rPr>
        <w:t>The relationship between Liturgical and Private Prayer. A dissertation approved by the Theological Faculty of Trier for the degree of Doctor of Theology</w:t>
      </w:r>
      <w:r>
        <w:rPr>
          <w:lang w:val="en-us"/>
        </w:rPr>
        <w:t>, Trier 1955.</w:t>
      </w:r>
      <w:r>
        <w:rPr>
          <w:lang w:val="en-us"/>
        </w:rPr>
      </w:r>
    </w:p>
  </w:footnote>
  <w:footnote w:id="28">
    <w:p>
      <w:pPr>
        <w:pStyle w:val="para21"/>
        <w:rPr>
          <w:lang w:val="it-it"/>
        </w:rPr>
      </w:pPr>
      <w:r>
        <w:rPr>
          <w:rStyle w:val="char352"/>
        </w:rPr>
      </w:r>
      <w:r>
        <w:rPr>
          <w:rStyle w:val="char352"/>
        </w:rPr>
        <w:footnoteRef/>
      </w:r>
      <w:r>
        <w:rPr>
          <w:lang w:val="it-it"/>
        </w:rPr>
        <w:tab/>
        <w:t xml:space="preserve">Paul Lontsie-Keune, </w:t>
      </w:r>
      <w:r>
        <w:rPr>
          <w:i/>
          <w:iCs/>
          <w:lang w:val="it-it"/>
        </w:rPr>
        <w:t>Culte public et prière privée. Bilan d'une contro</w:t>
      </w:r>
      <w:r>
        <w:rPr>
          <w:i/>
          <w:iCs/>
          <w:lang w:val="it-it"/>
        </w:rPr>
        <w:t xml:space="preserve">verse </w:t>
      </w:r>
      <w:r>
        <w:rPr>
          <w:lang w:val="it-it"/>
        </w:rPr>
        <w:t>(avec la collaboration de Paul de Clerck)</w:t>
      </w:r>
      <w:r>
        <w:rPr>
          <w:lang w:val="it-it"/>
        </w:rPr>
        <w:t>, Paris 1994.</w:t>
      </w:r>
      <w:r>
        <w:rPr>
          <w:lang w:val="it-it"/>
        </w:rPr>
      </w:r>
    </w:p>
  </w:footnote>
  <w:footnote w:id="29">
    <w:p>
      <w:pPr>
        <w:pStyle w:val="para21"/>
      </w:pPr>
      <w:r>
        <w:rPr>
          <w:rStyle w:val="char352"/>
        </w:rPr>
      </w:r>
      <w:r>
        <w:rPr>
          <w:rStyle w:val="char352"/>
        </w:rPr>
        <w:footnoteRef/>
      </w:r>
      <w:r>
        <w:rPr>
          <w:lang w:val="it-it"/>
        </w:rPr>
        <w:tab/>
        <w:t>Andrea Grillo</w:t>
      </w:r>
      <w:r>
        <w:rPr>
          <w:i/>
          <w:iCs/>
          <w:lang w:val="it-it"/>
        </w:rPr>
        <w:t>‚ «</w:t>
      </w:r>
      <w:r>
        <w:rPr>
          <w:lang w:val="it-it"/>
        </w:rPr>
        <w:t xml:space="preserve">„La cause de la liturgie gagne chaque jour du terrain“. Modernità, rinascità liturgica e fondamento della fede in Maurice Festugière», </w:t>
      </w:r>
      <w:r>
        <w:rPr>
          <w:i/>
          <w:iCs/>
          <w:lang w:val="it-it"/>
        </w:rPr>
        <w:t>Ecclesia Orans</w:t>
      </w:r>
      <w:r>
        <w:rPr>
          <w:lang w:val="it-it"/>
        </w:rPr>
        <w:t xml:space="preserve"> 13 (1996), 229-251; Ders., </w:t>
      </w:r>
      <w:r>
        <w:rPr>
          <w:i/>
          <w:iCs/>
          <w:lang w:val="it-it"/>
        </w:rPr>
        <w:t>Introduzione alla teologia liturgica: approccio teorico alla liturgia e ai sacramenti cristiani</w:t>
      </w:r>
      <w:r>
        <w:rPr>
          <w:lang w:val="it-it"/>
        </w:rPr>
        <w:t xml:space="preserve"> (Caro Salutis Cardo. </w:t>
      </w:r>
      <w:r>
        <w:t xml:space="preserve">Sussidi 9), Padova </w:t>
      </w:r>
      <w:r>
        <w:rPr>
          <w:vertAlign w:val="superscript"/>
        </w:rPr>
        <w:t>2</w:t>
      </w:r>
      <w:r>
        <w:t xml:space="preserve">2011, 249-273 (Deutsche Übersetzung: Ders., </w:t>
      </w:r>
      <w:r>
        <w:rPr>
          <w:i/>
          <w:iCs/>
        </w:rPr>
        <w:t>Einführung in die liturgische Theologie. Zur Theorie des Gottesdienstes und der christlichen Sakramente</w:t>
      </w:r>
      <w:r>
        <w:t xml:space="preserve"> (Arbeiten zur Pastoraltheologie, Liturgik und Hymnologie 49), Göttingen 2006, 101-121; die deutsche Ausgabe geht auf die italienische Erstauflage zurück).</w:t>
      </w:r>
    </w:p>
  </w:footnote>
  <w:footnote w:id="30">
    <w:p>
      <w:pPr>
        <w:pStyle w:val="para21"/>
        <w:rPr>
          <w:lang w:val="it-it"/>
        </w:rPr>
      </w:pPr>
      <w:r>
        <w:rPr>
          <w:rStyle w:val="char352"/>
        </w:rPr>
      </w:r>
      <w:r>
        <w:rPr>
          <w:rStyle w:val="char352"/>
        </w:rPr>
        <w:footnoteRef/>
      </w:r>
      <w:r>
        <w:rPr>
          <w:lang w:val="it-it"/>
        </w:rPr>
        <w:tab/>
        <w:t>Annalisa Girolimetto, «</w:t>
      </w:r>
      <w:r>
        <w:rPr>
          <w:lang w:val="it-it"/>
        </w:rPr>
        <w:t xml:space="preserve">Liturgia e vita spirituale. Il dibattito sorto </w:t>
      </w:r>
      <w:r>
        <w:rPr>
          <w:lang w:val="it-it"/>
        </w:rPr>
        <w:t>negli anni 1913-1914»</w:t>
      </w:r>
      <w:r>
        <w:rPr>
          <w:lang w:val="it-it"/>
        </w:rPr>
        <w:t xml:space="preserve">, in: Franco Brovelli (Hg.), </w:t>
      </w:r>
      <w:r>
        <w:rPr>
          <w:i/>
          <w:iCs/>
          <w:lang w:val="it-it"/>
        </w:rPr>
        <w:t>Liturgia. Temi e autori. Saggi di studio sul movimento liturgico</w:t>
      </w:r>
      <w:r>
        <w:rPr>
          <w:lang w:val="it-it"/>
        </w:rPr>
        <w:t xml:space="preserve"> (Bibliotheca «Ephemerides Liturgicae» «Subsidia» 53), 211-274.</w:t>
      </w:r>
      <w:r>
        <w:rPr>
          <w:lang w:val="it-it"/>
        </w:rPr>
      </w:r>
    </w:p>
  </w:footnote>
  <w:footnote w:id="31">
    <w:p>
      <w:pPr>
        <w:pStyle w:val="para21"/>
      </w:pPr>
      <w:r>
        <w:rPr>
          <w:rStyle w:val="char352"/>
        </w:rPr>
      </w:r>
      <w:r>
        <w:rPr>
          <w:rStyle w:val="char352"/>
        </w:rPr>
        <w:footnoteRef/>
      </w:r>
      <w:r>
        <w:tab/>
        <w:t xml:space="preserve">Reinhold Malcherek, </w:t>
      </w:r>
      <w:r>
        <w:rPr>
          <w:i/>
          <w:iCs/>
        </w:rPr>
        <w:t>Liturgiewissenschaft im 19. Jahrhundert. Valentin Thalhofer (1825-1891) und sein ‚Handbuch der katholischen Liturgik‘</w:t>
      </w:r>
      <w:r>
        <w:t xml:space="preserve"> (Liturgiewissenschaftliche Quellen und Forschungen 86), Münster 2001.</w:t>
      </w:r>
    </w:p>
  </w:footnote>
  <w:footnote w:id="32">
    <w:p>
      <w:pPr>
        <w:pStyle w:val="para21"/>
      </w:pPr>
      <w:r>
        <w:rPr>
          <w:rStyle w:val="char352"/>
        </w:rPr>
      </w:r>
      <w:r>
        <w:rPr>
          <w:rStyle w:val="char352"/>
        </w:rPr>
        <w:footnoteRef/>
      </w:r>
      <w:r>
        <w:tab/>
        <w:t xml:space="preserve">Nicole Stockhoff, </w:t>
      </w:r>
      <w:r>
        <w:rPr>
          <w:i/>
          <w:iCs/>
        </w:rPr>
        <w:t>Wenn liturgisches Denken Wirklichkeit trifft. Das liturgietheologische Werk von Pater Angelus A. Häußling (OSB) und dessen Transformation auf die Empirie der Zweiten Schweizer Sonderfall</w:t>
        <w:softHyphen/>
        <w:t>studie</w:t>
      </w:r>
      <w:r>
        <w:t>, Münster 2014.</w:t>
      </w:r>
    </w:p>
  </w:footnote>
  <w:footnote w:id="33">
    <w:p>
      <w:pPr>
        <w:pStyle w:val="para21"/>
        <w:rPr>
          <w:lang w:val="it-it"/>
        </w:rPr>
      </w:pPr>
      <w:r>
        <w:rPr>
          <w:rStyle w:val="char352"/>
        </w:rPr>
      </w:r>
      <w:r>
        <w:rPr>
          <w:rStyle w:val="char352"/>
        </w:rPr>
        <w:footnoteRef/>
      </w:r>
      <w:r>
        <w:rPr>
          <w:lang w:val="it-it"/>
        </w:rPr>
        <w:tab/>
        <w:t xml:space="preserve">Crispino Valenziano, </w:t>
      </w:r>
      <w:r>
        <w:rPr>
          <w:i/>
          <w:iCs/>
          <w:lang w:val="it-it"/>
        </w:rPr>
        <w:t>Liturgia e antropologia</w:t>
      </w:r>
      <w:r>
        <w:rPr>
          <w:lang w:val="it-it"/>
        </w:rPr>
        <w:t>, Bologna 1998.</w:t>
      </w:r>
      <w:r>
        <w:rPr>
          <w:lang w:val="it-it"/>
        </w:rPr>
      </w:r>
    </w:p>
  </w:footnote>
  <w:footnote w:id="34">
    <w:p>
      <w:pPr>
        <w:pStyle w:val="para21"/>
        <w:rPr>
          <w:lang w:val="en-us"/>
        </w:rPr>
      </w:pPr>
      <w:r>
        <w:rPr>
          <w:rStyle w:val="char352"/>
        </w:rPr>
      </w:r>
      <w:r>
        <w:rPr>
          <w:rStyle w:val="char352"/>
        </w:rPr>
        <w:footnoteRef/>
      </w:r>
      <w:r>
        <w:rPr>
          <w:lang w:val="it-it"/>
        </w:rPr>
        <w:tab/>
        <w:t xml:space="preserve">Achille Maria Triacca und Alessandro Pistoia (Hg.), </w:t>
      </w:r>
      <w:r>
        <w:rPr>
          <w:i/>
          <w:iCs/>
          <w:lang w:val="it-it"/>
        </w:rPr>
        <w:t xml:space="preserve">Liturgie et anthropologie. </w:t>
      </w:r>
      <w:r>
        <w:rPr>
          <w:i/>
          <w:iCs/>
          <w:lang w:val="en-us"/>
        </w:rPr>
        <w:t>Conferen</w:t>
      </w:r>
      <w:r>
        <w:rPr>
          <w:i/>
          <w:iCs/>
          <w:lang w:val="en-us"/>
        </w:rPr>
        <w:t>ces Saint-Serge. 36. Semaine d‘études liturgiques. Paris, 27 – 30. juin 1989</w:t>
      </w:r>
      <w:r>
        <w:rPr>
          <w:lang w:val="en-us"/>
        </w:rPr>
        <w:t xml:space="preserve"> (Bibliotheca «Ephemerides Liturgicae» «Subsidia» 55), Roma 1990.</w:t>
      </w:r>
      <w:r>
        <w:rPr>
          <w:lang w:val="en-us"/>
        </w:rPr>
      </w:r>
    </w:p>
  </w:footnote>
  <w:footnote w:id="35">
    <w:p>
      <w:pPr>
        <w:pStyle w:val="para21"/>
      </w:pPr>
      <w:r>
        <w:rPr>
          <w:rStyle w:val="char352"/>
        </w:rPr>
      </w:r>
      <w:r>
        <w:rPr>
          <w:rStyle w:val="char352"/>
        </w:rPr>
        <w:footnoteRef/>
      </w:r>
      <w:r>
        <w:tab/>
        <w:t xml:space="preserve">Eric Donald Hirsch, </w:t>
      </w:r>
      <w:r>
        <w:rPr>
          <w:i/>
          <w:iCs/>
        </w:rPr>
        <w:t>Prinzipien der Interpretation</w:t>
      </w:r>
      <w:r>
        <w:t>, Adelaide Anne Späth (Übers.), München 1972.</w:t>
      </w:r>
    </w:p>
  </w:footnote>
  <w:footnote w:id="36">
    <w:p>
      <w:pPr>
        <w:pStyle w:val="para21"/>
        <w:rPr>
          <w:lang w:val="en-us"/>
        </w:rPr>
      </w:pPr>
      <w:r>
        <w:rPr>
          <w:rStyle w:val="char352"/>
        </w:rPr>
      </w:r>
      <w:r>
        <w:rPr>
          <w:rStyle w:val="char352"/>
        </w:rPr>
        <w:footnoteRef/>
      </w:r>
      <w:r>
        <w:rPr>
          <w:lang w:val="en-us"/>
        </w:rPr>
        <w:tab/>
      </w:r>
      <w:r>
        <w:rPr>
          <w:lang w:val="en-us"/>
        </w:rPr>
        <w:t xml:space="preserve">Werner Günter Jeanrond, </w:t>
      </w:r>
      <w:r>
        <w:rPr>
          <w:i/>
          <w:iCs/>
          <w:lang w:val="en-us"/>
        </w:rPr>
        <w:t>Theological Hermeneutics: Development and Significance</w:t>
      </w:r>
      <w:r>
        <w:rPr>
          <w:lang w:val="en-us"/>
        </w:rPr>
        <w:t>, New York 1991.</w:t>
      </w:r>
      <w:r>
        <w:rPr>
          <w:lang w:val="en-us"/>
        </w:rPr>
      </w:r>
    </w:p>
  </w:footnote>
  <w:footnote w:id="37">
    <w:p>
      <w:pPr>
        <w:pStyle w:val="para21"/>
      </w:pPr>
      <w:r>
        <w:rPr>
          <w:rStyle w:val="char352"/>
        </w:rPr>
      </w:r>
      <w:r>
        <w:rPr>
          <w:rStyle w:val="char352"/>
        </w:rPr>
        <w:footnoteRef/>
      </w:r>
      <w:r>
        <w:tab/>
        <w:t xml:space="preserve">Vgl. Eric Donald Hirsch, </w:t>
      </w:r>
      <w:r>
        <w:rPr>
          <w:i/>
          <w:iCs/>
        </w:rPr>
        <w:t>Prinzipien der Interpretation</w:t>
      </w:r>
      <w:r>
        <w:t>, Adelaide Anne Späth (Übers.), München 1972, 270.</w:t>
      </w:r>
    </w:p>
  </w:footnote>
  <w:footnote w:id="38">
    <w:p>
      <w:pPr>
        <w:pStyle w:val="para21"/>
      </w:pPr>
      <w:r>
        <w:rPr>
          <w:rStyle w:val="char352"/>
        </w:rPr>
      </w:r>
      <w:r>
        <w:rPr>
          <w:rStyle w:val="char352"/>
        </w:rPr>
        <w:footnoteRef/>
      </w:r>
      <w:r>
        <w:tab/>
        <w:t xml:space="preserve">Der Unterschied von Sinn und Bedeutung nach Gottlob Frege ist hierbei grundlegend; vgl. Eric Donald Hirsch, </w:t>
      </w:r>
      <w:r>
        <w:rPr>
          <w:i/>
          <w:iCs/>
        </w:rPr>
        <w:t>Prinzipien der Interpretation</w:t>
      </w:r>
      <w:r>
        <w:t>, Adelaide Anne Späth (Übers.), München 1972, 266 ff.</w:t>
      </w:r>
    </w:p>
  </w:footnote>
  <w:footnote w:id="39">
    <w:p>
      <w:pPr>
        <w:pStyle w:val="para21"/>
      </w:pPr>
      <w:r>
        <w:rPr>
          <w:rStyle w:val="char352"/>
        </w:rPr>
      </w:r>
      <w:r>
        <w:rPr>
          <w:rStyle w:val="char352"/>
        </w:rPr>
        <w:footnoteRef/>
      </w:r>
      <w:r>
        <w:tab/>
        <w:t>Vgl. DFG-Vordruck 54.01 – 03/18, 3.</w:t>
      </w:r>
    </w:p>
  </w:footnote>
  <w:footnote w:id="40">
    <w:p>
      <w:pPr>
        <w:pStyle w:val="para21"/>
        <w:rPr>
          <w:lang w:val="it-it"/>
        </w:rPr>
      </w:pPr>
      <w:r>
        <w:rPr>
          <w:rStyle w:val="char352"/>
        </w:rPr>
      </w:r>
      <w:r>
        <w:rPr>
          <w:rStyle w:val="char352"/>
        </w:rPr>
        <w:footnoteRef/>
      </w:r>
      <w:r>
        <w:tab/>
        <w:t xml:space="preserve">Vgl. Jürgen Riegel SAC, </w:t>
      </w:r>
      <w:r>
        <w:rPr>
          <w:i/>
          <w:iCs/>
        </w:rPr>
        <w:t xml:space="preserve">Strukturen kommissiver Ritualität. Die Riten der Ordensprofess und andere äquivalente Riten der Eingliederung bei den im 19. Jh. gegründeten männlichen Kongregationen und Gesellschaften Apostolischen Lebens. </w:t>
      </w:r>
      <w:r>
        <w:rPr>
          <w:i/>
          <w:iCs/>
          <w:lang w:val="it-it"/>
        </w:rPr>
        <w:t>Excerptum ex Dissertatione ad Doctoratum Sacrae Liturgiae assequendum in Pontificio Instituto Liturgi</w:t>
      </w:r>
      <w:r>
        <w:rPr>
          <w:i/>
          <w:iCs/>
          <w:lang w:val="it-it"/>
        </w:rPr>
        <w:t>co</w:t>
      </w:r>
      <w:r>
        <w:rPr>
          <w:lang w:val="it-it"/>
        </w:rPr>
        <w:t>, Roma 2014, 224 f.</w:t>
      </w:r>
      <w:r>
        <w:rPr>
          <w:lang w:val="it-it"/>
        </w:rPr>
      </w:r>
    </w:p>
  </w:footnote>
  <w:footnote w:id="60">
    <w:p>
      <w:pPr>
        <w:pStyle w:val="para21"/>
      </w:pPr>
      <w:r>
        <w:rPr>
          <w:rStyle w:val="char352"/>
        </w:rPr>
      </w:r>
      <w:r>
        <w:rPr>
          <w:rStyle w:val="char352"/>
        </w:rPr>
        <w:footnoteRef/>
      </w:r>
      <w:r>
        <w:tab/>
        <w:t xml:space="preserve"> Vgl. die „Ziele und Arbeitsfelder“ des Pius-Parsch-Instituts nach den Angaben auf der Website des Instituts: </w:t>
      </w:r>
      <w:hyperlink r:id="rId1" w:history="1">
        <w:r>
          <w:rPr>
            <w:rStyle w:val="char25"/>
          </w:rPr>
          <w:t>http://www.pius-parsch-institut.at/profil/arbei</w:t>
        </w:r>
        <w:r>
          <w:rPr>
            <w:rStyle w:val="char25"/>
          </w:rPr>
          <w:t>tsfelder</w:t>
        </w:r>
      </w:hyperlink>
      <w:r>
        <w:t xml:space="preserve"> (abgerufen am: 09.08.2018).</w:t>
      </w:r>
    </w:p>
  </w:footnote>
  <w:footnote w:id="64">
    <w:p>
      <w:pPr>
        <w:pStyle w:val="para21"/>
      </w:pPr>
      <w:r>
        <w:rPr>
          <w:rStyle w:val="char352"/>
        </w:rPr>
      </w:r>
      <w:r>
        <w:rPr>
          <w:rStyle w:val="char352"/>
        </w:rPr>
        <w:footnoteRef/>
      </w:r>
      <w:r>
        <w:tab/>
        <w:t xml:space="preserve">Vgl. Ferdinand Poswick und Lambert Vos, «Autour d‘un centenaire (1909 – 2009). Les débuts du mouvement liturgique: Beauduin, Marmion, Festugière et ... les autres», </w:t>
      </w:r>
      <w:r>
        <w:rPr>
          <w:i/>
          <w:iCs/>
        </w:rPr>
        <w:t>Questions Liturgiques</w:t>
      </w:r>
      <w:r>
        <w:t xml:space="preserve"> 92 (2011), 3-28; hier: 23; nach unbestätigten Angaben bei Andrea Grillo habe es hierfür ein offizielles Publikations</w:t>
        <w:softHyphen/>
        <w:t xml:space="preserve">verbot gegeben; vgl. Andrea Grillo, «La Liturgia Cristiana dal movimento liturgico ai giorni nostri», in: Ders. - Crispino Valenziano (Hg.), </w:t>
      </w:r>
      <w:r>
        <w:rPr>
          <w:i/>
          <w:iCs/>
        </w:rPr>
        <w:t>L‘uomo della liturgia</w:t>
      </w:r>
      <w:r>
        <w:t>, Assisi 2007, 20 f.; 29.</w:t>
      </w:r>
    </w:p>
  </w:footnote>
  <w:footnote w:id="65">
    <w:p>
      <w:pPr>
        <w:pStyle w:val="para21"/>
        <w:rPr>
          <w:lang w:val="it-it"/>
        </w:rPr>
      </w:pPr>
      <w:r>
        <w:rPr>
          <w:rStyle w:val="char352"/>
        </w:rPr>
      </w:r>
      <w:r>
        <w:rPr>
          <w:rStyle w:val="char352"/>
        </w:rPr>
        <w:footnoteRef/>
      </w:r>
      <w:r>
        <w:rPr>
          <w:lang w:val="it-it"/>
        </w:rPr>
        <w:tab/>
        <w:t xml:space="preserve">Vgl. Maurice Festugière, </w:t>
      </w:r>
      <w:r>
        <w:rPr>
          <w:i/>
          <w:iCs/>
          <w:lang w:val="it-it"/>
        </w:rPr>
        <w:t>La Liturgie Catholique. Essai de synthèse, suivi de quelques développements</w:t>
      </w:r>
      <w:r>
        <w:rPr>
          <w:lang w:val="it-it"/>
        </w:rPr>
        <w:t>, Maredsous 1913, 36-49.</w:t>
      </w:r>
      <w:r>
        <w:rPr>
          <w:lang w:val="it-it"/>
        </w:rPr>
      </w:r>
    </w:p>
  </w:footnote>
  <w:footnote w:id="66">
    <w:p>
      <w:pPr>
        <w:pStyle w:val="para21"/>
        <w:rPr>
          <w:lang w:val="it-it"/>
        </w:rPr>
      </w:pPr>
      <w:r>
        <w:rPr>
          <w:rStyle w:val="char352"/>
        </w:rPr>
      </w:r>
      <w:r>
        <w:rPr>
          <w:rStyle w:val="char352"/>
        </w:rPr>
        <w:footnoteRef/>
      </w:r>
      <w:r>
        <w:rPr>
          <w:lang w:val="it-it"/>
        </w:rPr>
        <w:tab/>
        <w:t xml:space="preserve">Vgl.  Maurice Festugière, </w:t>
      </w:r>
      <w:r>
        <w:rPr>
          <w:i/>
          <w:iCs/>
          <w:lang w:val="it-it"/>
        </w:rPr>
        <w:t>La Liturgie Catholique. Essai de synthèse, suivi de quelques développements</w:t>
      </w:r>
      <w:r>
        <w:rPr>
          <w:lang w:val="it-it"/>
        </w:rPr>
        <w:t>, Mared</w:t>
      </w:r>
      <w:r>
        <w:rPr>
          <w:lang w:val="it-it"/>
        </w:rPr>
        <w:t xml:space="preserve">sous 1913, 58-81; Ders., «La definition de la Liturgie», </w:t>
      </w:r>
      <w:r>
        <w:rPr>
          <w:i/>
          <w:iCs/>
          <w:lang w:val="it-it"/>
        </w:rPr>
        <w:t>Revue liturgique et bénédictine</w:t>
      </w:r>
      <w:r>
        <w:rPr>
          <w:lang w:val="it-it"/>
        </w:rPr>
        <w:t xml:space="preserve"> 4 (1914), 288-297.</w:t>
      </w:r>
      <w:r>
        <w:rPr>
          <w:lang w:val="it-it"/>
        </w:rPr>
      </w:r>
    </w:p>
  </w:footnote>
  <w:footnote w:id="67">
    <w:p>
      <w:pPr>
        <w:pStyle w:val="para21"/>
        <w:rPr>
          <w:lang w:val="it-it"/>
        </w:rPr>
      </w:pPr>
      <w:r>
        <w:rPr>
          <w:rStyle w:val="char352"/>
        </w:rPr>
      </w:r>
      <w:r>
        <w:rPr>
          <w:rStyle w:val="char352"/>
        </w:rPr>
        <w:footnoteRef/>
      </w:r>
      <w:r>
        <w:rPr>
          <w:lang w:val="it-it"/>
        </w:rPr>
        <w:tab/>
        <w:t xml:space="preserve">Vgl. Maurice Festugière, </w:t>
      </w:r>
      <w:r>
        <w:rPr>
          <w:i/>
          <w:iCs/>
          <w:lang w:val="it-it"/>
        </w:rPr>
        <w:t xml:space="preserve">Que est-ce que la Liturgie?, </w:t>
      </w:r>
      <w:r>
        <w:rPr>
          <w:lang w:val="it-it"/>
        </w:rPr>
        <w:t>Maredsous 1914.</w:t>
      </w:r>
      <w:r>
        <w:rPr>
          <w:lang w:val="it-it"/>
        </w:rPr>
      </w:r>
    </w:p>
  </w:footnote>
  <w:footnote w:id="68">
    <w:p>
      <w:pPr>
        <w:pStyle w:val="para21"/>
        <w:rPr>
          <w:lang w:val="it-it"/>
        </w:rPr>
      </w:pPr>
      <w:r>
        <w:rPr>
          <w:rStyle w:val="char352"/>
        </w:rPr>
      </w:r>
      <w:r>
        <w:rPr>
          <w:rStyle w:val="char352"/>
        </w:rPr>
        <w:footnoteRef/>
      </w:r>
      <w:r>
        <w:rPr>
          <w:lang w:val="it-it"/>
        </w:rPr>
        <w:tab/>
        <w:t xml:space="preserve">Vgl. </w:t>
      </w:r>
      <w:r>
        <w:rPr>
          <w:rStyle w:val="char356"/>
          <w:lang w:val="it-it"/>
        </w:rPr>
        <w:t xml:space="preserve">Marie-Dominique Chénu, </w:t>
      </w:r>
      <w:r>
        <w:rPr>
          <w:lang w:val="it-it"/>
        </w:rPr>
        <w:t xml:space="preserve">«Anthropologie et Liturgie», </w:t>
      </w:r>
      <w:r>
        <w:rPr>
          <w:rStyle w:val="char14"/>
          <w:lang w:val="it-it"/>
        </w:rPr>
        <w:t>La Maison-Dieu</w:t>
      </w:r>
      <w:r>
        <w:rPr>
          <w:lang w:val="it-it"/>
        </w:rPr>
        <w:t xml:space="preserve"> 12</w:t>
      </w:r>
      <w:r>
        <w:rPr>
          <w:lang w:val="it-it"/>
        </w:rPr>
        <w:t xml:space="preserve"> (1947), 51-65. </w:t>
      </w:r>
      <w:r>
        <w:rPr>
          <w:lang w:val="it-it"/>
        </w:rPr>
      </w:r>
    </w:p>
  </w:footnote>
  <w:footnote w:id="69">
    <w:p>
      <w:pPr>
        <w:pStyle w:val="para21"/>
      </w:pPr>
      <w:r>
        <w:rPr>
          <w:rStyle w:val="char352"/>
        </w:rPr>
      </w:r>
      <w:r>
        <w:rPr>
          <w:rStyle w:val="char352"/>
        </w:rPr>
        <w:footnoteRef/>
      </w:r>
      <w:r>
        <w:rPr>
          <w:lang w:val="it-it"/>
        </w:rPr>
        <w:tab/>
        <w:t xml:space="preserve">Vgl. Marie-Dominique Chenu, «Anthropologie de la Liturgie», in: Yves Congar u.a. (Hg.), </w:t>
      </w:r>
      <w:r>
        <w:rPr>
          <w:i/>
          <w:iCs/>
          <w:lang w:val="it-it"/>
        </w:rPr>
        <w:t xml:space="preserve">La Liturgie après Vatican II. </w:t>
      </w:r>
      <w:r>
        <w:rPr>
          <w:i/>
          <w:iCs/>
        </w:rPr>
        <w:t>Bilans, Études, Prospective</w:t>
      </w:r>
      <w:r>
        <w:t xml:space="preserve"> (Unam Sanctam 66), Paris 1967, 159-177; Ders., «Pour une anthro</w:t>
        <w:softHyphen/>
        <w:t>po</w:t>
        <w:softHyphen/>
        <w:t xml:space="preserve">logie sacramentelle», </w:t>
      </w:r>
      <w:r>
        <w:rPr>
          <w:i/>
          <w:iCs/>
        </w:rPr>
        <w:t>La Maison-Dieu</w:t>
      </w:r>
      <w:r>
        <w:t xml:space="preserve"> 119 (1974), 85-100.</w:t>
      </w:r>
    </w:p>
  </w:footnote>
  <w:footnote w:id="70">
    <w:p>
      <w:pPr>
        <w:pStyle w:val="para21"/>
        <w:rPr>
          <w:lang w:val="it-it"/>
        </w:rPr>
      </w:pPr>
      <w:r>
        <w:rPr>
          <w:rStyle w:val="char352"/>
        </w:rPr>
      </w:r>
      <w:r>
        <w:rPr>
          <w:rStyle w:val="char352"/>
        </w:rPr>
        <w:footnoteRef/>
      </w:r>
      <w:r>
        <w:tab/>
        <w:t>Die Kurzbiografie eines Sammelbandes aus dem Jahr 2014 nennt ihn noch als Mitglied des Lehrkol</w:t>
        <w:softHyphen/>
        <w:t xml:space="preserve">legiums der drei Institutionen, die Biografie eines Sammelbandes aus dem Jahr 2015 erwähnt bereits seine Emeritierung an allen drei Einrichtungen; Giorgio Bonaccorso (Hg.), </w:t>
      </w:r>
      <w:r>
        <w:rPr>
          <w:i/>
          <w:iCs/>
        </w:rPr>
        <w:t>La liminalità del rito</w:t>
      </w:r>
      <w:r>
        <w:t xml:space="preserve"> (Caro Salutis Cardo. </w:t>
      </w:r>
      <w:r>
        <w:rPr>
          <w:lang w:val="it-it"/>
        </w:rPr>
        <w:t xml:space="preserve">Contributi 28), Padova 2014, 336; Aldo Natale Terrin (Hg.), </w:t>
      </w:r>
      <w:r>
        <w:rPr>
          <w:i/>
          <w:iCs/>
          <w:lang w:val="it-it"/>
        </w:rPr>
        <w:t>Preghiera e rito</w:t>
      </w:r>
      <w:r>
        <w:rPr>
          <w:lang w:val="it-it"/>
        </w:rPr>
        <w:t xml:space="preserve"> (Caro Salutis Cardo. Contributi 29), Padova 2015, 353.</w:t>
      </w:r>
      <w:r>
        <w:rPr>
          <w:lang w:val="it-it"/>
        </w:rPr>
      </w:r>
    </w:p>
  </w:footnote>
  <w:footnote w:id="71">
    <w:p>
      <w:pPr>
        <w:pStyle w:val="para21"/>
        <w:rPr>
          <w:lang w:val="it-it"/>
        </w:rPr>
      </w:pPr>
      <w:r>
        <w:rPr>
          <w:rStyle w:val="char352"/>
        </w:rPr>
      </w:r>
      <w:r>
        <w:rPr>
          <w:rStyle w:val="char352"/>
        </w:rPr>
        <w:footnoteRef/>
      </w:r>
      <w:r>
        <w:rPr>
          <w:lang w:val="it-it"/>
        </w:rPr>
        <w:tab/>
        <w:t>Als Auswahl mögen folgende Tite</w:t>
      </w:r>
      <w:r>
        <w:rPr>
          <w:lang w:val="it-it"/>
        </w:rPr>
        <w:t xml:space="preserve">l genügen: Aldo Natale Terrin, </w:t>
      </w:r>
      <w:r>
        <w:rPr>
          <w:i/>
          <w:iCs/>
          <w:lang w:val="it-it"/>
        </w:rPr>
        <w:t>Leitourgia: dimensione fenomenologica e aspetti semiotici</w:t>
      </w:r>
      <w:r>
        <w:rPr>
          <w:lang w:val="it-it"/>
        </w:rPr>
        <w:t xml:space="preserve">, Brescia 1988; Ders., </w:t>
      </w:r>
      <w:r>
        <w:rPr>
          <w:i/>
          <w:iCs/>
          <w:lang w:val="it-it"/>
        </w:rPr>
        <w:t>Il Rito. Antropologia e fenomenologia della ritualità</w:t>
      </w:r>
      <w:r>
        <w:rPr>
          <w:lang w:val="it-it"/>
        </w:rPr>
        <w:t>, Brescia 1999; Ders., «L‘‚io‘ e il ‚noi‘ nell‘esperienza del sacro», in: Roberto Tagliaferr</w:t>
      </w:r>
      <w:r>
        <w:rPr>
          <w:lang w:val="it-it"/>
        </w:rPr>
        <w:t xml:space="preserve">i und Aldo Natale Terrin (Hg.), </w:t>
      </w:r>
      <w:r>
        <w:rPr>
          <w:i/>
          <w:iCs/>
          <w:lang w:val="it-it"/>
        </w:rPr>
        <w:t>La pastoralità e la questione dell‘individuo nella liturgia</w:t>
      </w:r>
      <w:r>
        <w:rPr>
          <w:lang w:val="it-it"/>
        </w:rPr>
        <w:t xml:space="preserve"> (Caro Salutis Cardo. Contributi 30), Padova 2016, 171-200.</w:t>
      </w:r>
      <w:r>
        <w:rPr>
          <w:lang w:val="it-it"/>
        </w:rPr>
      </w:r>
    </w:p>
  </w:footnote>
  <w:footnote w:id="75">
    <w:p>
      <w:pPr>
        <w:pStyle w:val="para21"/>
        <w:rPr>
          <w:lang w:val="it-it"/>
        </w:rPr>
      </w:pPr>
      <w:r>
        <w:rPr>
          <w:rStyle w:val="char352"/>
        </w:rPr>
      </w:r>
      <w:r>
        <w:rPr>
          <w:rStyle w:val="char352"/>
        </w:rPr>
        <w:footnoteRef/>
      </w:r>
      <w:r>
        <w:rPr>
          <w:lang w:val="it-it"/>
        </w:rPr>
        <w:tab/>
        <w:t>Vgl. https://theo.kuleuven.be/en/research/classif-journals#series (abgerufen am 04.10.2018).</w:t>
      </w:r>
      <w:r>
        <w:rPr>
          <w:lang w:val="it-it"/>
        </w:rPr>
      </w:r>
    </w:p>
  </w:footnote>
  <w:footnote w:id="76">
    <w:p>
      <w:pPr>
        <w:pStyle w:val="para21"/>
      </w:pPr>
      <w:r>
        <w:rPr>
          <w:rStyle w:val="char352"/>
        </w:rPr>
      </w:r>
      <w:r>
        <w:rPr>
          <w:rStyle w:val="char352"/>
        </w:rPr>
        <w:footnoteRef/>
      </w:r>
      <w:r>
        <w:tab/>
        <w:t>Vgl. https://dli-daten.de/dli/hp/digbib_elemente?nummer=51137 (abgerufen am 04.10.2018).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16"/>
    </w:pPr>
    <w:r>
      <w:rPr>
        <w:rFonts w:cs="Arial"/>
        <w:sz w:val="17"/>
        <w:szCs w:val="17"/>
      </w:rPr>
      <w:t>DFG-Vordruck 53.01 – 03/18</w:t>
      <w:tab/>
      <w:tab/>
      <w:t xml:space="preserve">Seite </w:t>
    </w:r>
    <w:r>
      <w:rPr>
        <w:rFonts w:cs="Arial"/>
        <w:sz w:val="17"/>
        <w:szCs w:val="17"/>
      </w:rPr>
      <w:fldChar w:fldCharType="begin"/>
      <w:instrText xml:space="preserve"> PAGE </w:instrText>
      <w:fldChar w:fldCharType="separate"/>
      <w:t>1</w:t>
      <w:fldChar w:fldCharType="end"/>
    </w:r>
    <w:r>
      <w:rPr>
        <w:rFonts w:cs="Arial"/>
        <w:sz w:val="17"/>
        <w:szCs w:val="17"/>
      </w:rPr>
      <w:t xml:space="preserve"> von </w:t>
    </w:r>
    <w:r>
      <w:rPr>
        <w:rFonts w:cs="Arial"/>
        <w:sz w:val="17"/>
        <w:szCs w:val="17"/>
      </w:rPr>
      <w:fldChar w:fldCharType="begin"/>
      <w:instrText xml:space="preserve"> NUMPAGES </w:instrText>
      <w:fldChar w:fldCharType="separate"/>
      <w:t>14</w:t>
      <w:fldChar w:fldCharType="end"/>
    </w:r>
    <w:r/>
  </w:p>
  <w:p>
    <w:pPr>
      <w:pStyle w:val="para16"/>
    </w:p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merierungsliste 1"/>
    <w:lvl w:ilvl="0">
      <w:start w:val="1"/>
      <w:numFmt w:val="decimal"/>
      <w:suff w:val="tab"/>
      <w:lvlText w:val="%1"/>
      <w:lvlJc w:val="left"/>
      <w:pPr>
        <w:ind w:left="0" w:hanging="0"/>
      </w:pPr>
      <w:rPr>
        <w:rFonts w:ascii="Arial" w:hAnsi="Arial" w:cs="Times New Roman"/>
        <w:b/>
        <w:sz w:val="24"/>
        <w:szCs w:val="24"/>
      </w:rPr>
    </w:lvl>
    <w:lvl w:ilvl="1">
      <w:start w:val="1"/>
      <w:numFmt w:val="decimal"/>
      <w:suff w:val="tab"/>
      <w:lvlText w:val="%1.%2"/>
      <w:lvlJc w:val="left"/>
      <w:pPr>
        <w:ind w:left="0" w:hanging="0"/>
      </w:pPr>
      <w:rPr>
        <w:rFonts w:cs="Times New Roman"/>
      </w:rPr>
    </w:lvl>
    <w:lvl w:ilvl="2">
      <w:start w:val="1"/>
      <w:numFmt w:val="decimal"/>
      <w:suff w:val="tab"/>
      <w:lvlText w:val="%1.%2.%3"/>
      <w:lvlJc w:val="left"/>
      <w:pPr>
        <w:ind w:left="0" w:hanging="0"/>
      </w:pPr>
      <w:rPr>
        <w:rFonts w:cs="Times New Roman"/>
      </w:rPr>
    </w:lvl>
    <w:lvl w:ilvl="3">
      <w:start w:val="1"/>
      <w:numFmt w:val="decimal"/>
      <w:suff w:val="tab"/>
      <w:lvlText w:val="%1.%2.%3.%4"/>
      <w:lvlJc w:val="left"/>
      <w:pPr>
        <w:ind w:left="0" w:hanging="0"/>
      </w:pPr>
      <w:rPr>
        <w:rFonts w:cs="Times New Roman"/>
      </w:rPr>
    </w:lvl>
    <w:lvl w:ilvl="4">
      <w:start w:val="1"/>
      <w:numFmt w:val="decimal"/>
      <w:suff w:val="tab"/>
      <w:lvlText w:val="%1.%2.%3.%4.%5"/>
      <w:lvlJc w:val="left"/>
      <w:pPr>
        <w:ind w:left="0" w:hanging="0"/>
      </w:pPr>
      <w:rPr>
        <w:rFonts w:cs="Times New Roman"/>
      </w:rPr>
    </w:lvl>
    <w:lvl w:ilvl="5">
      <w:start w:val="1"/>
      <w:numFmt w:val="decimal"/>
      <w:suff w:val="tab"/>
      <w:lvlText w:val="%1.%2.%3.%4.%5.%6"/>
      <w:lvlJc w:val="left"/>
      <w:pPr>
        <w:ind w:left="0" w:hanging="0"/>
      </w:pPr>
      <w:rPr>
        <w:rFonts w:cs="Times New Roman"/>
      </w:rPr>
    </w:lvl>
    <w:lvl w:ilvl="6">
      <w:start w:val="1"/>
      <w:numFmt w:val="decimal"/>
      <w:suff w:val="tab"/>
      <w:lvlText w:val="%1.%2.%3.%4.%5.%6.%7"/>
      <w:lvlJc w:val="left"/>
      <w:pPr>
        <w:ind w:left="0" w:hanging="0"/>
      </w:pPr>
      <w:rPr>
        <w:rFonts w:cs="Times New Roman"/>
      </w:rPr>
    </w:lvl>
    <w:lvl w:ilvl="7">
      <w:start w:val="1"/>
      <w:numFmt w:val="decimal"/>
      <w:suff w:val="tab"/>
      <w:lvlText w:val="%1.%2.%3.%4.%5.%6.%7.%8"/>
      <w:lvlJc w:val="left"/>
      <w:pPr>
        <w:ind w:left="0" w:hanging="0"/>
      </w:pPr>
      <w:rPr>
        <w:rFonts w:cs="Times New Roman"/>
      </w:rPr>
    </w:lvl>
    <w:lvl w:ilvl="8">
      <w:start w:val="1"/>
      <w:numFmt w:val="decimal"/>
      <w:suff w:val="tab"/>
      <w:lvlText w:val="%1.%2.%3.%4.%5.%6.%7.%8.%9"/>
      <w:lvlJc w:val="left"/>
      <w:pPr>
        <w:ind w:left="0" w:hanging="0"/>
      </w:pPr>
      <w:rPr>
        <w:rFonts w:cs="Times New Roman"/>
      </w:rPr>
    </w:lvl>
  </w:abstractNum>
  <w:abstractNum w:abstractNumId="2">
    <w:multiLevelType w:val="hybridMultilevel"/>
    <w:name w:val="Nummerierungsliste 2"/>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
    <w:multiLevelType w:val="hybridMultilevel"/>
    <w:name w:val="Nummerierungsliste 3"/>
    <w:lvl w:ilvl="0">
      <w:start w:val="1"/>
      <w:numFmt w:val="decimal"/>
      <w:suff w:val="tab"/>
      <w:lvlText w:val="%1"/>
      <w:lvlJc w:val="left"/>
      <w:pPr>
        <w:ind w:left="0" w:hanging="0"/>
      </w:pPr>
      <w:rPr>
        <w:rFonts w:cs="Times New Roman"/>
      </w:rPr>
    </w:lvl>
    <w:lvl w:ilvl="1">
      <w:start w:val="1"/>
      <w:numFmt w:val="decimal"/>
      <w:suff w:val="tab"/>
      <w:lvlText w:val="%1.%2"/>
      <w:lvlJc w:val="left"/>
      <w:pPr>
        <w:ind w:left="0" w:hanging="0"/>
      </w:pPr>
      <w:rPr>
        <w:rFonts w:cs="Times New Roman"/>
      </w:rPr>
    </w:lvl>
    <w:lvl w:ilvl="2">
      <w:start w:val="1"/>
      <w:numFmt w:val="decimal"/>
      <w:suff w:val="tab"/>
      <w:lvlText w:val="%1.%2.%3"/>
      <w:lvlJc w:val="left"/>
      <w:pPr>
        <w:ind w:left="0" w:hanging="0"/>
      </w:pPr>
      <w:rPr>
        <w:rFonts w:cs="Times New Roman"/>
      </w:rPr>
    </w:lvl>
    <w:lvl w:ilvl="3">
      <w:start w:val="1"/>
      <w:numFmt w:val="decimal"/>
      <w:suff w:val="tab"/>
      <w:lvlText w:val="%1.%2.%3.%4"/>
      <w:lvlJc w:val="left"/>
      <w:pPr>
        <w:ind w:left="0" w:hanging="0"/>
      </w:pPr>
      <w:rPr>
        <w:rFonts w:cs="Times New Roman"/>
      </w:rPr>
    </w:lvl>
    <w:lvl w:ilvl="4">
      <w:start w:val="1"/>
      <w:numFmt w:val="decimal"/>
      <w:pStyle w:val="para5"/>
      <w:suff w:val="tab"/>
      <w:lvlText w:val="%1.%2.%3.%4.%5"/>
      <w:lvlJc w:val="left"/>
      <w:pPr>
        <w:ind w:left="0" w:hanging="0"/>
      </w:pPr>
      <w:rPr>
        <w:rFonts w:cs="Times New Roman"/>
      </w:rPr>
    </w:lvl>
    <w:lvl w:ilvl="5">
      <w:start w:val="1"/>
      <w:numFmt w:val="decimal"/>
      <w:pStyle w:val="para6"/>
      <w:suff w:val="tab"/>
      <w:lvlText w:val="%1.%2.%3.%4.%5.%6"/>
      <w:lvlJc w:val="left"/>
      <w:pPr>
        <w:ind w:left="0" w:hanging="0"/>
      </w:pPr>
      <w:rPr>
        <w:rFonts w:cs="Times New Roman"/>
      </w:rPr>
    </w:lvl>
    <w:lvl w:ilvl="6">
      <w:start w:val="1"/>
      <w:numFmt w:val="decimal"/>
      <w:pStyle w:val="para7"/>
      <w:suff w:val="tab"/>
      <w:lvlText w:val="%1.%2.%3.%4.%5.%6.%7"/>
      <w:lvlJc w:val="left"/>
      <w:pPr>
        <w:ind w:left="0" w:hanging="0"/>
      </w:pPr>
      <w:rPr>
        <w:rFonts w:cs="Times New Roman"/>
      </w:rPr>
    </w:lvl>
    <w:lvl w:ilvl="7">
      <w:start w:val="1"/>
      <w:numFmt w:val="decimal"/>
      <w:pStyle w:val="para8"/>
      <w:suff w:val="tab"/>
      <w:lvlText w:val="%1.%2.%3.%4.%5.%6.%7.%8"/>
      <w:lvlJc w:val="left"/>
      <w:pPr>
        <w:ind w:left="0" w:hanging="0"/>
      </w:pPr>
      <w:rPr>
        <w:rFonts w:cs="Times New Roman"/>
      </w:rPr>
    </w:lvl>
    <w:lvl w:ilvl="8">
      <w:start w:val="1"/>
      <w:numFmt w:val="decimal"/>
      <w:pStyle w:val="para9"/>
      <w:suff w:val="tab"/>
      <w:lvlText w:val="%1.%2.%3.%4.%5.%6.%7.%8.%9"/>
      <w:lvlJc w:val="left"/>
      <w:pPr>
        <w:ind w:left="0" w:hanging="0"/>
      </w:pPr>
      <w:rPr>
        <w:rFonts w:cs="Times New Roman"/>
      </w:rPr>
    </w:lvl>
  </w:abstractNum>
  <w:abstractNum w:abstractNumId="4">
    <w:multiLevelType w:val="hybridMultilevel"/>
    <w:name w:val="Nummerierungsliste 4"/>
    <w:lvl w:ilvl="0">
      <w:start w:val="1"/>
      <w:numFmt w:val="decimal"/>
      <w:pStyle w:val="para1"/>
      <w:suff w:val="tab"/>
      <w:lvlText w:val="%1"/>
      <w:lvlJc w:val="left"/>
      <w:pPr>
        <w:ind w:left="0" w:hanging="0"/>
      </w:pPr>
      <w:rPr>
        <w:rFonts w:cs="Times New Roman"/>
      </w:rPr>
    </w:lvl>
    <w:lvl w:ilvl="1">
      <w:start w:val="1"/>
      <w:numFmt w:val="decimal"/>
      <w:suff w:val="tab"/>
      <w:lvlText w:val="%1.%2"/>
      <w:lvlJc w:val="left"/>
      <w:pPr>
        <w:ind w:left="0" w:hanging="0"/>
      </w:pPr>
      <w:rPr>
        <w:rFonts w:cs="Times New Roman"/>
      </w:rPr>
    </w:lvl>
    <w:lvl w:ilvl="2">
      <w:start w:val="1"/>
      <w:numFmt w:val="decimal"/>
      <w:suff w:val="tab"/>
      <w:lvlText w:val="%1.%2.%3"/>
      <w:lvlJc w:val="left"/>
      <w:pPr>
        <w:ind w:left="0" w:hanging="0"/>
      </w:pPr>
      <w:rPr>
        <w:rFonts w:cs="Times New Roman"/>
        <w:b w:val="0"/>
      </w:rPr>
    </w:lvl>
    <w:lvl w:ilvl="3">
      <w:start w:val="1"/>
      <w:numFmt w:val="decimal"/>
      <w:suff w:val="tab"/>
      <w:lvlText w:val="%1.%2.%3.%4"/>
      <w:lvlJc w:val="left"/>
      <w:pPr>
        <w:ind w:left="0" w:hanging="0"/>
      </w:pPr>
      <w:rPr>
        <w:rFonts w:cs="Times New Roman"/>
        <w:b w:val="0"/>
      </w:rPr>
    </w:lvl>
    <w:lvl w:ilvl="4">
      <w:start w:val="1"/>
      <w:numFmt w:val="decimal"/>
      <w:suff w:val="tab"/>
      <w:lvlText w:val="%1.%2.%3.%4.%5"/>
      <w:lvlJc w:val="left"/>
      <w:pPr>
        <w:ind w:left="0" w:hanging="0"/>
      </w:pPr>
      <w:rPr>
        <w:rFonts w:cs="Times New Roman"/>
      </w:rPr>
    </w:lvl>
    <w:lvl w:ilvl="5">
      <w:start w:val="1"/>
      <w:numFmt w:val="decimal"/>
      <w:suff w:val="tab"/>
      <w:lvlText w:val="%1.%2.%3.%4.%5.%6"/>
      <w:lvlJc w:val="left"/>
      <w:pPr>
        <w:ind w:left="0" w:hanging="0"/>
      </w:pPr>
      <w:rPr>
        <w:rFonts w:cs="Times New Roman"/>
      </w:rPr>
    </w:lvl>
    <w:lvl w:ilvl="6">
      <w:start w:val="1"/>
      <w:numFmt w:val="decimal"/>
      <w:suff w:val="tab"/>
      <w:lvlText w:val="%1.%2.%3.%4.%5.%6.%7"/>
      <w:lvlJc w:val="left"/>
      <w:pPr>
        <w:ind w:left="0" w:hanging="0"/>
      </w:pPr>
      <w:rPr>
        <w:rFonts w:cs="Times New Roman"/>
      </w:rPr>
    </w:lvl>
    <w:lvl w:ilvl="7">
      <w:start w:val="1"/>
      <w:numFmt w:val="decimal"/>
      <w:suff w:val="tab"/>
      <w:lvlText w:val="%1.%2.%3.%4.%5.%6.%7.%8"/>
      <w:lvlJc w:val="left"/>
      <w:pPr>
        <w:ind w:left="0" w:hanging="0"/>
      </w:pPr>
      <w:rPr>
        <w:rFonts w:cs="Times New Roman"/>
      </w:rPr>
    </w:lvl>
    <w:lvl w:ilvl="8">
      <w:start w:val="1"/>
      <w:numFmt w:val="decimal"/>
      <w:suff w:val="tab"/>
      <w:lvlText w:val="%1.%2.%3.%4.%5.%6.%7.%8.%9"/>
      <w:lvlJc w:val="left"/>
      <w:pPr>
        <w:ind w:left="0" w:hanging="0"/>
      </w:pPr>
      <w:rPr>
        <w:rFonts w:cs="Times New Roman"/>
      </w:rPr>
    </w:lvl>
  </w:abstractNum>
  <w:abstractNum w:abstractNumId="5">
    <w:multiLevelType w:val="hybridMultilevel"/>
    <w:name w:val="Nummerierungsliste 5"/>
    <w:lvl w:ilvl="0">
      <w:start w:val="1"/>
      <w:numFmt w:val="decimal"/>
      <w:suff w:val="tab"/>
      <w:lvlText w:val="%1"/>
      <w:lvlJc w:val="left"/>
      <w:pPr>
        <w:ind w:left="0" w:hanging="0"/>
      </w:pPr>
      <w:rPr>
        <w:rFonts w:ascii="Arial" w:hAnsi="Arial" w:cs="Times New Roman"/>
        <w:b/>
        <w:sz w:val="22"/>
      </w:rPr>
    </w:lvl>
    <w:lvl w:ilvl="1">
      <w:start w:val="1"/>
      <w:numFmt w:val="decimal"/>
      <w:suff w:val="tab"/>
      <w:lvlText w:val="%1.%2"/>
      <w:lvlJc w:val="left"/>
      <w:pPr>
        <w:ind w:left="0" w:hanging="0"/>
      </w:pPr>
      <w:rPr>
        <w:rFonts w:cs="Times New Roman"/>
      </w:rPr>
    </w:lvl>
    <w:lvl w:ilvl="2">
      <w:start w:val="1"/>
      <w:numFmt w:val="decimal"/>
      <w:suff w:val="tab"/>
      <w:lvlText w:val="%1.%2.%3"/>
      <w:lvlJc w:val="left"/>
      <w:pPr>
        <w:ind w:left="0" w:hanging="0"/>
      </w:pPr>
      <w:rPr>
        <w:rFonts w:cs="Times New Roman"/>
      </w:rPr>
    </w:lvl>
    <w:lvl w:ilvl="3">
      <w:start w:val="1"/>
      <w:numFmt w:val="decimal"/>
      <w:suff w:val="tab"/>
      <w:lvlText w:val="%1.%2.%3.%4"/>
      <w:lvlJc w:val="left"/>
      <w:pPr>
        <w:ind w:left="0" w:hanging="0"/>
      </w:pPr>
      <w:rPr>
        <w:rFonts w:cs="Times New Roman"/>
      </w:rPr>
    </w:lvl>
    <w:lvl w:ilvl="4">
      <w:start w:val="1"/>
      <w:numFmt w:val="decimal"/>
      <w:suff w:val="tab"/>
      <w:lvlText w:val="%1.%2.%3.%4.%5"/>
      <w:lvlJc w:val="left"/>
      <w:pPr>
        <w:ind w:left="0" w:hanging="0"/>
      </w:pPr>
      <w:rPr>
        <w:rFonts w:cs="Times New Roman"/>
      </w:rPr>
    </w:lvl>
    <w:lvl w:ilvl="5">
      <w:start w:val="1"/>
      <w:numFmt w:val="decimal"/>
      <w:suff w:val="tab"/>
      <w:lvlText w:val="%1.%2.%3.%4.%5.%6"/>
      <w:lvlJc w:val="left"/>
      <w:pPr>
        <w:ind w:left="0" w:hanging="0"/>
      </w:pPr>
      <w:rPr>
        <w:rFonts w:cs="Times New Roman"/>
      </w:rPr>
    </w:lvl>
    <w:lvl w:ilvl="6">
      <w:start w:val="1"/>
      <w:numFmt w:val="decimal"/>
      <w:suff w:val="tab"/>
      <w:lvlText w:val="%1.%2.%3.%4.%5.%6.%7"/>
      <w:lvlJc w:val="left"/>
      <w:pPr>
        <w:ind w:left="0" w:hanging="0"/>
      </w:pPr>
      <w:rPr>
        <w:rFonts w:cs="Times New Roman"/>
      </w:rPr>
    </w:lvl>
    <w:lvl w:ilvl="7">
      <w:start w:val="1"/>
      <w:numFmt w:val="decimal"/>
      <w:suff w:val="tab"/>
      <w:lvlText w:val="%1.%2.%3.%4.%5.%6.%7.%8"/>
      <w:lvlJc w:val="left"/>
      <w:pPr>
        <w:ind w:left="0" w:hanging="0"/>
      </w:pPr>
      <w:rPr>
        <w:rFonts w:cs="Times New Roman"/>
      </w:rPr>
    </w:lvl>
    <w:lvl w:ilvl="8">
      <w:start w:val="1"/>
      <w:numFmt w:val="decimal"/>
      <w:suff w:val="tab"/>
      <w:lvlText w:val="%1.%2.%3.%4.%5.%6.%7.%8.%9"/>
      <w:lvlJc w:val="left"/>
      <w:pPr>
        <w:ind w:left="0" w:hanging="0"/>
      </w:pPr>
      <w:rPr>
        <w:rFonts w:cs="Times New Roman"/>
      </w:rPr>
    </w:lvl>
  </w:abstractNum>
  <w:abstractNum w:abstractNumId="6">
    <w:multiLevelType w:val="hybridMultilevel"/>
    <w:name w:val="Nummerierungsliste 6"/>
    <w:lvl w:ilvl="0">
      <w:start w:val="1"/>
      <w:numFmt w:val="decimal"/>
      <w:suff w:val="tab"/>
      <w:lvlText w:val="%1"/>
      <w:lvlJc w:val="left"/>
      <w:pPr>
        <w:ind w:left="0" w:hanging="0"/>
      </w:pPr>
      <w:rPr>
        <w:rFonts w:ascii="Arial" w:hAnsi="Arial" w:cs="Times New Roman"/>
        <w:b/>
        <w:sz w:val="22"/>
      </w:rPr>
    </w:lvl>
    <w:lvl w:ilvl="1">
      <w:start w:val="1"/>
      <w:numFmt w:val="decimal"/>
      <w:suff w:val="tab"/>
      <w:lvlText w:val="%1.%2"/>
      <w:lvlJc w:val="left"/>
      <w:pPr>
        <w:ind w:left="0" w:hanging="0"/>
      </w:pPr>
      <w:rPr>
        <w:rFonts w:cs="Times New Roman"/>
      </w:rPr>
    </w:lvl>
    <w:lvl w:ilvl="2">
      <w:start w:val="1"/>
      <w:numFmt w:val="decimal"/>
      <w:suff w:val="tab"/>
      <w:lvlText w:val="%1.%2.%3"/>
      <w:lvlJc w:val="left"/>
      <w:pPr>
        <w:ind w:left="0" w:hanging="0"/>
      </w:pPr>
      <w:rPr>
        <w:rFonts w:cs="Times New Roman"/>
      </w:rPr>
    </w:lvl>
    <w:lvl w:ilvl="3">
      <w:start w:val="1"/>
      <w:numFmt w:val="decimal"/>
      <w:suff w:val="tab"/>
      <w:lvlText w:val="%1.%2.%3.%4"/>
      <w:lvlJc w:val="left"/>
      <w:pPr>
        <w:ind w:left="0" w:hanging="0"/>
      </w:pPr>
      <w:rPr>
        <w:rFonts w:cs="Times New Roman"/>
      </w:rPr>
    </w:lvl>
    <w:lvl w:ilvl="4">
      <w:start w:val="1"/>
      <w:numFmt w:val="decimal"/>
      <w:suff w:val="tab"/>
      <w:lvlText w:val="%1.%2.%3.%4.%5"/>
      <w:lvlJc w:val="left"/>
      <w:pPr>
        <w:ind w:left="0" w:hanging="0"/>
      </w:pPr>
      <w:rPr>
        <w:rFonts w:cs="Times New Roman"/>
      </w:rPr>
    </w:lvl>
    <w:lvl w:ilvl="5">
      <w:start w:val="1"/>
      <w:numFmt w:val="decimal"/>
      <w:suff w:val="tab"/>
      <w:lvlText w:val="%1.%2.%3.%4.%5.%6"/>
      <w:lvlJc w:val="left"/>
      <w:pPr>
        <w:ind w:left="0" w:hanging="0"/>
      </w:pPr>
      <w:rPr>
        <w:rFonts w:cs="Times New Roman"/>
      </w:rPr>
    </w:lvl>
    <w:lvl w:ilvl="6">
      <w:start w:val="1"/>
      <w:numFmt w:val="decimal"/>
      <w:suff w:val="tab"/>
      <w:lvlText w:val="%1.%2.%3.%4.%5.%6.%7"/>
      <w:lvlJc w:val="left"/>
      <w:pPr>
        <w:ind w:left="0" w:hanging="0"/>
      </w:pPr>
      <w:rPr>
        <w:rFonts w:cs="Times New Roman"/>
      </w:rPr>
    </w:lvl>
    <w:lvl w:ilvl="7">
      <w:start w:val="1"/>
      <w:numFmt w:val="decimal"/>
      <w:suff w:val="tab"/>
      <w:lvlText w:val="%1.%2.%3.%4.%5.%6.%7.%8"/>
      <w:lvlJc w:val="left"/>
      <w:pPr>
        <w:ind w:left="0" w:hanging="0"/>
      </w:pPr>
      <w:rPr>
        <w:rFonts w:cs="Times New Roman"/>
      </w:rPr>
    </w:lvl>
    <w:lvl w:ilvl="8">
      <w:start w:val="1"/>
      <w:numFmt w:val="decimal"/>
      <w:suff w:val="tab"/>
      <w:lvlText w:val="%1.%2.%3.%4.%5.%6.%7.%8.%9"/>
      <w:lvlJc w:val="left"/>
      <w:pPr>
        <w:ind w:left="0" w:hanging="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view w:val="print"/>
  <w:defaultTabStop w:val="708"/>
  <w:autoHyphenation w:val="0"/>
  <w:doNotShadeFormData w:val="0"/>
  <w:captions>
    <w:caption w:name="Tabelle" w:pos="below" w:numFmt="decimal"/>
    <w:caption w:name="Abbildung" w:pos="below" w:numFmt="decimal"/>
    <w:caption w:name="Grafik"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doNotUseHTMLParagraphAutoSpacing w:val="1"/>
  </w:compat>
  <w:shapeDefaults>
    <o:shapedefaults v:ext="edit" spidmax="3073"/>
    <o:shapelayout v:ext="edit">
      <o:rules v:ext="edit"/>
    </o:shapelayout>
  </w:shapeDefaults>
  <w:tmPrefOne w:val="17"/>
  <w:tmPrefTwo w:val="1"/>
  <w:tmFmtPref w:val="189281387"/>
  <w:tmCommentsPr>
    <w:tmCommentsPlace w:val="0"/>
    <w:tmCommentsWidth w:val="3119"/>
    <w:tmCommentsColor w:val="-1"/>
  </w:tmCommentsPr>
  <w:tmReviewPr>
    <w:tmReviewEnabled w:val="0"/>
    <w:tmReviewShow w:val="1"/>
    <w:tmReviewPrint w:val="0"/>
    <w:tmRevisionNum w:val="17"/>
    <w:tmReviewMarkIns w:val="4"/>
    <w:tmReviewColorIns w:val="-1"/>
    <w:tmReviewMarkDel w:val="6"/>
    <w:tmReviewColorDel w:val="-1"/>
    <w:tmReviewMarkFmt w:val="1"/>
    <w:tmReviewColorFmt w:val="-1"/>
    <w:tmReviewMarkLn w:val="1"/>
    <w:tmReviewColorLn w:val="0"/>
    <w:tmReviewToolTip w:val="0"/>
  </w:tmReviewPr>
  <w:tmLastPos>
    <w:tmLastPosPage w:val="1"/>
    <w:tmLastPosSelect w:val="0"/>
    <w:tmLastPosFrameIdx w:val="0"/>
    <w:tmLastPosCaret>
      <w:tmLastPosPgfIdx w:val="12"/>
      <w:tmLastPosIdx w:val="982"/>
    </w:tmLastPosCaret>
    <w:tmLastPosAnchor>
      <w:tmLastPosPgfIdx w:val="0"/>
      <w:tmLastPosIdx w:val="0"/>
    </w:tmLastPosAnchor>
    <w:tmLastPosTblRect w:left="0" w:top="0" w:right="0" w:bottom="0"/>
  </w:tmLastPos>
  <w:tmAppRevision w:date="1543576029" w:val="940" w:fileVer="341" w:fileVer64="64" w:fileVerOS="3"/>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hAnsi="Liberation Serif" w:eastAsia="Droid Sans Fallback" w:cs="FreeSans"/>
        <w:kern w:val="1"/>
        <w:sz w:val="24"/>
        <w:szCs w:val="24"/>
        <w:lang w:val="de-de"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spacing/>
      <w:jc w:val="both"/>
    </w:pPr>
    <w:rPr>
      <w:rFonts w:ascii="ZapfHumnst Dm BT" w:hAnsi="ZapfHumnst Dm BT" w:eastAsia="Courier New" w:cs="Times New Roman"/>
      <w:sz w:val="22"/>
      <w:lang w:bidi="ar-sa"/>
    </w:rPr>
  </w:style>
  <w:style w:type="paragraph" w:styleId="para1">
    <w:name w:val="heading 1"/>
    <w:qFormat/>
    <w:basedOn w:val="para0"/>
    <w:pPr>
      <w:numPr>
        <w:ilvl w:val="0"/>
        <w:numId w:val="4"/>
      </w:numPr>
      <w:ind w:left="0" w:hanging="432"/>
      <w:spacing/>
      <w:jc w:val="left"/>
      <w:keepNext/>
      <w:outlineLvl w:val="0"/>
      <w:tabs>
        <w:tab w:val="left" w:pos="432" w:leader="none"/>
      </w:tabs>
    </w:pPr>
    <w:rPr>
      <w:rFonts w:eastAsia="SimSun" w:cs="Arial"/>
      <w:b/>
      <w:bCs/>
      <w:sz w:val="24"/>
    </w:rPr>
  </w:style>
  <w:style w:type="paragraph" w:styleId="para2">
    <w:name w:val="heading 2"/>
    <w:qFormat/>
    <w:basedOn w:val="para0"/>
    <w:pPr>
      <w:ind w:hanging="578"/>
      <w:spacing/>
      <w:jc w:val="left"/>
      <w:keepNext/>
      <w:outlineLvl w:val="1"/>
      <w:tabs>
        <w:tab w:val="left" w:pos="432" w:leader="none"/>
        <w:tab w:val="left" w:pos="576" w:leader="none"/>
      </w:tabs>
    </w:pPr>
    <w:rPr>
      <w:rFonts w:eastAsia="SimSun" w:cs="Arial"/>
      <w:b/>
      <w:bCs/>
      <w:iCs/>
      <w:sz w:val="24"/>
    </w:rPr>
  </w:style>
  <w:style w:type="paragraph" w:styleId="para3">
    <w:name w:val="heading 3"/>
    <w:qFormat/>
    <w:basedOn w:val="para0"/>
    <w:pPr>
      <w:ind w:left="720" w:hanging="720"/>
      <w:spacing/>
      <w:jc w:val="left"/>
      <w:keepNext/>
      <w:outlineLvl w:val="2"/>
      <w:tabs>
        <w:tab w:val="left" w:pos="432" w:leader="none"/>
        <w:tab w:val="left" w:pos="720" w:leader="none"/>
      </w:tabs>
    </w:pPr>
    <w:rPr>
      <w:rFonts w:eastAsia="SimSun" w:cs="Arial"/>
      <w:b/>
      <w:bCs/>
      <w:sz w:val="24"/>
    </w:rPr>
  </w:style>
  <w:style w:type="paragraph" w:styleId="para4">
    <w:name w:val="heading 4"/>
    <w:qFormat/>
    <w:basedOn w:val="para0"/>
    <w:pPr>
      <w:ind w:hanging="864"/>
      <w:spacing w:before="240" w:after="60"/>
      <w:jc w:val="left"/>
      <w:keepNext/>
      <w:outlineLvl w:val="3"/>
      <w:tabs>
        <w:tab w:val="left" w:pos="432" w:leader="none"/>
        <w:tab w:val="left" w:pos="864" w:leader="none"/>
      </w:tabs>
    </w:pPr>
    <w:rPr>
      <w:rFonts w:eastAsia="SimSun" w:cs="Arial"/>
      <w:b/>
      <w:bCs/>
      <w:sz w:val="24"/>
      <w:szCs w:val="28"/>
    </w:rPr>
  </w:style>
  <w:style w:type="paragraph" w:styleId="para5">
    <w:name w:val="heading 5"/>
    <w:qFormat/>
    <w:basedOn w:val="para0"/>
    <w:pPr>
      <w:numPr>
        <w:ilvl w:val="4"/>
        <w:numId w:val="3"/>
      </w:numPr>
      <w:ind w:left="1008" w:hanging="1008"/>
      <w:spacing w:before="240" w:after="60"/>
      <w:jc w:val="left"/>
      <w:outlineLvl w:val="4"/>
      <w:tabs>
        <w:tab w:val="left" w:pos="1008" w:leader="none"/>
      </w:tabs>
    </w:pPr>
    <w:rPr>
      <w:rFonts w:ascii="Arial" w:hAnsi="Arial"/>
      <w:b/>
      <w:bCs/>
      <w:iCs/>
      <w:szCs w:val="26"/>
    </w:rPr>
  </w:style>
  <w:style w:type="paragraph" w:styleId="para6">
    <w:name w:val="heading 6"/>
    <w:qFormat/>
    <w:basedOn w:val="para0"/>
    <w:pPr>
      <w:numPr>
        <w:ilvl w:val="5"/>
        <w:numId w:val="3"/>
      </w:numPr>
      <w:ind w:left="1152" w:hanging="1152"/>
      <w:spacing w:before="240" w:after="60"/>
      <w:jc w:val="left"/>
      <w:outlineLvl w:val="5"/>
      <w:tabs>
        <w:tab w:val="left" w:pos="1152" w:leader="none"/>
      </w:tabs>
    </w:pPr>
    <w:rPr>
      <w:rFonts w:ascii="Arial" w:hAnsi="Arial"/>
      <w:b/>
      <w:bCs/>
      <w:szCs w:val="22"/>
    </w:rPr>
  </w:style>
  <w:style w:type="paragraph" w:styleId="para7">
    <w:name w:val="heading 7"/>
    <w:qFormat/>
    <w:basedOn w:val="para0"/>
    <w:pPr>
      <w:numPr>
        <w:ilvl w:val="6"/>
        <w:numId w:val="3"/>
      </w:numPr>
      <w:ind w:left="1296" w:hanging="1296"/>
      <w:spacing w:before="240" w:after="60"/>
      <w:jc w:val="left"/>
      <w:outlineLvl w:val="6"/>
      <w:tabs>
        <w:tab w:val="left" w:pos="1296" w:leader="none"/>
      </w:tabs>
    </w:pPr>
    <w:rPr>
      <w:sz w:val="24"/>
    </w:rPr>
  </w:style>
  <w:style w:type="paragraph" w:styleId="para8">
    <w:name w:val="heading 8"/>
    <w:qFormat/>
    <w:basedOn w:val="para0"/>
    <w:pPr>
      <w:numPr>
        <w:ilvl w:val="7"/>
        <w:numId w:val="3"/>
      </w:numPr>
      <w:ind w:left="1440" w:hanging="1440"/>
      <w:spacing w:before="240" w:after="60"/>
      <w:jc w:val="left"/>
      <w:outlineLvl w:val="7"/>
      <w:tabs>
        <w:tab w:val="left" w:pos="1440" w:leader="none"/>
      </w:tabs>
    </w:pPr>
    <w:rPr>
      <w:i/>
      <w:iCs/>
      <w:sz w:val="24"/>
    </w:rPr>
  </w:style>
  <w:style w:type="paragraph" w:styleId="para9">
    <w:name w:val="heading 9"/>
    <w:qFormat/>
    <w:basedOn w:val="para0"/>
    <w:pPr>
      <w:numPr>
        <w:ilvl w:val="8"/>
        <w:numId w:val="3"/>
      </w:numPr>
      <w:ind w:left="1584" w:hanging="1584"/>
      <w:spacing w:before="240" w:after="60"/>
      <w:jc w:val="left"/>
      <w:outlineLvl w:val="8"/>
      <w:tabs>
        <w:tab w:val="left" w:pos="1584" w:leader="none"/>
      </w:tabs>
    </w:pPr>
    <w:rPr>
      <w:rFonts w:ascii="Arial" w:hAnsi="Arial" w:cs="Arial"/>
      <w:szCs w:val="22"/>
    </w:rPr>
  </w:style>
  <w:style w:type="paragraph" w:styleId="para10" w:customStyle="1">
    <w:name w:val="Überschrift"/>
    <w:qFormat/>
    <w:basedOn w:val="para0"/>
    <w:next w:val="para11"/>
    <w:pPr>
      <w:spacing w:before="240" w:after="120"/>
      <w:keepNext/>
    </w:pPr>
    <w:rPr>
      <w:rFonts w:ascii="Liberation Sans" w:hAnsi="Liberation Sans" w:eastAsia="Droid Sans Fallback" w:cs="FreeSans"/>
      <w:sz w:val="28"/>
      <w:szCs w:val="28"/>
    </w:rPr>
  </w:style>
  <w:style w:type="paragraph" w:styleId="para11">
    <w:name w:val="Body Text"/>
    <w:qFormat/>
    <w:basedOn w:val="para0"/>
    <w:pPr>
      <w:spacing w:after="140" w:line="276" w:lineRule="auto"/>
    </w:pPr>
  </w:style>
  <w:style w:type="paragraph" w:styleId="para12">
    <w:name w:val="List"/>
    <w:qFormat/>
    <w:basedOn w:val="para11"/>
    <w:rPr>
      <w:rFonts w:cs="FreeSans"/>
    </w:rPr>
  </w:style>
  <w:style w:type="paragraph" w:styleId="para13">
    <w:name w:val="caption"/>
    <w:qFormat/>
    <w:basedOn w:val="para0"/>
    <w:pPr>
      <w:spacing w:before="120" w:after="120"/>
      <w:jc w:val="left"/>
    </w:pPr>
    <w:rPr>
      <w:rFonts w:ascii="Arial" w:hAnsi="Arial"/>
      <w:bCs/>
      <w:i/>
      <w:sz w:val="18"/>
      <w:szCs w:val="20"/>
    </w:rPr>
  </w:style>
  <w:style w:type="paragraph" w:styleId="para14" w:customStyle="1">
    <w:name w:val="Verzeichnis"/>
    <w:qFormat/>
    <w:basedOn w:val="para0"/>
    <w:pPr>
      <w:ind w:left="283" w:hanging="283"/>
      <w:spacing w:after="227"/>
      <w:suppressLineNumbers/>
    </w:pPr>
    <w:rPr>
      <w:rFonts w:cs="FreeSans"/>
    </w:rPr>
  </w:style>
  <w:style w:type="paragraph" w:styleId="para15" w:customStyle="1">
    <w:name w:val="DocumentMap"/>
    <w:qFormat/>
    <w:rPr>
      <w:rFonts w:ascii="Times New Roman" w:hAnsi="Times New Roman" w:eastAsia="Courier New" w:cs="Times New Roman"/>
      <w:sz w:val="20"/>
      <w:szCs w:val="20"/>
      <w:lang w:bidi="ar-sa"/>
    </w:rPr>
  </w:style>
  <w:style w:type="paragraph" w:styleId="para16">
    <w:name w:val="Header"/>
    <w:qFormat/>
    <w:basedOn w:val="para0"/>
    <w:pPr>
      <w:spacing/>
      <w:jc w:val="left"/>
      <w:tabs>
        <w:tab w:val="center" w:pos="4536" w:leader="none"/>
        <w:tab w:val="right" w:pos="9072" w:leader="none"/>
      </w:tabs>
    </w:pPr>
    <w:rPr>
      <w:rFonts w:ascii="Arial" w:hAnsi="Arial"/>
    </w:rPr>
  </w:style>
  <w:style w:type="paragraph" w:styleId="para17">
    <w:name w:val="Footer"/>
    <w:qFormat/>
    <w:basedOn w:val="para0"/>
    <w:pPr>
      <w:spacing/>
      <w:jc w:val="left"/>
      <w:tabs>
        <w:tab w:val="center" w:pos="4536" w:leader="none"/>
        <w:tab w:val="right" w:pos="9072" w:leader="none"/>
      </w:tabs>
    </w:pPr>
    <w:rPr>
      <w:rFonts w:ascii="Arial" w:hAnsi="Arial"/>
    </w:rPr>
  </w:style>
  <w:style w:type="paragraph" w:styleId="para18">
    <w:name w:val="List Paragraph"/>
    <w:qFormat/>
    <w:basedOn w:val="para0"/>
    <w:pPr>
      <w:ind w:left="708"/>
      <w:spacing/>
      <w:jc w:val="left"/>
    </w:pPr>
    <w:rPr>
      <w:rFonts w:ascii="Arial" w:hAnsi="Arial"/>
    </w:rPr>
  </w:style>
  <w:style w:type="paragraph" w:styleId="para19">
    <w:name w:val="Subtitle"/>
    <w:qFormat/>
    <w:basedOn w:val="para0"/>
    <w:pPr>
      <w:spacing w:after="60"/>
      <w:jc w:val="center"/>
      <w:outlineLvl w:val="1"/>
    </w:pPr>
    <w:rPr>
      <w:rFonts w:ascii="Cambria" w:hAnsi="Cambria" w:eastAsia="SimSun" w:cs="Cambria"/>
      <w:sz w:val="24"/>
    </w:rPr>
  </w:style>
  <w:style w:type="paragraph" w:styleId="para20">
    <w:name w:val="Title"/>
    <w:qFormat/>
    <w:basedOn w:val="para0"/>
    <w:pPr>
      <w:spacing w:before="240" w:after="60"/>
      <w:jc w:val="center"/>
      <w:outlineLvl w:val="0"/>
    </w:pPr>
    <w:rPr>
      <w:rFonts w:ascii="Cambria" w:hAnsi="Cambria" w:eastAsia="SimSun" w:cs="Cambria"/>
      <w:b/>
      <w:bCs/>
      <w:sz w:val="32"/>
      <w:szCs w:val="32"/>
    </w:rPr>
  </w:style>
  <w:style w:type="paragraph" w:styleId="para21">
    <w:name w:val="Footnote Text"/>
    <w:qFormat/>
    <w:basedOn w:val="para0"/>
    <w:pPr>
      <w:ind w:left="283" w:hanging="283"/>
      <w:spacing/>
      <w:jc w:val="left"/>
      <w:keepLines/>
      <w:widowControl w:val="0"/>
    </w:pPr>
    <w:rPr>
      <w:sz w:val="20"/>
      <w:szCs w:val="20"/>
    </w:rPr>
  </w:style>
  <w:style w:type="paragraph" w:styleId="para22">
    <w:name w:val="No Spacing"/>
    <w:qFormat/>
    <w:rPr>
      <w:rFonts w:ascii="Arial" w:hAnsi="Arial" w:eastAsia="Courier New" w:cs="Times New Roman"/>
      <w:sz w:val="20"/>
      <w:lang w:bidi="ar-sa"/>
    </w:rPr>
  </w:style>
  <w:style w:type="paragraph" w:styleId="para23">
    <w:name w:val="Intense Quote"/>
    <w:qFormat/>
    <w:basedOn w:val="para0"/>
    <w:pPr>
      <w:ind w:left="936" w:right="936"/>
      <w:spacing w:before="200" w:after="280"/>
      <w:jc w:val="left"/>
      <w:pBdr>
        <w:top w:val="nil" w:sz="0" w:space="3" w:color="000000" tmln="20, 20, 20, 0, 60"/>
        <w:left w:val="nil" w:sz="0" w:space="3" w:color="000000" tmln="20, 20, 20, 0, 60"/>
        <w:bottom w:val="single" w:sz="4" w:space="4" w:color="FABA00" tmln="10, 20, 20, 0, 80"/>
        <w:right w:val="nil" w:sz="0" w:space="3" w:color="000000" tmln="20, 20, 20, 0, 60"/>
        <w:between w:val="nil" w:sz="0" w:space="0" w:color="000000" tmln="20, 20, 20, 0, 0"/>
      </w:pBdr>
      <w:shd w:val="none"/>
    </w:pPr>
    <w:rPr>
      <w:rFonts w:ascii="Arial" w:hAnsi="Arial"/>
      <w:b/>
      <w:bCs/>
      <w:i/>
      <w:iCs/>
      <w:color w:val="faba00"/>
    </w:rPr>
  </w:style>
  <w:style w:type="paragraph" w:styleId="para24">
    <w:name w:val="toc 2"/>
    <w:qFormat/>
    <w:basedOn w:val="para0"/>
    <w:pPr>
      <w:ind w:left="200"/>
      <w:spacing w:before="120"/>
      <w:jc w:val="left"/>
    </w:pPr>
    <w:rPr>
      <w:rFonts w:ascii="Calibri" w:hAnsi="Calibri"/>
      <w:i/>
      <w:iCs/>
      <w:szCs w:val="20"/>
    </w:rPr>
  </w:style>
  <w:style w:type="paragraph" w:styleId="para25" w:customStyle="1">
    <w:name w:val="Default"/>
    <w:qFormat/>
    <w:rPr>
      <w:rFonts w:ascii="Arial" w:hAnsi="Arial" w:eastAsia="SimSun" w:cs="Arial"/>
      <w:color w:val="000000"/>
      <w:lang w:bidi="ar-sa"/>
    </w:rPr>
  </w:style>
  <w:style w:type="paragraph" w:styleId="para26">
    <w:name w:val="toc 1"/>
    <w:qFormat/>
    <w:basedOn w:val="para0"/>
    <w:pPr>
      <w:spacing w:before="240" w:after="120"/>
      <w:jc w:val="left"/>
    </w:pPr>
    <w:rPr>
      <w:rFonts w:ascii="Calibri" w:hAnsi="Calibri"/>
      <w:b/>
      <w:bCs/>
      <w:szCs w:val="20"/>
    </w:rPr>
  </w:style>
  <w:style w:type="paragraph" w:styleId="para27">
    <w:name w:val="toc 3"/>
    <w:qFormat/>
    <w:basedOn w:val="para0"/>
    <w:pPr>
      <w:ind w:left="400"/>
      <w:spacing/>
      <w:jc w:val="left"/>
    </w:pPr>
    <w:rPr>
      <w:rFonts w:ascii="Calibri" w:hAnsi="Calibri"/>
      <w:szCs w:val="20"/>
    </w:rPr>
  </w:style>
  <w:style w:type="paragraph" w:styleId="para28">
    <w:name w:val="toc 4"/>
    <w:qFormat/>
    <w:basedOn w:val="para0"/>
    <w:pPr>
      <w:ind w:left="600"/>
      <w:spacing/>
      <w:jc w:val="left"/>
    </w:pPr>
    <w:rPr>
      <w:rFonts w:ascii="Calibri" w:hAnsi="Calibri"/>
      <w:szCs w:val="20"/>
    </w:rPr>
  </w:style>
  <w:style w:type="paragraph" w:styleId="para29">
    <w:name w:val="toc 5"/>
    <w:qFormat/>
    <w:basedOn w:val="para0"/>
    <w:pPr>
      <w:ind w:left="800"/>
      <w:spacing/>
      <w:jc w:val="left"/>
    </w:pPr>
    <w:rPr>
      <w:rFonts w:ascii="Calibri" w:hAnsi="Calibri"/>
      <w:szCs w:val="20"/>
    </w:rPr>
  </w:style>
  <w:style w:type="paragraph" w:styleId="para30">
    <w:name w:val="toc 6"/>
    <w:qFormat/>
    <w:basedOn w:val="para0"/>
    <w:pPr>
      <w:ind w:left="1000"/>
      <w:spacing/>
      <w:jc w:val="left"/>
    </w:pPr>
    <w:rPr>
      <w:rFonts w:ascii="Calibri" w:hAnsi="Calibri"/>
      <w:szCs w:val="20"/>
    </w:rPr>
  </w:style>
  <w:style w:type="paragraph" w:styleId="para31">
    <w:name w:val="toc 7"/>
    <w:qFormat/>
    <w:basedOn w:val="para0"/>
    <w:pPr>
      <w:ind w:left="1200"/>
      <w:spacing/>
      <w:jc w:val="left"/>
    </w:pPr>
    <w:rPr>
      <w:rFonts w:ascii="Calibri" w:hAnsi="Calibri"/>
      <w:szCs w:val="20"/>
    </w:rPr>
  </w:style>
  <w:style w:type="paragraph" w:styleId="para32">
    <w:name w:val="toc 8"/>
    <w:qFormat/>
    <w:basedOn w:val="para0"/>
    <w:pPr>
      <w:ind w:left="1400"/>
      <w:spacing/>
      <w:jc w:val="left"/>
    </w:pPr>
    <w:rPr>
      <w:rFonts w:ascii="Calibri" w:hAnsi="Calibri"/>
      <w:szCs w:val="20"/>
    </w:rPr>
  </w:style>
  <w:style w:type="paragraph" w:styleId="para33">
    <w:name w:val="toc 9"/>
    <w:qFormat/>
    <w:basedOn w:val="para0"/>
    <w:pPr>
      <w:ind w:left="1600"/>
      <w:spacing/>
      <w:jc w:val="left"/>
    </w:pPr>
    <w:rPr>
      <w:rFonts w:ascii="Calibri" w:hAnsi="Calibri"/>
      <w:szCs w:val="20"/>
    </w:rPr>
  </w:style>
  <w:style w:type="paragraph" w:styleId="para34" w:customStyle="1">
    <w:name w:val="Tabellenraster1"/>
    <w:qFormat/>
    <w:basedOn w:val="para15"/>
  </w:style>
  <w:style w:type="paragraph" w:styleId="para35" w:customStyle="1">
    <w:name w:val="CD_Fußzeile"/>
    <w:qFormat/>
    <w:basedOn w:val="para17"/>
    <w:pPr>
      <w:spacing w:line="276" w:lineRule="auto"/>
    </w:pPr>
    <w:rPr>
      <w:rFonts w:cs="Arial"/>
      <w:sz w:val="17"/>
      <w:szCs w:val="17"/>
    </w:rPr>
  </w:style>
  <w:style w:type="paragraph" w:styleId="para36" w:customStyle="1">
    <w:name w:val="CD_Fußzeile_Farbe"/>
    <w:qFormat/>
    <w:pPr>
      <w:spacing w:line="276" w:lineRule="auto"/>
    </w:pPr>
    <w:rPr>
      <w:rFonts w:ascii="Arial" w:hAnsi="Arial" w:eastAsia="Courier New" w:cs="Arial"/>
      <w:b/>
      <w:color w:val="00529e"/>
      <w:sz w:val="17"/>
      <w:szCs w:val="17"/>
      <w:lang w:bidi="ar-sa"/>
    </w:rPr>
  </w:style>
  <w:style w:type="paragraph" w:styleId="para37">
    <w:name w:val="Balloon Text"/>
    <w:qFormat/>
    <w:basedOn w:val="para0"/>
    <w:pPr>
      <w:spacing/>
      <w:jc w:val="left"/>
    </w:pPr>
    <w:rPr>
      <w:rFonts w:ascii="Segoe UI" w:hAnsi="Segoe UI" w:cs="Segoe UI"/>
      <w:sz w:val="18"/>
      <w:szCs w:val="18"/>
    </w:rPr>
  </w:style>
  <w:style w:type="paragraph" w:styleId="para38" w:customStyle="1">
    <w:name w:val="Tabelleninhalt"/>
    <w:qFormat/>
    <w:basedOn w:val="para0"/>
    <w:pPr>
      <w:suppressLineNumbers/>
    </w:pPr>
  </w:style>
  <w:style w:type="paragraph" w:styleId="para39">
    <w:name w:val="Endnote Text"/>
    <w:qFormat/>
    <w:basedOn w:val="para0"/>
    <w:pPr>
      <w:ind w:left="339" w:hanging="339"/>
      <w:suppressLineNumbers/>
    </w:pPr>
    <w:rPr>
      <w:sz w:val="20"/>
      <w:szCs w:val="20"/>
    </w:rPr>
  </w:style>
  <w:style w:type="paragraph" w:styleId="para40" w:customStyle="1">
    <w:name w:val="Tabellenüberschrift"/>
    <w:qFormat/>
    <w:basedOn w:val="para38"/>
    <w:pPr>
      <w:spacing/>
      <w:jc w:val="center"/>
    </w:pPr>
    <w:rPr>
      <w:b/>
      <w:bCs/>
    </w:rPr>
  </w:style>
  <w:style w:type="paragraph" w:styleId="para41">
    <w:name w:val="Quote"/>
    <w:qFormat/>
    <w:basedOn w:val="para0"/>
    <w:pPr>
      <w:ind w:left="567" w:right="567"/>
      <w:spacing w:after="283"/>
    </w:pPr>
  </w:style>
  <w:style w:type="paragraph" w:styleId="para42">
    <w:name w:val="index 1"/>
    <w:qFormat/>
    <w:basedOn w:val="para14"/>
    <w:pPr>
      <w:ind w:left="0" w:firstLine="0"/>
    </w:pPr>
  </w:style>
  <w:style w:type="paragraph" w:styleId="para43" w:customStyle="1">
    <w:name w:val="Objektverzeichnis Überschrift"/>
    <w:qFormat/>
    <w:basedOn w:val="para10"/>
    <w:pPr>
      <w:suppressLineNumbers/>
    </w:pPr>
    <w:rPr>
      <w:b/>
      <w:bCs/>
      <w:sz w:val="32"/>
      <w:szCs w:val="32"/>
    </w:rPr>
  </w:style>
  <w:style w:type="paragraph" w:styleId="para44" w:customStyle="1">
    <w:name w:val="Objektverzeichnis 1"/>
    <w:qFormat/>
    <w:basedOn w:val="para14"/>
    <w:pPr>
      <w:ind w:left="0" w:firstLine="0"/>
      <w:tabs>
        <w:tab w:val="right" w:pos="9354" w:leader="dot"/>
      </w:tabs>
    </w:pPr>
  </w:style>
  <w:style w:type="paragraph" w:styleId="para45" w:customStyle="1">
    <w:name w:val="annotation text"/>
    <w:qFormat/>
    <w:basedOn w:val="para0"/>
    <w:rPr>
      <w:sz w:val="20"/>
      <w:szCs w:val="20"/>
    </w:rPr>
  </w:style>
  <w:style w:type="paragraph" w:styleId="para46" w:customStyle="1">
    <w:name w:val="annotation subject"/>
    <w:qFormat/>
    <w:basedOn w:val="para45"/>
    <w:next w:val="para45"/>
    <w:rPr>
      <w:b/>
      <w:bCs/>
    </w:rPr>
  </w:style>
  <w:style w:type="paragraph" w:styleId="para47">
    <w:name w:val="Comment Text"/>
    <w:qFormat/>
    <w:basedOn w:val="para0"/>
    <w:rPr>
      <w:sz w:val="20"/>
      <w:szCs w:val="20"/>
    </w:rPr>
  </w:style>
  <w:style w:type="paragraph" w:styleId="para48">
    <w:name w:val="Comment Subject"/>
    <w:qFormat/>
    <w:basedOn w:val="para47"/>
    <w:next w:val="para47"/>
    <w:rPr>
      <w:b/>
      <w:bCs/>
    </w:rPr>
  </w:style>
  <w:style w:type="character" w:styleId="char0" w:default="1">
    <w:name w:val="Default Paragraph Font"/>
  </w:style>
  <w:style w:type="character" w:styleId="char1" w:customStyle="1">
    <w:name w:val="Überschrift 1 Zchn"/>
    <w:basedOn w:val="char0"/>
    <w:rPr>
      <w:rFonts w:ascii="Arial" w:hAnsi="Arial" w:eastAsia="SimSun" w:cs="Arial"/>
      <w:b/>
      <w:bCs/>
      <w:sz w:val="24"/>
      <w:szCs w:val="24"/>
    </w:rPr>
  </w:style>
  <w:style w:type="character" w:styleId="char2" w:customStyle="1">
    <w:name w:val="Überschrift 2 Zchn"/>
    <w:basedOn w:val="char0"/>
    <w:rPr>
      <w:rFonts w:ascii="Arial" w:hAnsi="Arial" w:eastAsia="SimSun" w:cs="Arial"/>
      <w:b/>
      <w:bCs/>
      <w:iCs/>
      <w:sz w:val="22"/>
      <w:lang w:val="de-de"/>
    </w:rPr>
  </w:style>
  <w:style w:type="character" w:styleId="char3" w:customStyle="1">
    <w:name w:val="Überschrift 3 Zchn"/>
    <w:basedOn w:val="char0"/>
    <w:rPr>
      <w:rFonts w:ascii="Arial" w:hAnsi="Arial" w:eastAsia="SimSun" w:cs="Arial"/>
      <w:b/>
      <w:bCs/>
      <w:sz w:val="24"/>
      <w:szCs w:val="24"/>
    </w:rPr>
  </w:style>
  <w:style w:type="character" w:styleId="char4" w:customStyle="1">
    <w:name w:val="Überschrift 4 Zchn"/>
    <w:basedOn w:val="char0"/>
    <w:rPr>
      <w:rFonts w:ascii="Arial" w:hAnsi="Arial" w:eastAsia="SimSun" w:cs="Arial"/>
      <w:b/>
      <w:bCs/>
      <w:sz w:val="28"/>
      <w:szCs w:val="28"/>
    </w:rPr>
  </w:style>
  <w:style w:type="character" w:styleId="char5" w:customStyle="1">
    <w:name w:val="Überschrift 5 Zchn"/>
    <w:basedOn w:val="char0"/>
    <w:rPr>
      <w:rFonts w:ascii="Arial" w:hAnsi="Arial" w:cs="Times New Roman"/>
      <w:b/>
      <w:bCs/>
      <w:iCs/>
      <w:sz w:val="26"/>
      <w:szCs w:val="26"/>
    </w:rPr>
  </w:style>
  <w:style w:type="character" w:styleId="char6" w:customStyle="1">
    <w:name w:val="Überschrift 6 Zchn"/>
    <w:basedOn w:val="char0"/>
    <w:rPr>
      <w:rFonts w:ascii="Arial" w:hAnsi="Arial" w:cs="Times New Roman"/>
      <w:b/>
      <w:bCs/>
      <w:sz w:val="22"/>
      <w:szCs w:val="22"/>
    </w:rPr>
  </w:style>
  <w:style w:type="character" w:styleId="char7" w:customStyle="1">
    <w:name w:val="Überschrift 7 Zchn"/>
    <w:basedOn w:val="char0"/>
    <w:rPr>
      <w:rFonts w:cs="Times New Roman"/>
      <w:sz w:val="24"/>
      <w:szCs w:val="24"/>
    </w:rPr>
  </w:style>
  <w:style w:type="character" w:styleId="char8" w:customStyle="1">
    <w:name w:val="Überschrift 8 Zchn"/>
    <w:basedOn w:val="char0"/>
    <w:rPr>
      <w:rFonts w:cs="Times New Roman"/>
      <w:i/>
      <w:iCs/>
      <w:sz w:val="24"/>
      <w:szCs w:val="24"/>
    </w:rPr>
  </w:style>
  <w:style w:type="character" w:styleId="char9" w:customStyle="1">
    <w:name w:val="Überschrift 9 Zchn"/>
    <w:basedOn w:val="char0"/>
    <w:rPr>
      <w:rFonts w:ascii="Arial" w:hAnsi="Arial" w:cs="Arial"/>
      <w:sz w:val="22"/>
      <w:szCs w:val="22"/>
    </w:rPr>
  </w:style>
  <w:style w:type="character" w:styleId="char10" w:customStyle="1">
    <w:name w:val="Kopfzeile Zchn"/>
    <w:basedOn w:val="char0"/>
    <w:rPr>
      <w:rFonts w:cs="Times New Roman"/>
    </w:rPr>
  </w:style>
  <w:style w:type="character" w:styleId="char11" w:customStyle="1">
    <w:name w:val="Fußzeile Zchn"/>
    <w:basedOn w:val="char0"/>
    <w:rPr>
      <w:rFonts w:cs="Times New Roman"/>
    </w:rPr>
  </w:style>
  <w:style w:type="character" w:styleId="char12" w:customStyle="1">
    <w:name w:val="Untertitel Zchn"/>
    <w:basedOn w:val="char0"/>
    <w:rPr>
      <w:rFonts w:ascii="Cambria" w:hAnsi="Cambria" w:eastAsia="SimSun" w:cs="Cambria"/>
      <w:sz w:val="24"/>
      <w:szCs w:val="24"/>
    </w:rPr>
  </w:style>
  <w:style w:type="character" w:styleId="char13" w:customStyle="1">
    <w:name w:val="Titel Zchn"/>
    <w:basedOn w:val="char0"/>
    <w:rPr>
      <w:rFonts w:ascii="Cambria" w:hAnsi="Cambria" w:eastAsia="SimSun" w:cs="Cambria"/>
      <w:b/>
      <w:bCs/>
      <w:kern w:val="1"/>
      <w:sz w:val="32"/>
      <w:szCs w:val="32"/>
    </w:rPr>
  </w:style>
  <w:style w:type="character" w:styleId="char14" w:customStyle="1">
    <w:name w:val="Betont"/>
    <w:basedOn w:val="char0"/>
    <w:rPr>
      <w:rFonts w:cs="Times New Roman"/>
      <w:i/>
      <w:iCs/>
    </w:rPr>
  </w:style>
  <w:style w:type="character" w:styleId="char15">
    <w:name w:val="Intense Emphasis"/>
    <w:basedOn w:val="char14"/>
    <w:rPr>
      <w:b/>
      <w:bCs/>
      <w:color w:val="faba00"/>
    </w:rPr>
  </w:style>
  <w:style w:type="character" w:styleId="char16" w:customStyle="1">
    <w:name w:val="Fußnotentext Zchn"/>
    <w:basedOn w:val="char0"/>
    <w:rPr>
      <w:rFonts w:ascii="Arial" w:hAnsi="Arial" w:cs="Times New Roman"/>
      <w:sz w:val="20"/>
      <w:szCs w:val="20"/>
    </w:rPr>
  </w:style>
  <w:style w:type="character" w:styleId="char17" w:customStyle="1">
    <w:name w:val="Fußnotenanker"/>
    <w:rPr>
      <w:rFonts w:cs="Times New Roman"/>
      <w:vertAlign w:val="superscript"/>
    </w:rPr>
  </w:style>
  <w:style w:type="character" w:styleId="char18" w:customStyle="1">
    <w:name w:val="Footnote Characters"/>
    <w:basedOn w:val="char0"/>
    <w:rPr>
      <w:rFonts w:cs="Times New Roman"/>
      <w:vertAlign w:val="superscript"/>
    </w:rPr>
  </w:style>
  <w:style w:type="character" w:styleId="char19">
    <w:name w:val="Strong"/>
    <w:basedOn w:val="char0"/>
    <w:rPr>
      <w:rFonts w:cs="Times New Roman"/>
      <w:b/>
      <w:bCs/>
    </w:rPr>
  </w:style>
  <w:style w:type="character" w:styleId="char20">
    <w:name w:val="Book Title"/>
    <w:basedOn w:val="char0"/>
    <w:rPr>
      <w:rFonts w:cs="Times New Roman"/>
      <w:b/>
      <w:bCs/>
      <w:smallCaps/>
      <w:spacing w:val="0"/>
    </w:rPr>
  </w:style>
  <w:style w:type="character" w:styleId="char21">
    <w:name w:val="Intense Reference"/>
    <w:basedOn w:val="char0"/>
    <w:rPr>
      <w:rFonts w:cs="Times New Roman"/>
      <w:b/>
      <w:bCs/>
      <w:smallCaps/>
      <w:color w:val="e53517"/>
      <w:spacing w:val="0"/>
      <w:u w:color="auto" w:val="single"/>
    </w:rPr>
  </w:style>
  <w:style w:type="character" w:styleId="char22">
    <w:name w:val="Subtle Reference"/>
    <w:basedOn w:val="char0"/>
    <w:rPr>
      <w:rFonts w:cs="Times New Roman"/>
      <w:smallCaps/>
      <w:color w:val="e53517"/>
      <w:u w:color="auto" w:val="single"/>
    </w:rPr>
  </w:style>
  <w:style w:type="character" w:styleId="char23">
    <w:name w:val="Subtle Emphasis"/>
    <w:basedOn w:val="char0"/>
    <w:rPr>
      <w:rFonts w:cs="Times New Roman"/>
      <w:i/>
      <w:iCs/>
      <w:color w:val="808080"/>
    </w:rPr>
  </w:style>
  <w:style w:type="character" w:styleId="char24" w:customStyle="1">
    <w:name w:val="Intensives Zitat Zchn"/>
    <w:basedOn w:val="char0"/>
    <w:rPr>
      <w:rFonts w:ascii="Arial" w:hAnsi="Arial" w:cs="Times New Roman"/>
      <w:b/>
      <w:bCs/>
      <w:i/>
      <w:iCs/>
      <w:color w:val="faba00"/>
      <w:sz w:val="24"/>
      <w:szCs w:val="24"/>
    </w:rPr>
  </w:style>
  <w:style w:type="character" w:styleId="char25" w:customStyle="1">
    <w:name w:val="Internetverknüpfung"/>
    <w:basedOn w:val="char0"/>
    <w:rPr>
      <w:rFonts w:cs="Times New Roman"/>
      <w:color w:val="0000ff"/>
      <w:u w:color="auto" w:val="single"/>
    </w:rPr>
  </w:style>
  <w:style w:type="character" w:styleId="char26" w:customStyle="1">
    <w:name w:val="Sprechblasentext Zchn"/>
    <w:basedOn w:val="char0"/>
    <w:rPr>
      <w:rFonts w:ascii="Segoe UI" w:hAnsi="Segoe UI" w:cs="Segoe UI"/>
      <w:sz w:val="18"/>
      <w:szCs w:val="18"/>
      <w:lang w:val="de-de"/>
    </w:rPr>
  </w:style>
  <w:style w:type="character" w:styleId="char27" w:customStyle="1">
    <w:name w:val="ListLabel 1"/>
    <w:rPr>
      <w:rFonts w:cs="Times New Roman"/>
    </w:rPr>
  </w:style>
  <w:style w:type="character" w:styleId="char28" w:customStyle="1">
    <w:name w:val="ListLabel 2"/>
    <w:rPr>
      <w:rFonts w:cs="Times New Roman"/>
    </w:rPr>
  </w:style>
  <w:style w:type="character" w:styleId="char29" w:customStyle="1">
    <w:name w:val="ListLabel 3"/>
    <w:rPr>
      <w:rFonts w:cs="Times New Roman"/>
    </w:rPr>
  </w:style>
  <w:style w:type="character" w:styleId="char30" w:customStyle="1">
    <w:name w:val="ListLabel 4"/>
    <w:rPr>
      <w:rFonts w:cs="Times New Roman"/>
    </w:rPr>
  </w:style>
  <w:style w:type="character" w:styleId="char31" w:customStyle="1">
    <w:name w:val="ListLabel 5"/>
    <w:rPr>
      <w:rFonts w:cs="Times New Roman"/>
    </w:rPr>
  </w:style>
  <w:style w:type="character" w:styleId="char32" w:customStyle="1">
    <w:name w:val="ListLabel 6"/>
    <w:rPr>
      <w:rFonts w:cs="Times New Roman"/>
    </w:rPr>
  </w:style>
  <w:style w:type="character" w:styleId="char33" w:customStyle="1">
    <w:name w:val="ListLabel 7"/>
    <w:rPr>
      <w:rFonts w:cs="Times New Roman"/>
    </w:rPr>
  </w:style>
  <w:style w:type="character" w:styleId="char34" w:customStyle="1">
    <w:name w:val="ListLabel 8"/>
    <w:rPr>
      <w:rFonts w:cs="Times New Roman"/>
    </w:rPr>
  </w:style>
  <w:style w:type="character" w:styleId="char35" w:customStyle="1">
    <w:name w:val="ListLabel 9"/>
    <w:rPr>
      <w:rFonts w:cs="Times New Roman"/>
    </w:rPr>
  </w:style>
  <w:style w:type="character" w:styleId="char36" w:customStyle="1">
    <w:name w:val="ListLabel 10"/>
    <w:rPr>
      <w:rFonts w:cs="Times New Roman"/>
    </w:rPr>
  </w:style>
  <w:style w:type="character" w:styleId="char37" w:customStyle="1">
    <w:name w:val="ListLabel 11"/>
    <w:rPr>
      <w:rFonts w:cs="Times New Roman"/>
    </w:rPr>
  </w:style>
  <w:style w:type="character" w:styleId="char38" w:customStyle="1">
    <w:name w:val="ListLabel 12"/>
    <w:rPr>
      <w:rFonts w:cs="Times New Roman"/>
    </w:rPr>
  </w:style>
  <w:style w:type="character" w:styleId="char39" w:customStyle="1">
    <w:name w:val="ListLabel 13"/>
    <w:rPr>
      <w:rFonts w:cs="Times New Roman"/>
    </w:rPr>
  </w:style>
  <w:style w:type="character" w:styleId="char40" w:customStyle="1">
    <w:name w:val="ListLabel 14"/>
    <w:rPr>
      <w:rFonts w:cs="Times New Roman"/>
    </w:rPr>
  </w:style>
  <w:style w:type="character" w:styleId="char41" w:customStyle="1">
    <w:name w:val="ListLabel 15"/>
    <w:rPr>
      <w:rFonts w:cs="Times New Roman"/>
    </w:rPr>
  </w:style>
  <w:style w:type="character" w:styleId="char42" w:customStyle="1">
    <w:name w:val="ListLabel 16"/>
    <w:rPr>
      <w:rFonts w:cs="Times New Roman"/>
    </w:rPr>
  </w:style>
  <w:style w:type="character" w:styleId="char43" w:customStyle="1">
    <w:name w:val="ListLabel 17"/>
    <w:rPr>
      <w:rFonts w:cs="Times New Roman"/>
    </w:rPr>
  </w:style>
  <w:style w:type="character" w:styleId="char44" w:customStyle="1">
    <w:name w:val="ListLabel 18"/>
    <w:rPr>
      <w:rFonts w:cs="Times New Roman"/>
    </w:rPr>
  </w:style>
  <w:style w:type="character" w:styleId="char45" w:customStyle="1">
    <w:name w:val="ListLabel 19"/>
    <w:rPr>
      <w:rFonts w:cs="Times New Roman"/>
    </w:rPr>
  </w:style>
  <w:style w:type="character" w:styleId="char46" w:customStyle="1">
    <w:name w:val="ListLabel 20"/>
    <w:rPr>
      <w:rFonts w:cs="Times New Roman"/>
    </w:rPr>
  </w:style>
  <w:style w:type="character" w:styleId="char47" w:customStyle="1">
    <w:name w:val="ListLabel 21"/>
    <w:rPr>
      <w:rFonts w:cs="Times New Roman"/>
    </w:rPr>
  </w:style>
  <w:style w:type="character" w:styleId="char48" w:customStyle="1">
    <w:name w:val="ListLabel 22"/>
    <w:rPr>
      <w:rFonts w:cs="Times New Roman"/>
    </w:rPr>
  </w:style>
  <w:style w:type="character" w:styleId="char49" w:customStyle="1">
    <w:name w:val="ListLabel 23"/>
    <w:rPr>
      <w:rFonts w:cs="Times New Roman"/>
    </w:rPr>
  </w:style>
  <w:style w:type="character" w:styleId="char50" w:customStyle="1">
    <w:name w:val="ListLabel 24"/>
    <w:rPr>
      <w:rFonts w:cs="Times New Roman"/>
    </w:rPr>
  </w:style>
  <w:style w:type="character" w:styleId="char51" w:customStyle="1">
    <w:name w:val="ListLabel 25"/>
    <w:rPr>
      <w:rFonts w:cs="Times New Roman"/>
    </w:rPr>
  </w:style>
  <w:style w:type="character" w:styleId="char52" w:customStyle="1">
    <w:name w:val="ListLabel 26"/>
    <w:rPr>
      <w:rFonts w:cs="Times New Roman"/>
    </w:rPr>
  </w:style>
  <w:style w:type="character" w:styleId="char53" w:customStyle="1">
    <w:name w:val="ListLabel 27"/>
    <w:rPr>
      <w:rFonts w:cs="Times New Roman"/>
    </w:rPr>
  </w:style>
  <w:style w:type="character" w:styleId="char54" w:customStyle="1">
    <w:name w:val="ListLabel 28"/>
    <w:rPr>
      <w:rFonts w:cs="Times New Roman"/>
    </w:rPr>
  </w:style>
  <w:style w:type="character" w:styleId="char55" w:customStyle="1">
    <w:name w:val="ListLabel 29"/>
    <w:rPr>
      <w:rFonts w:cs="Times New Roman"/>
    </w:rPr>
  </w:style>
  <w:style w:type="character" w:styleId="char56" w:customStyle="1">
    <w:name w:val="ListLabel 30"/>
    <w:rPr>
      <w:rFonts w:cs="Times New Roman"/>
    </w:rPr>
  </w:style>
  <w:style w:type="character" w:styleId="char57" w:customStyle="1">
    <w:name w:val="ListLabel 31"/>
    <w:rPr>
      <w:rFonts w:cs="Times New Roman"/>
    </w:rPr>
  </w:style>
  <w:style w:type="character" w:styleId="char58" w:customStyle="1">
    <w:name w:val="ListLabel 32"/>
    <w:rPr>
      <w:rFonts w:cs="Times New Roman"/>
    </w:rPr>
  </w:style>
  <w:style w:type="character" w:styleId="char59" w:customStyle="1">
    <w:name w:val="ListLabel 33"/>
    <w:rPr>
      <w:rFonts w:cs="Times New Roman"/>
    </w:rPr>
  </w:style>
  <w:style w:type="character" w:styleId="char60" w:customStyle="1">
    <w:name w:val="ListLabel 34"/>
    <w:rPr>
      <w:rFonts w:cs="Times New Roman"/>
    </w:rPr>
  </w:style>
  <w:style w:type="character" w:styleId="char61" w:customStyle="1">
    <w:name w:val="ListLabel 35"/>
    <w:rPr>
      <w:rFonts w:cs="Times New Roman"/>
    </w:rPr>
  </w:style>
  <w:style w:type="character" w:styleId="char62" w:customStyle="1">
    <w:name w:val="ListLabel 36"/>
    <w:rPr>
      <w:rFonts w:cs="Times New Roman"/>
    </w:rPr>
  </w:style>
  <w:style w:type="character" w:styleId="char63" w:customStyle="1">
    <w:name w:val="ListLabel 37"/>
    <w:rPr>
      <w:rFonts w:cs="Times New Roman"/>
    </w:rPr>
  </w:style>
  <w:style w:type="character" w:styleId="char64" w:customStyle="1">
    <w:name w:val="ListLabel 38"/>
    <w:rPr>
      <w:rFonts w:cs="Times New Roman"/>
    </w:rPr>
  </w:style>
  <w:style w:type="character" w:styleId="char65" w:customStyle="1">
    <w:name w:val="ListLabel 39"/>
    <w:rPr>
      <w:rFonts w:cs="Times New Roman"/>
    </w:rPr>
  </w:style>
  <w:style w:type="character" w:styleId="char66" w:customStyle="1">
    <w:name w:val="ListLabel 40"/>
    <w:rPr>
      <w:rFonts w:cs="Times New Roman"/>
    </w:rPr>
  </w:style>
  <w:style w:type="character" w:styleId="char67" w:customStyle="1">
    <w:name w:val="ListLabel 41"/>
    <w:rPr>
      <w:rFonts w:cs="Times New Roman"/>
    </w:rPr>
  </w:style>
  <w:style w:type="character" w:styleId="char68" w:customStyle="1">
    <w:name w:val="ListLabel 42"/>
    <w:rPr>
      <w:rFonts w:cs="Times New Roman"/>
    </w:rPr>
  </w:style>
  <w:style w:type="character" w:styleId="char69" w:customStyle="1">
    <w:name w:val="ListLabel 43"/>
    <w:rPr>
      <w:rFonts w:cs="Times New Roman"/>
    </w:rPr>
  </w:style>
  <w:style w:type="character" w:styleId="char70" w:customStyle="1">
    <w:name w:val="ListLabel 44"/>
    <w:rPr>
      <w:rFonts w:cs="Times New Roman"/>
    </w:rPr>
  </w:style>
  <w:style w:type="character" w:styleId="char71" w:customStyle="1">
    <w:name w:val="ListLabel 45"/>
    <w:rPr>
      <w:rFonts w:cs="Times New Roman"/>
    </w:rPr>
  </w:style>
  <w:style w:type="character" w:styleId="char72" w:customStyle="1">
    <w:name w:val="ListLabel 46"/>
    <w:rPr>
      <w:rFonts w:cs="Times New Roman"/>
    </w:rPr>
  </w:style>
  <w:style w:type="character" w:styleId="char73" w:customStyle="1">
    <w:name w:val="ListLabel 47"/>
    <w:rPr>
      <w:rFonts w:cs="Times New Roman"/>
    </w:rPr>
  </w:style>
  <w:style w:type="character" w:styleId="char74" w:customStyle="1">
    <w:name w:val="ListLabel 48"/>
    <w:rPr>
      <w:rFonts w:cs="Times New Roman"/>
    </w:rPr>
  </w:style>
  <w:style w:type="character" w:styleId="char75" w:customStyle="1">
    <w:name w:val="ListLabel 49"/>
    <w:rPr>
      <w:rFonts w:cs="Times New Roman"/>
    </w:rPr>
  </w:style>
  <w:style w:type="character" w:styleId="char76" w:customStyle="1">
    <w:name w:val="ListLabel 50"/>
    <w:rPr>
      <w:rFonts w:cs="Times New Roman"/>
    </w:rPr>
  </w:style>
  <w:style w:type="character" w:styleId="char77" w:customStyle="1">
    <w:name w:val="ListLabel 51"/>
    <w:rPr>
      <w:rFonts w:cs="Times New Roman"/>
    </w:rPr>
  </w:style>
  <w:style w:type="character" w:styleId="char78" w:customStyle="1">
    <w:name w:val="ListLabel 52"/>
    <w:rPr>
      <w:rFonts w:cs="Times New Roman"/>
    </w:rPr>
  </w:style>
  <w:style w:type="character" w:styleId="char79" w:customStyle="1">
    <w:name w:val="ListLabel 53"/>
    <w:rPr>
      <w:rFonts w:cs="Times New Roman"/>
    </w:rPr>
  </w:style>
  <w:style w:type="character" w:styleId="char80" w:customStyle="1">
    <w:name w:val="ListLabel 54"/>
    <w:rPr>
      <w:rFonts w:cs="Times New Roman"/>
    </w:rPr>
  </w:style>
  <w:style w:type="character" w:styleId="char81" w:customStyle="1">
    <w:name w:val="ListLabel 55"/>
    <w:rPr>
      <w:rFonts w:cs="Times New Roman"/>
    </w:rPr>
  </w:style>
  <w:style w:type="character" w:styleId="char82" w:customStyle="1">
    <w:name w:val="ListLabel 56"/>
    <w:rPr>
      <w:rFonts w:cs="Times New Roman"/>
    </w:rPr>
  </w:style>
  <w:style w:type="character" w:styleId="char83" w:customStyle="1">
    <w:name w:val="ListLabel 57"/>
    <w:rPr>
      <w:rFonts w:cs="Times New Roman"/>
    </w:rPr>
  </w:style>
  <w:style w:type="character" w:styleId="char84" w:customStyle="1">
    <w:name w:val="ListLabel 58"/>
    <w:rPr>
      <w:rFonts w:cs="Times New Roman"/>
    </w:rPr>
  </w:style>
  <w:style w:type="character" w:styleId="char85" w:customStyle="1">
    <w:name w:val="ListLabel 59"/>
    <w:rPr>
      <w:rFonts w:cs="Times New Roman"/>
    </w:rPr>
  </w:style>
  <w:style w:type="character" w:styleId="char86" w:customStyle="1">
    <w:name w:val="ListLabel 60"/>
    <w:rPr>
      <w:rFonts w:cs="Times New Roman"/>
    </w:rPr>
  </w:style>
  <w:style w:type="character" w:styleId="char87" w:customStyle="1">
    <w:name w:val="ListLabel 61"/>
    <w:rPr>
      <w:rFonts w:cs="Times New Roman"/>
    </w:rPr>
  </w:style>
  <w:style w:type="character" w:styleId="char88" w:customStyle="1">
    <w:name w:val="ListLabel 62"/>
    <w:rPr>
      <w:rFonts w:cs="Times New Roman"/>
    </w:rPr>
  </w:style>
  <w:style w:type="character" w:styleId="char89" w:customStyle="1">
    <w:name w:val="ListLabel 63"/>
    <w:rPr>
      <w:rFonts w:cs="Times New Roman"/>
    </w:rPr>
  </w:style>
  <w:style w:type="character" w:styleId="char90" w:customStyle="1">
    <w:name w:val="ListLabel 64"/>
    <w:rPr>
      <w:rFonts w:cs="Times New Roman"/>
    </w:rPr>
  </w:style>
  <w:style w:type="character" w:styleId="char91" w:customStyle="1">
    <w:name w:val="ListLabel 65"/>
    <w:rPr>
      <w:rFonts w:cs="Times New Roman"/>
    </w:rPr>
  </w:style>
  <w:style w:type="character" w:styleId="char92" w:customStyle="1">
    <w:name w:val="ListLabel 66"/>
    <w:rPr>
      <w:rFonts w:cs="Times New Roman"/>
    </w:rPr>
  </w:style>
  <w:style w:type="character" w:styleId="char93" w:customStyle="1">
    <w:name w:val="ListLabel 67"/>
    <w:rPr>
      <w:rFonts w:cs="Times New Roman"/>
    </w:rPr>
  </w:style>
  <w:style w:type="character" w:styleId="char94" w:customStyle="1">
    <w:name w:val="ListLabel 68"/>
    <w:rPr>
      <w:rFonts w:cs="Times New Roman"/>
    </w:rPr>
  </w:style>
  <w:style w:type="character" w:styleId="char95" w:customStyle="1">
    <w:name w:val="ListLabel 69"/>
    <w:rPr>
      <w:rFonts w:cs="Times New Roman"/>
    </w:rPr>
  </w:style>
  <w:style w:type="character" w:styleId="char96" w:customStyle="1">
    <w:name w:val="ListLabel 70"/>
    <w:rPr>
      <w:rFonts w:cs="Times New Roman"/>
    </w:rPr>
  </w:style>
  <w:style w:type="character" w:styleId="char97" w:customStyle="1">
    <w:name w:val="ListLabel 71"/>
    <w:rPr>
      <w:rFonts w:cs="Times New Roman"/>
    </w:rPr>
  </w:style>
  <w:style w:type="character" w:styleId="char98" w:customStyle="1">
    <w:name w:val="ListLabel 72"/>
    <w:rPr>
      <w:rFonts w:cs="Times New Roman"/>
    </w:rPr>
  </w:style>
  <w:style w:type="character" w:styleId="char99" w:customStyle="1">
    <w:name w:val="ListLabel 73"/>
    <w:rPr>
      <w:rFonts w:cs="Times New Roman"/>
    </w:rPr>
  </w:style>
  <w:style w:type="character" w:styleId="char100" w:customStyle="1">
    <w:name w:val="ListLabel 74"/>
    <w:rPr>
      <w:rFonts w:cs="Times New Roman"/>
    </w:rPr>
  </w:style>
  <w:style w:type="character" w:styleId="char101" w:customStyle="1">
    <w:name w:val="ListLabel 75"/>
    <w:rPr>
      <w:rFonts w:cs="Times New Roman"/>
    </w:rPr>
  </w:style>
  <w:style w:type="character" w:styleId="char102" w:customStyle="1">
    <w:name w:val="ListLabel 76"/>
    <w:rPr>
      <w:rFonts w:cs="Times New Roman"/>
    </w:rPr>
  </w:style>
  <w:style w:type="character" w:styleId="char103" w:customStyle="1">
    <w:name w:val="ListLabel 77"/>
    <w:rPr>
      <w:rFonts w:cs="Times New Roman"/>
    </w:rPr>
  </w:style>
  <w:style w:type="character" w:styleId="char104" w:customStyle="1">
    <w:name w:val="ListLabel 78"/>
    <w:rPr>
      <w:rFonts w:cs="Times New Roman"/>
    </w:rPr>
  </w:style>
  <w:style w:type="character" w:styleId="char105" w:customStyle="1">
    <w:name w:val="ListLabel 79"/>
    <w:rPr>
      <w:rFonts w:cs="Times New Roman"/>
    </w:rPr>
  </w:style>
  <w:style w:type="character" w:styleId="char106" w:customStyle="1">
    <w:name w:val="ListLabel 80"/>
    <w:rPr>
      <w:rFonts w:cs="Times New Roman"/>
    </w:rPr>
  </w:style>
  <w:style w:type="character" w:styleId="char107" w:customStyle="1">
    <w:name w:val="ListLabel 81"/>
    <w:rPr>
      <w:rFonts w:cs="Times New Roman"/>
    </w:rPr>
  </w:style>
  <w:style w:type="character" w:styleId="char108" w:customStyle="1">
    <w:name w:val="ListLabel 82"/>
    <w:rPr>
      <w:rFonts w:cs="Times New Roman"/>
    </w:rPr>
  </w:style>
  <w:style w:type="character" w:styleId="char109" w:customStyle="1">
    <w:name w:val="ListLabel 83"/>
    <w:rPr>
      <w:rFonts w:cs="Times New Roman"/>
    </w:rPr>
  </w:style>
  <w:style w:type="character" w:styleId="char110" w:customStyle="1">
    <w:name w:val="ListLabel 84"/>
    <w:rPr>
      <w:rFonts w:cs="Times New Roman"/>
    </w:rPr>
  </w:style>
  <w:style w:type="character" w:styleId="char111" w:customStyle="1">
    <w:name w:val="ListLabel 85"/>
    <w:rPr>
      <w:rFonts w:cs="Times New Roman"/>
    </w:rPr>
  </w:style>
  <w:style w:type="character" w:styleId="char112" w:customStyle="1">
    <w:name w:val="ListLabel 86"/>
    <w:rPr>
      <w:rFonts w:cs="Times New Roman"/>
    </w:rPr>
  </w:style>
  <w:style w:type="character" w:styleId="char113" w:customStyle="1">
    <w:name w:val="ListLabel 87"/>
    <w:rPr>
      <w:rFonts w:cs="Times New Roman"/>
    </w:rPr>
  </w:style>
  <w:style w:type="character" w:styleId="char114" w:customStyle="1">
    <w:name w:val="ListLabel 88"/>
    <w:rPr>
      <w:rFonts w:cs="Times New Roman"/>
    </w:rPr>
  </w:style>
  <w:style w:type="character" w:styleId="char115" w:customStyle="1">
    <w:name w:val="ListLabel 89"/>
    <w:rPr>
      <w:rFonts w:cs="Times New Roman"/>
    </w:rPr>
  </w:style>
  <w:style w:type="character" w:styleId="char116" w:customStyle="1">
    <w:name w:val="ListLabel 90"/>
    <w:rPr>
      <w:rFonts w:cs="Times New Roman"/>
    </w:rPr>
  </w:style>
  <w:style w:type="character" w:styleId="char117" w:customStyle="1">
    <w:name w:val="ListLabel 91"/>
    <w:rPr>
      <w:rFonts w:eastAsia="SimSun" w:cs="Arial"/>
    </w:rPr>
  </w:style>
  <w:style w:type="character" w:styleId="char118" w:customStyle="1">
    <w:name w:val="ListLabel 92"/>
    <w:rPr>
      <w:rFonts w:cs="Times New Roman"/>
    </w:rPr>
  </w:style>
  <w:style w:type="character" w:styleId="char119" w:customStyle="1">
    <w:name w:val="ListLabel 93"/>
    <w:rPr>
      <w:rFonts w:cs="Times New Roman"/>
    </w:rPr>
  </w:style>
  <w:style w:type="character" w:styleId="char120" w:customStyle="1">
    <w:name w:val="ListLabel 94"/>
    <w:rPr>
      <w:rFonts w:cs="Times New Roman"/>
    </w:rPr>
  </w:style>
  <w:style w:type="character" w:styleId="char121" w:customStyle="1">
    <w:name w:val="ListLabel 95"/>
    <w:rPr>
      <w:rFonts w:cs="Times New Roman"/>
    </w:rPr>
  </w:style>
  <w:style w:type="character" w:styleId="char122" w:customStyle="1">
    <w:name w:val="ListLabel 96"/>
    <w:rPr>
      <w:rFonts w:cs="Times New Roman"/>
    </w:rPr>
  </w:style>
  <w:style w:type="character" w:styleId="char123" w:customStyle="1">
    <w:name w:val="ListLabel 97"/>
    <w:rPr>
      <w:rFonts w:cs="Times New Roman"/>
    </w:rPr>
  </w:style>
  <w:style w:type="character" w:styleId="char124" w:customStyle="1">
    <w:name w:val="ListLabel 98"/>
    <w:rPr>
      <w:rFonts w:cs="Times New Roman"/>
    </w:rPr>
  </w:style>
  <w:style w:type="character" w:styleId="char125" w:customStyle="1">
    <w:name w:val="ListLabel 99"/>
    <w:rPr>
      <w:rFonts w:cs="Times New Roman"/>
    </w:rPr>
  </w:style>
  <w:style w:type="character" w:styleId="char126" w:customStyle="1">
    <w:name w:val="ListLabel 100"/>
    <w:rPr>
      <w:rFonts w:cs="Times New Roman"/>
    </w:rPr>
  </w:style>
  <w:style w:type="character" w:styleId="char127" w:customStyle="1">
    <w:name w:val="ListLabel 101"/>
    <w:rPr>
      <w:rFonts w:cs="Times New Roman"/>
    </w:rPr>
  </w:style>
  <w:style w:type="character" w:styleId="char128" w:customStyle="1">
    <w:name w:val="ListLabel 102"/>
    <w:rPr>
      <w:rFonts w:cs="Times New Roman"/>
    </w:rPr>
  </w:style>
  <w:style w:type="character" w:styleId="char129" w:customStyle="1">
    <w:name w:val="ListLabel 103"/>
    <w:rPr>
      <w:rFonts w:cs="Times New Roman"/>
    </w:rPr>
  </w:style>
  <w:style w:type="character" w:styleId="char130" w:customStyle="1">
    <w:name w:val="ListLabel 104"/>
    <w:rPr>
      <w:rFonts w:cs="Times New Roman"/>
    </w:rPr>
  </w:style>
  <w:style w:type="character" w:styleId="char131" w:customStyle="1">
    <w:name w:val="ListLabel 105"/>
    <w:rPr>
      <w:rFonts w:cs="Times New Roman"/>
    </w:rPr>
  </w:style>
  <w:style w:type="character" w:styleId="char132" w:customStyle="1">
    <w:name w:val="ListLabel 106"/>
    <w:rPr>
      <w:rFonts w:cs="Times New Roman"/>
    </w:rPr>
  </w:style>
  <w:style w:type="character" w:styleId="char133" w:customStyle="1">
    <w:name w:val="ListLabel 107"/>
    <w:rPr>
      <w:rFonts w:cs="Times New Roman"/>
    </w:rPr>
  </w:style>
  <w:style w:type="character" w:styleId="char134" w:customStyle="1">
    <w:name w:val="ListLabel 108"/>
    <w:rPr>
      <w:rFonts w:cs="Times New Roman"/>
    </w:rPr>
  </w:style>
  <w:style w:type="character" w:styleId="char135" w:customStyle="1">
    <w:name w:val="ListLabel 109"/>
    <w:rPr>
      <w:rFonts w:cs="Times New Roman"/>
    </w:rPr>
  </w:style>
  <w:style w:type="character" w:styleId="char136" w:customStyle="1">
    <w:name w:val="ListLabel 110"/>
    <w:rPr>
      <w:rFonts w:cs="Times New Roman"/>
    </w:rPr>
  </w:style>
  <w:style w:type="character" w:styleId="char137" w:customStyle="1">
    <w:name w:val="ListLabel 111"/>
    <w:rPr>
      <w:rFonts w:cs="Times New Roman"/>
    </w:rPr>
  </w:style>
  <w:style w:type="character" w:styleId="char138" w:customStyle="1">
    <w:name w:val="ListLabel 112"/>
    <w:rPr>
      <w:rFonts w:cs="Times New Roman"/>
    </w:rPr>
  </w:style>
  <w:style w:type="character" w:styleId="char139" w:customStyle="1">
    <w:name w:val="ListLabel 113"/>
    <w:rPr>
      <w:rFonts w:cs="Times New Roman"/>
    </w:rPr>
  </w:style>
  <w:style w:type="character" w:styleId="char140" w:customStyle="1">
    <w:name w:val="ListLabel 114"/>
    <w:rPr>
      <w:rFonts w:cs="Times New Roman"/>
    </w:rPr>
  </w:style>
  <w:style w:type="character" w:styleId="char141" w:customStyle="1">
    <w:name w:val="ListLabel 115"/>
    <w:rPr>
      <w:rFonts w:cs="Times New Roman"/>
    </w:rPr>
  </w:style>
  <w:style w:type="character" w:styleId="char142" w:customStyle="1">
    <w:name w:val="ListLabel 116"/>
    <w:rPr>
      <w:rFonts w:cs="Times New Roman"/>
    </w:rPr>
  </w:style>
  <w:style w:type="character" w:styleId="char143" w:customStyle="1">
    <w:name w:val="ListLabel 117"/>
    <w:rPr>
      <w:rFonts w:cs="Times New Roman"/>
    </w:rPr>
  </w:style>
  <w:style w:type="character" w:styleId="char144" w:customStyle="1">
    <w:name w:val="ListLabel 118"/>
    <w:rPr>
      <w:rFonts w:cs="Times New Roman"/>
    </w:rPr>
  </w:style>
  <w:style w:type="character" w:styleId="char145" w:customStyle="1">
    <w:name w:val="ListLabel 119"/>
    <w:rPr>
      <w:rFonts w:cs="Times New Roman"/>
    </w:rPr>
  </w:style>
  <w:style w:type="character" w:styleId="char146" w:customStyle="1">
    <w:name w:val="ListLabel 120"/>
    <w:rPr>
      <w:rFonts w:cs="Times New Roman"/>
    </w:rPr>
  </w:style>
  <w:style w:type="character" w:styleId="char147" w:customStyle="1">
    <w:name w:val="ListLabel 121"/>
    <w:rPr>
      <w:rFonts w:cs="Times New Roman"/>
    </w:rPr>
  </w:style>
  <w:style w:type="character" w:styleId="char148" w:customStyle="1">
    <w:name w:val="ListLabel 122"/>
    <w:rPr>
      <w:rFonts w:cs="Times New Roman"/>
    </w:rPr>
  </w:style>
  <w:style w:type="character" w:styleId="char149" w:customStyle="1">
    <w:name w:val="ListLabel 123"/>
    <w:rPr>
      <w:rFonts w:cs="Times New Roman"/>
    </w:rPr>
  </w:style>
  <w:style w:type="character" w:styleId="char150" w:customStyle="1">
    <w:name w:val="ListLabel 124"/>
    <w:rPr>
      <w:rFonts w:cs="Times New Roman"/>
    </w:rPr>
  </w:style>
  <w:style w:type="character" w:styleId="char151" w:customStyle="1">
    <w:name w:val="ListLabel 125"/>
    <w:rPr>
      <w:rFonts w:cs="Times New Roman"/>
    </w:rPr>
  </w:style>
  <w:style w:type="character" w:styleId="char152" w:customStyle="1">
    <w:name w:val="ListLabel 126"/>
    <w:rPr>
      <w:rFonts w:cs="Times New Roman"/>
    </w:rPr>
  </w:style>
  <w:style w:type="character" w:styleId="char153" w:customStyle="1">
    <w:name w:val="ListLabel 127"/>
    <w:rPr>
      <w:rFonts w:cs="Times New Roman"/>
    </w:rPr>
  </w:style>
  <w:style w:type="character" w:styleId="char154" w:customStyle="1">
    <w:name w:val="ListLabel 128"/>
    <w:rPr>
      <w:rFonts w:ascii="Arial" w:hAnsi="Arial" w:cs="Times New Roman"/>
      <w:b/>
      <w:sz w:val="24"/>
      <w:szCs w:val="24"/>
    </w:rPr>
  </w:style>
  <w:style w:type="character" w:styleId="char155" w:customStyle="1">
    <w:name w:val="ListLabel 129"/>
    <w:rPr>
      <w:rFonts w:cs="Times New Roman"/>
    </w:rPr>
  </w:style>
  <w:style w:type="character" w:styleId="char156" w:customStyle="1">
    <w:name w:val="ListLabel 130"/>
    <w:rPr>
      <w:rFonts w:cs="Times New Roman"/>
    </w:rPr>
  </w:style>
  <w:style w:type="character" w:styleId="char157" w:customStyle="1">
    <w:name w:val="ListLabel 131"/>
    <w:rPr>
      <w:rFonts w:cs="Times New Roman"/>
    </w:rPr>
  </w:style>
  <w:style w:type="character" w:styleId="char158" w:customStyle="1">
    <w:name w:val="ListLabel 132"/>
    <w:rPr>
      <w:rFonts w:cs="Times New Roman"/>
    </w:rPr>
  </w:style>
  <w:style w:type="character" w:styleId="char159" w:customStyle="1">
    <w:name w:val="ListLabel 133"/>
    <w:rPr>
      <w:rFonts w:cs="Times New Roman"/>
    </w:rPr>
  </w:style>
  <w:style w:type="character" w:styleId="char160" w:customStyle="1">
    <w:name w:val="ListLabel 134"/>
    <w:rPr>
      <w:rFonts w:cs="Times New Roman"/>
    </w:rPr>
  </w:style>
  <w:style w:type="character" w:styleId="char161" w:customStyle="1">
    <w:name w:val="ListLabel 135"/>
    <w:rPr>
      <w:rFonts w:cs="Times New Roman"/>
    </w:rPr>
  </w:style>
  <w:style w:type="character" w:styleId="char162" w:customStyle="1">
    <w:name w:val="ListLabel 136"/>
    <w:rPr>
      <w:rFonts w:cs="Times New Roman"/>
    </w:rPr>
  </w:style>
  <w:style w:type="character" w:styleId="char163" w:customStyle="1">
    <w:name w:val="ListLabel 137"/>
    <w:rPr>
      <w:rFonts w:cs="Times New Roman"/>
    </w:rPr>
  </w:style>
  <w:style w:type="character" w:styleId="char164" w:customStyle="1">
    <w:name w:val="ListLabel 138"/>
    <w:rPr>
      <w:rFonts w:cs="Times New Roman"/>
    </w:rPr>
  </w:style>
  <w:style w:type="character" w:styleId="char165" w:customStyle="1">
    <w:name w:val="ListLabel 139"/>
    <w:rPr>
      <w:rFonts w:cs="Times New Roman"/>
    </w:rPr>
  </w:style>
  <w:style w:type="character" w:styleId="char166" w:customStyle="1">
    <w:name w:val="ListLabel 140"/>
    <w:rPr>
      <w:rFonts w:cs="Times New Roman"/>
    </w:rPr>
  </w:style>
  <w:style w:type="character" w:styleId="char167" w:customStyle="1">
    <w:name w:val="ListLabel 141"/>
    <w:rPr>
      <w:rFonts w:cs="Times New Roman"/>
    </w:rPr>
  </w:style>
  <w:style w:type="character" w:styleId="char168" w:customStyle="1">
    <w:name w:val="ListLabel 142"/>
    <w:rPr>
      <w:rFonts w:cs="Times New Roman"/>
    </w:rPr>
  </w:style>
  <w:style w:type="character" w:styleId="char169" w:customStyle="1">
    <w:name w:val="ListLabel 143"/>
    <w:rPr>
      <w:rFonts w:cs="Times New Roman"/>
    </w:rPr>
  </w:style>
  <w:style w:type="character" w:styleId="char170" w:customStyle="1">
    <w:name w:val="ListLabel 144"/>
    <w:rPr>
      <w:rFonts w:cs="Times New Roman"/>
    </w:rPr>
  </w:style>
  <w:style w:type="character" w:styleId="char171" w:customStyle="1">
    <w:name w:val="ListLabel 145"/>
    <w:rPr>
      <w:rFonts w:cs="Times New Roman"/>
    </w:rPr>
  </w:style>
  <w:style w:type="character" w:styleId="char172" w:customStyle="1">
    <w:name w:val="ListLabel 146"/>
    <w:rPr>
      <w:rFonts w:cs="Times New Roman"/>
    </w:rPr>
  </w:style>
  <w:style w:type="character" w:styleId="char173" w:customStyle="1">
    <w:name w:val="ListLabel 147"/>
    <w:rPr>
      <w:rFonts w:cs="Times New Roman"/>
    </w:rPr>
  </w:style>
  <w:style w:type="character" w:styleId="char174" w:customStyle="1">
    <w:name w:val="ListLabel 148"/>
    <w:rPr>
      <w:rFonts w:cs="Times New Roman"/>
    </w:rPr>
  </w:style>
  <w:style w:type="character" w:styleId="char175" w:customStyle="1">
    <w:name w:val="ListLabel 149"/>
    <w:rPr>
      <w:rFonts w:cs="Times New Roman"/>
    </w:rPr>
  </w:style>
  <w:style w:type="character" w:styleId="char176" w:customStyle="1">
    <w:name w:val="ListLabel 150"/>
    <w:rPr>
      <w:rFonts w:cs="Times New Roman"/>
    </w:rPr>
  </w:style>
  <w:style w:type="character" w:styleId="char177" w:customStyle="1">
    <w:name w:val="ListLabel 151"/>
    <w:rPr>
      <w:rFonts w:cs="Times New Roman"/>
    </w:rPr>
  </w:style>
  <w:style w:type="character" w:styleId="char178" w:customStyle="1">
    <w:name w:val="ListLabel 152"/>
    <w:rPr>
      <w:rFonts w:cs="Times New Roman"/>
    </w:rPr>
  </w:style>
  <w:style w:type="character" w:styleId="char179" w:customStyle="1">
    <w:name w:val="ListLabel 153"/>
    <w:rPr>
      <w:rFonts w:cs="Times New Roman"/>
    </w:rPr>
  </w:style>
  <w:style w:type="character" w:styleId="char180" w:customStyle="1">
    <w:name w:val="ListLabel 154"/>
    <w:rPr>
      <w:rFonts w:cs="Times New Roman"/>
    </w:rPr>
  </w:style>
  <w:style w:type="character" w:styleId="char181" w:customStyle="1">
    <w:name w:val="ListLabel 155"/>
    <w:rPr>
      <w:rFonts w:cs="Times New Roman"/>
    </w:rPr>
  </w:style>
  <w:style w:type="character" w:styleId="char182" w:customStyle="1">
    <w:name w:val="ListLabel 156"/>
    <w:rPr>
      <w:rFonts w:cs="Times New Roman"/>
    </w:rPr>
  </w:style>
  <w:style w:type="character" w:styleId="char183" w:customStyle="1">
    <w:name w:val="ListLabel 157"/>
    <w:rPr>
      <w:rFonts w:cs="Times New Roman"/>
    </w:rPr>
  </w:style>
  <w:style w:type="character" w:styleId="char184" w:customStyle="1">
    <w:name w:val="ListLabel 158"/>
    <w:rPr>
      <w:rFonts w:cs="Times New Roman"/>
    </w:rPr>
  </w:style>
  <w:style w:type="character" w:styleId="char185" w:customStyle="1">
    <w:name w:val="ListLabel 159"/>
    <w:rPr>
      <w:rFonts w:cs="Times New Roman"/>
    </w:rPr>
  </w:style>
  <w:style w:type="character" w:styleId="char186" w:customStyle="1">
    <w:name w:val="ListLabel 160"/>
    <w:rPr>
      <w:rFonts w:cs="Times New Roman"/>
    </w:rPr>
  </w:style>
  <w:style w:type="character" w:styleId="char187" w:customStyle="1">
    <w:name w:val="ListLabel 161"/>
    <w:rPr>
      <w:rFonts w:cs="Times New Roman"/>
    </w:rPr>
  </w:style>
  <w:style w:type="character" w:styleId="char188" w:customStyle="1">
    <w:name w:val="ListLabel 162"/>
    <w:rPr>
      <w:rFonts w:cs="Times New Roman"/>
    </w:rPr>
  </w:style>
  <w:style w:type="character" w:styleId="char189" w:customStyle="1">
    <w:name w:val="ListLabel 163"/>
    <w:rPr>
      <w:rFonts w:cs="Times New Roman"/>
    </w:rPr>
  </w:style>
  <w:style w:type="character" w:styleId="char190" w:customStyle="1">
    <w:name w:val="ListLabel 164"/>
    <w:rPr>
      <w:rFonts w:cs="Times New Roman"/>
    </w:rPr>
  </w:style>
  <w:style w:type="character" w:styleId="char191" w:customStyle="1">
    <w:name w:val="ListLabel 165"/>
    <w:rPr>
      <w:rFonts w:cs="Times New Roman"/>
    </w:rPr>
  </w:style>
  <w:style w:type="character" w:styleId="char192" w:customStyle="1">
    <w:name w:val="ListLabel 166"/>
    <w:rPr>
      <w:rFonts w:cs="Times New Roman"/>
    </w:rPr>
  </w:style>
  <w:style w:type="character" w:styleId="char193" w:customStyle="1">
    <w:name w:val="ListLabel 167"/>
    <w:rPr>
      <w:rFonts w:cs="Times New Roman"/>
    </w:rPr>
  </w:style>
  <w:style w:type="character" w:styleId="char194" w:customStyle="1">
    <w:name w:val="ListLabel 168"/>
    <w:rPr>
      <w:rFonts w:cs="Times New Roman"/>
    </w:rPr>
  </w:style>
  <w:style w:type="character" w:styleId="char195" w:customStyle="1">
    <w:name w:val="ListLabel 169"/>
    <w:rPr>
      <w:rFonts w:cs="Times New Roman"/>
    </w:rPr>
  </w:style>
  <w:style w:type="character" w:styleId="char196" w:customStyle="1">
    <w:name w:val="ListLabel 170"/>
    <w:rPr>
      <w:rFonts w:cs="Times New Roman"/>
    </w:rPr>
  </w:style>
  <w:style w:type="character" w:styleId="char197" w:customStyle="1">
    <w:name w:val="ListLabel 171"/>
    <w:rPr>
      <w:rFonts w:cs="Times New Roman"/>
    </w:rPr>
  </w:style>
  <w:style w:type="character" w:styleId="char198" w:customStyle="1">
    <w:name w:val="ListLabel 172"/>
    <w:rPr>
      <w:rFonts w:cs="Times New Roman"/>
    </w:rPr>
  </w:style>
  <w:style w:type="character" w:styleId="char199" w:customStyle="1">
    <w:name w:val="ListLabel 173"/>
    <w:rPr>
      <w:rFonts w:cs="Times New Roman"/>
    </w:rPr>
  </w:style>
  <w:style w:type="character" w:styleId="char200" w:customStyle="1">
    <w:name w:val="ListLabel 174"/>
    <w:rPr>
      <w:rFonts w:cs="Times New Roman"/>
    </w:rPr>
  </w:style>
  <w:style w:type="character" w:styleId="char201" w:customStyle="1">
    <w:name w:val="ListLabel 175"/>
    <w:rPr>
      <w:rFonts w:cs="Times New Roman"/>
    </w:rPr>
  </w:style>
  <w:style w:type="character" w:styleId="char202" w:customStyle="1">
    <w:name w:val="ListLabel 176"/>
    <w:rPr>
      <w:rFonts w:cs="Times New Roman"/>
    </w:rPr>
  </w:style>
  <w:style w:type="character" w:styleId="char203" w:customStyle="1">
    <w:name w:val="ListLabel 177"/>
    <w:rPr>
      <w:rFonts w:cs="Times New Roman"/>
    </w:rPr>
  </w:style>
  <w:style w:type="character" w:styleId="char204" w:customStyle="1">
    <w:name w:val="ListLabel 178"/>
    <w:rPr>
      <w:rFonts w:cs="Times New Roman"/>
    </w:rPr>
  </w:style>
  <w:style w:type="character" w:styleId="char205" w:customStyle="1">
    <w:name w:val="ListLabel 179"/>
    <w:rPr>
      <w:rFonts w:cs="Times New Roman"/>
    </w:rPr>
  </w:style>
  <w:style w:type="character" w:styleId="char206" w:customStyle="1">
    <w:name w:val="ListLabel 180"/>
    <w:rPr>
      <w:rFonts w:cs="Times New Roman"/>
    </w:rPr>
  </w:style>
  <w:style w:type="character" w:styleId="char207" w:customStyle="1">
    <w:name w:val="ListLabel 181"/>
    <w:rPr>
      <w:rFonts w:cs="Times New Roman"/>
    </w:rPr>
  </w:style>
  <w:style w:type="character" w:styleId="char208" w:customStyle="1">
    <w:name w:val="ListLabel 182"/>
    <w:rPr>
      <w:rFonts w:cs="Times New Roman"/>
    </w:rPr>
  </w:style>
  <w:style w:type="character" w:styleId="char209" w:customStyle="1">
    <w:name w:val="ListLabel 183"/>
    <w:rPr>
      <w:rFonts w:cs="Times New Roman"/>
    </w:rPr>
  </w:style>
  <w:style w:type="character" w:styleId="char210" w:customStyle="1">
    <w:name w:val="ListLabel 184"/>
    <w:rPr>
      <w:rFonts w:cs="Times New Roman"/>
    </w:rPr>
  </w:style>
  <w:style w:type="character" w:styleId="char211" w:customStyle="1">
    <w:name w:val="ListLabel 185"/>
    <w:rPr>
      <w:rFonts w:cs="Times New Roman"/>
    </w:rPr>
  </w:style>
  <w:style w:type="character" w:styleId="char212" w:customStyle="1">
    <w:name w:val="ListLabel 186"/>
    <w:rPr>
      <w:rFonts w:cs="Times New Roman"/>
    </w:rPr>
  </w:style>
  <w:style w:type="character" w:styleId="char213" w:customStyle="1">
    <w:name w:val="ListLabel 187"/>
    <w:rPr>
      <w:rFonts w:cs="Times New Roman"/>
    </w:rPr>
  </w:style>
  <w:style w:type="character" w:styleId="char214" w:customStyle="1">
    <w:name w:val="ListLabel 188"/>
    <w:rPr>
      <w:rFonts w:cs="Times New Roman"/>
    </w:rPr>
  </w:style>
  <w:style w:type="character" w:styleId="char215" w:customStyle="1">
    <w:name w:val="ListLabel 189"/>
    <w:rPr>
      <w:rFonts w:cs="Times New Roman"/>
    </w:rPr>
  </w:style>
  <w:style w:type="character" w:styleId="char216" w:customStyle="1">
    <w:name w:val="ListLabel 190"/>
    <w:rPr>
      <w:rFonts w:cs="Times New Roman"/>
    </w:rPr>
  </w:style>
  <w:style w:type="character" w:styleId="char217" w:customStyle="1">
    <w:name w:val="ListLabel 191"/>
    <w:rPr>
      <w:rFonts w:cs="Times New Roman"/>
    </w:rPr>
  </w:style>
  <w:style w:type="character" w:styleId="char218" w:customStyle="1">
    <w:name w:val="ListLabel 192"/>
    <w:rPr>
      <w:rFonts w:cs="Times New Roman"/>
    </w:rPr>
  </w:style>
  <w:style w:type="character" w:styleId="char219" w:customStyle="1">
    <w:name w:val="ListLabel 193"/>
    <w:rPr>
      <w:rFonts w:cs="Times New Roman"/>
    </w:rPr>
  </w:style>
  <w:style w:type="character" w:styleId="char220" w:customStyle="1">
    <w:name w:val="ListLabel 194"/>
    <w:rPr>
      <w:rFonts w:cs="Times New Roman"/>
    </w:rPr>
  </w:style>
  <w:style w:type="character" w:styleId="char221" w:customStyle="1">
    <w:name w:val="ListLabel 195"/>
    <w:rPr>
      <w:rFonts w:cs="Times New Roman"/>
    </w:rPr>
  </w:style>
  <w:style w:type="character" w:styleId="char222" w:customStyle="1">
    <w:name w:val="ListLabel 196"/>
    <w:rPr>
      <w:rFonts w:cs="Times New Roman"/>
    </w:rPr>
  </w:style>
  <w:style w:type="character" w:styleId="char223" w:customStyle="1">
    <w:name w:val="ListLabel 197"/>
    <w:rPr>
      <w:rFonts w:cs="Times New Roman"/>
    </w:rPr>
  </w:style>
  <w:style w:type="character" w:styleId="char224" w:customStyle="1">
    <w:name w:val="ListLabel 198"/>
    <w:rPr>
      <w:rFonts w:cs="Times New Roman"/>
    </w:rPr>
  </w:style>
  <w:style w:type="character" w:styleId="char225" w:customStyle="1">
    <w:name w:val="ListLabel 199"/>
    <w:rPr>
      <w:rFonts w:cs="Times New Roman"/>
    </w:rPr>
  </w:style>
  <w:style w:type="character" w:styleId="char226" w:customStyle="1">
    <w:name w:val="ListLabel 200"/>
    <w:rPr>
      <w:rFonts w:cs="Times New Roman"/>
    </w:rPr>
  </w:style>
  <w:style w:type="character" w:styleId="char227" w:customStyle="1">
    <w:name w:val="ListLabel 201"/>
    <w:rPr>
      <w:rFonts w:cs="Times New Roman"/>
      <w:b w:val="0"/>
    </w:rPr>
  </w:style>
  <w:style w:type="character" w:styleId="char228" w:customStyle="1">
    <w:name w:val="ListLabel 202"/>
    <w:rPr>
      <w:rFonts w:cs="Times New Roman"/>
      <w:b w:val="0"/>
    </w:rPr>
  </w:style>
  <w:style w:type="character" w:styleId="char229" w:customStyle="1">
    <w:name w:val="ListLabel 203"/>
    <w:rPr>
      <w:rFonts w:cs="Times New Roman"/>
      <w:b w:val="0"/>
    </w:rPr>
  </w:style>
  <w:style w:type="character" w:styleId="char230" w:customStyle="1">
    <w:name w:val="ListLabel 204"/>
    <w:rPr>
      <w:rFonts w:cs="Times New Roman"/>
    </w:rPr>
  </w:style>
  <w:style w:type="character" w:styleId="char231" w:customStyle="1">
    <w:name w:val="ListLabel 205"/>
    <w:rPr>
      <w:rFonts w:cs="Times New Roman"/>
    </w:rPr>
  </w:style>
  <w:style w:type="character" w:styleId="char232" w:customStyle="1">
    <w:name w:val="ListLabel 206"/>
    <w:rPr>
      <w:rFonts w:cs="Times New Roman"/>
    </w:rPr>
  </w:style>
  <w:style w:type="character" w:styleId="char233" w:customStyle="1">
    <w:name w:val="ListLabel 207"/>
    <w:rPr>
      <w:rFonts w:cs="Times New Roman"/>
    </w:rPr>
  </w:style>
  <w:style w:type="character" w:styleId="char234" w:customStyle="1">
    <w:name w:val="ListLabel 208"/>
    <w:rPr>
      <w:rFonts w:cs="Times New Roman"/>
    </w:rPr>
  </w:style>
  <w:style w:type="character" w:styleId="char235" w:customStyle="1">
    <w:name w:val="ListLabel 209"/>
    <w:rPr>
      <w:rFonts w:cs="Times New Roman"/>
    </w:rPr>
  </w:style>
  <w:style w:type="character" w:styleId="char236" w:customStyle="1">
    <w:name w:val="ListLabel 210"/>
    <w:rPr>
      <w:rFonts w:cs="Times New Roman"/>
    </w:rPr>
  </w:style>
  <w:style w:type="character" w:styleId="char237" w:customStyle="1">
    <w:name w:val="ListLabel 211"/>
    <w:rPr>
      <w:rFonts w:cs="Times New Roman"/>
    </w:rPr>
  </w:style>
  <w:style w:type="character" w:styleId="char238" w:customStyle="1">
    <w:name w:val="ListLabel 212"/>
    <w:rPr>
      <w:rFonts w:cs="Times New Roman"/>
    </w:rPr>
  </w:style>
  <w:style w:type="character" w:styleId="char239" w:customStyle="1">
    <w:name w:val="ListLabel 213"/>
    <w:rPr>
      <w:rFonts w:cs="Times New Roman"/>
    </w:rPr>
  </w:style>
  <w:style w:type="character" w:styleId="char240" w:customStyle="1">
    <w:name w:val="ListLabel 214"/>
    <w:rPr>
      <w:rFonts w:cs="Times New Roman"/>
    </w:rPr>
  </w:style>
  <w:style w:type="character" w:styleId="char241" w:customStyle="1">
    <w:name w:val="ListLabel 215"/>
    <w:rPr>
      <w:rFonts w:cs="Times New Roman"/>
    </w:rPr>
  </w:style>
  <w:style w:type="character" w:styleId="char242" w:customStyle="1">
    <w:name w:val="ListLabel 216"/>
    <w:rPr>
      <w:rFonts w:cs="Times New Roman"/>
    </w:rPr>
  </w:style>
  <w:style w:type="character" w:styleId="char243" w:customStyle="1">
    <w:name w:val="ListLabel 217"/>
    <w:rPr>
      <w:rFonts w:cs="Times New Roman"/>
    </w:rPr>
  </w:style>
  <w:style w:type="character" w:styleId="char244" w:customStyle="1">
    <w:name w:val="ListLabel 218"/>
    <w:rPr>
      <w:rFonts w:cs="Times New Roman"/>
    </w:rPr>
  </w:style>
  <w:style w:type="character" w:styleId="char245" w:customStyle="1">
    <w:name w:val="ListLabel 219"/>
    <w:rPr>
      <w:rFonts w:cs="Times New Roman"/>
    </w:rPr>
  </w:style>
  <w:style w:type="character" w:styleId="char246" w:customStyle="1">
    <w:name w:val="ListLabel 220"/>
    <w:rPr>
      <w:rFonts w:cs="Times New Roman"/>
    </w:rPr>
  </w:style>
  <w:style w:type="character" w:styleId="char247" w:customStyle="1">
    <w:name w:val="ListLabel 221"/>
    <w:rPr>
      <w:rFonts w:cs="Times New Roman"/>
    </w:rPr>
  </w:style>
  <w:style w:type="character" w:styleId="char248" w:customStyle="1">
    <w:name w:val="ListLabel 222"/>
    <w:rPr>
      <w:rFonts w:cs="Times New Roman"/>
    </w:rPr>
  </w:style>
  <w:style w:type="character" w:styleId="char249" w:customStyle="1">
    <w:name w:val="ListLabel 223"/>
    <w:rPr>
      <w:rFonts w:cs="Times New Roman"/>
    </w:rPr>
  </w:style>
  <w:style w:type="character" w:styleId="char250" w:customStyle="1">
    <w:name w:val="ListLabel 224"/>
    <w:rPr>
      <w:rFonts w:cs="Times New Roman"/>
    </w:rPr>
  </w:style>
  <w:style w:type="character" w:styleId="char251" w:customStyle="1">
    <w:name w:val="ListLabel 225"/>
    <w:rPr>
      <w:rFonts w:cs="Times New Roman"/>
    </w:rPr>
  </w:style>
  <w:style w:type="character" w:styleId="char252" w:customStyle="1">
    <w:name w:val="ListLabel 226"/>
    <w:rPr>
      <w:rFonts w:cs="Times New Roman"/>
    </w:rPr>
  </w:style>
  <w:style w:type="character" w:styleId="char253" w:customStyle="1">
    <w:name w:val="ListLabel 227"/>
    <w:rPr>
      <w:rFonts w:cs="Times New Roman"/>
    </w:rPr>
  </w:style>
  <w:style w:type="character" w:styleId="char254" w:customStyle="1">
    <w:name w:val="ListLabel 228"/>
    <w:rPr>
      <w:rFonts w:cs="Times New Roman"/>
    </w:rPr>
  </w:style>
  <w:style w:type="character" w:styleId="char255" w:customStyle="1">
    <w:name w:val="ListLabel 229"/>
    <w:rPr>
      <w:rFonts w:cs="Times New Roman"/>
    </w:rPr>
  </w:style>
  <w:style w:type="character" w:styleId="char256" w:customStyle="1">
    <w:name w:val="ListLabel 230"/>
    <w:rPr>
      <w:rFonts w:cs="Times New Roman"/>
    </w:rPr>
  </w:style>
  <w:style w:type="character" w:styleId="char257" w:customStyle="1">
    <w:name w:val="ListLabel 231"/>
    <w:rPr>
      <w:rFonts w:cs="Times New Roman"/>
    </w:rPr>
  </w:style>
  <w:style w:type="character" w:styleId="char258" w:customStyle="1">
    <w:name w:val="ListLabel 232"/>
    <w:rPr>
      <w:rFonts w:cs="Times New Roman"/>
    </w:rPr>
  </w:style>
  <w:style w:type="character" w:styleId="char259" w:customStyle="1">
    <w:name w:val="ListLabel 233"/>
    <w:rPr>
      <w:rFonts w:cs="Times New Roman"/>
    </w:rPr>
  </w:style>
  <w:style w:type="character" w:styleId="char260" w:customStyle="1">
    <w:name w:val="ListLabel 234"/>
    <w:rPr>
      <w:rFonts w:cs="Times New Roman"/>
    </w:rPr>
  </w:style>
  <w:style w:type="character" w:styleId="char261" w:customStyle="1">
    <w:name w:val="ListLabel 235"/>
    <w:rPr>
      <w:rFonts w:cs="Times New Roman"/>
    </w:rPr>
  </w:style>
  <w:style w:type="character" w:styleId="char262" w:customStyle="1">
    <w:name w:val="ListLabel 236"/>
    <w:rPr>
      <w:rFonts w:cs="Times New Roman"/>
    </w:rPr>
  </w:style>
  <w:style w:type="character" w:styleId="char263" w:customStyle="1">
    <w:name w:val="ListLabel 237"/>
    <w:rPr>
      <w:rFonts w:cs="Times New Roman"/>
    </w:rPr>
  </w:style>
  <w:style w:type="character" w:styleId="char264" w:customStyle="1">
    <w:name w:val="ListLabel 238"/>
    <w:rPr>
      <w:rFonts w:cs="Times New Roman"/>
    </w:rPr>
  </w:style>
  <w:style w:type="character" w:styleId="char265" w:customStyle="1">
    <w:name w:val="ListLabel 239"/>
    <w:rPr>
      <w:rFonts w:cs="Times New Roman"/>
    </w:rPr>
  </w:style>
  <w:style w:type="character" w:styleId="char266" w:customStyle="1">
    <w:name w:val="ListLabel 240"/>
    <w:rPr>
      <w:rFonts w:cs="Times New Roman"/>
    </w:rPr>
  </w:style>
  <w:style w:type="character" w:styleId="char267" w:customStyle="1">
    <w:name w:val="ListLabel 241"/>
    <w:rPr>
      <w:rFonts w:cs="Times New Roman"/>
    </w:rPr>
  </w:style>
  <w:style w:type="character" w:styleId="char268" w:customStyle="1">
    <w:name w:val="ListLabel 242"/>
    <w:rPr>
      <w:rFonts w:cs="Times New Roman"/>
    </w:rPr>
  </w:style>
  <w:style w:type="character" w:styleId="char269" w:customStyle="1">
    <w:name w:val="ListLabel 243"/>
    <w:rPr>
      <w:rFonts w:cs="Times New Roman"/>
    </w:rPr>
  </w:style>
  <w:style w:type="character" w:styleId="char270" w:customStyle="1">
    <w:name w:val="ListLabel 244"/>
    <w:rPr>
      <w:rFonts w:cs="Times New Roman"/>
    </w:rPr>
  </w:style>
  <w:style w:type="character" w:styleId="char271" w:customStyle="1">
    <w:name w:val="ListLabel 245"/>
    <w:rPr>
      <w:rFonts w:cs="Times New Roman"/>
    </w:rPr>
  </w:style>
  <w:style w:type="character" w:styleId="char272" w:customStyle="1">
    <w:name w:val="ListLabel 246"/>
    <w:rPr>
      <w:rFonts w:cs="Times New Roman"/>
    </w:rPr>
  </w:style>
  <w:style w:type="character" w:styleId="char273" w:customStyle="1">
    <w:name w:val="ListLabel 247"/>
    <w:rPr>
      <w:rFonts w:cs="Times New Roman"/>
    </w:rPr>
  </w:style>
  <w:style w:type="character" w:styleId="char274" w:customStyle="1">
    <w:name w:val="ListLabel 248"/>
    <w:rPr>
      <w:rFonts w:cs="Times New Roman"/>
    </w:rPr>
  </w:style>
  <w:style w:type="character" w:styleId="char275" w:customStyle="1">
    <w:name w:val="ListLabel 249"/>
    <w:rPr>
      <w:rFonts w:cs="Times New Roman"/>
    </w:rPr>
  </w:style>
  <w:style w:type="character" w:styleId="char276" w:customStyle="1">
    <w:name w:val="ListLabel 250"/>
    <w:rPr>
      <w:rFonts w:cs="Times New Roman"/>
    </w:rPr>
  </w:style>
  <w:style w:type="character" w:styleId="char277" w:customStyle="1">
    <w:name w:val="ListLabel 251"/>
    <w:rPr>
      <w:rFonts w:cs="Times New Roman"/>
    </w:rPr>
  </w:style>
  <w:style w:type="character" w:styleId="char278" w:customStyle="1">
    <w:name w:val="ListLabel 252"/>
    <w:rPr>
      <w:rFonts w:cs="Times New Roman"/>
    </w:rPr>
  </w:style>
  <w:style w:type="character" w:styleId="char279" w:customStyle="1">
    <w:name w:val="ListLabel 253"/>
    <w:rPr>
      <w:rFonts w:cs="Times New Roman"/>
    </w:rPr>
  </w:style>
  <w:style w:type="character" w:styleId="char280" w:customStyle="1">
    <w:name w:val="ListLabel 254"/>
    <w:rPr>
      <w:rFonts w:cs="Times New Roman"/>
    </w:rPr>
  </w:style>
  <w:style w:type="character" w:styleId="char281" w:customStyle="1">
    <w:name w:val="ListLabel 255"/>
    <w:rPr>
      <w:rFonts w:cs="Times New Roman"/>
    </w:rPr>
  </w:style>
  <w:style w:type="character" w:styleId="char282" w:customStyle="1">
    <w:name w:val="ListLabel 256"/>
    <w:rPr>
      <w:rFonts w:cs="Times New Roman"/>
    </w:rPr>
  </w:style>
  <w:style w:type="character" w:styleId="char283" w:customStyle="1">
    <w:name w:val="ListLabel 257"/>
    <w:rPr>
      <w:rFonts w:cs="Times New Roman"/>
    </w:rPr>
  </w:style>
  <w:style w:type="character" w:styleId="char284" w:customStyle="1">
    <w:name w:val="ListLabel 258"/>
    <w:rPr>
      <w:rFonts w:cs="Times New Roman"/>
    </w:rPr>
  </w:style>
  <w:style w:type="character" w:styleId="char285" w:customStyle="1">
    <w:name w:val="ListLabel 259"/>
    <w:rPr>
      <w:rFonts w:cs="Times New Roman"/>
    </w:rPr>
  </w:style>
  <w:style w:type="character" w:styleId="char286" w:customStyle="1">
    <w:name w:val="ListLabel 260"/>
    <w:rPr>
      <w:rFonts w:cs="Times New Roman"/>
    </w:rPr>
  </w:style>
  <w:style w:type="character" w:styleId="char287" w:customStyle="1">
    <w:name w:val="ListLabel 261"/>
    <w:rPr>
      <w:rFonts w:cs="Times New Roman"/>
    </w:rPr>
  </w:style>
  <w:style w:type="character" w:styleId="char288" w:customStyle="1">
    <w:name w:val="ListLabel 262"/>
    <w:rPr>
      <w:rFonts w:cs="Times New Roman"/>
    </w:rPr>
  </w:style>
  <w:style w:type="character" w:styleId="char289" w:customStyle="1">
    <w:name w:val="ListLabel 263"/>
    <w:rPr>
      <w:rFonts w:ascii="Arial" w:hAnsi="Arial" w:cs="Times New Roman"/>
      <w:b/>
      <w:sz w:val="22"/>
    </w:rPr>
  </w:style>
  <w:style w:type="character" w:styleId="char290" w:customStyle="1">
    <w:name w:val="ListLabel 264"/>
    <w:rPr>
      <w:rFonts w:cs="Times New Roman"/>
    </w:rPr>
  </w:style>
  <w:style w:type="character" w:styleId="char291" w:customStyle="1">
    <w:name w:val="ListLabel 265"/>
    <w:rPr>
      <w:rFonts w:cs="Times New Roman"/>
    </w:rPr>
  </w:style>
  <w:style w:type="character" w:styleId="char292" w:customStyle="1">
    <w:name w:val="ListLabel 266"/>
    <w:rPr>
      <w:rFonts w:cs="Times New Roman"/>
    </w:rPr>
  </w:style>
  <w:style w:type="character" w:styleId="char293" w:customStyle="1">
    <w:name w:val="ListLabel 267"/>
    <w:rPr>
      <w:rFonts w:cs="Times New Roman"/>
    </w:rPr>
  </w:style>
  <w:style w:type="character" w:styleId="char294" w:customStyle="1">
    <w:name w:val="ListLabel 268"/>
    <w:rPr>
      <w:rFonts w:cs="Times New Roman"/>
    </w:rPr>
  </w:style>
  <w:style w:type="character" w:styleId="char295" w:customStyle="1">
    <w:name w:val="ListLabel 269"/>
    <w:rPr>
      <w:rFonts w:cs="Times New Roman"/>
    </w:rPr>
  </w:style>
  <w:style w:type="character" w:styleId="char296" w:customStyle="1">
    <w:name w:val="ListLabel 270"/>
    <w:rPr>
      <w:rFonts w:cs="Times New Roman"/>
    </w:rPr>
  </w:style>
  <w:style w:type="character" w:styleId="char297" w:customStyle="1">
    <w:name w:val="ListLabel 271"/>
    <w:rPr>
      <w:rFonts w:cs="Times New Roman"/>
    </w:rPr>
  </w:style>
  <w:style w:type="character" w:styleId="char298" w:customStyle="1">
    <w:name w:val="ListLabel 272"/>
    <w:rPr>
      <w:rFonts w:cs="Times New Roman"/>
    </w:rPr>
  </w:style>
  <w:style w:type="character" w:styleId="char299" w:customStyle="1">
    <w:name w:val="ListLabel 273"/>
    <w:rPr>
      <w:rFonts w:cs="Times New Roman"/>
    </w:rPr>
  </w:style>
  <w:style w:type="character" w:styleId="char300" w:customStyle="1">
    <w:name w:val="ListLabel 274"/>
    <w:rPr>
      <w:rFonts w:cs="Times New Roman"/>
    </w:rPr>
  </w:style>
  <w:style w:type="character" w:styleId="char301" w:customStyle="1">
    <w:name w:val="ListLabel 275"/>
    <w:rPr>
      <w:rFonts w:cs="Times New Roman"/>
    </w:rPr>
  </w:style>
  <w:style w:type="character" w:styleId="char302" w:customStyle="1">
    <w:name w:val="ListLabel 276"/>
    <w:rPr>
      <w:rFonts w:cs="Times New Roman"/>
    </w:rPr>
  </w:style>
  <w:style w:type="character" w:styleId="char303" w:customStyle="1">
    <w:name w:val="ListLabel 277"/>
    <w:rPr>
      <w:rFonts w:cs="Times New Roman"/>
    </w:rPr>
  </w:style>
  <w:style w:type="character" w:styleId="char304" w:customStyle="1">
    <w:name w:val="ListLabel 278"/>
    <w:rPr>
      <w:rFonts w:cs="Times New Roman"/>
    </w:rPr>
  </w:style>
  <w:style w:type="character" w:styleId="char305" w:customStyle="1">
    <w:name w:val="ListLabel 279"/>
    <w:rPr>
      <w:rFonts w:cs="Times New Roman"/>
    </w:rPr>
  </w:style>
  <w:style w:type="character" w:styleId="char306" w:customStyle="1">
    <w:name w:val="ListLabel 280"/>
    <w:rPr>
      <w:rFonts w:cs="Times New Roman"/>
    </w:rPr>
  </w:style>
  <w:style w:type="character" w:styleId="char307" w:customStyle="1">
    <w:name w:val="ListLabel 281"/>
    <w:rPr>
      <w:rFonts w:cs="Times New Roman"/>
    </w:rPr>
  </w:style>
  <w:style w:type="character" w:styleId="char308" w:customStyle="1">
    <w:name w:val="ListLabel 282"/>
    <w:rPr>
      <w:rFonts w:cs="Times New Roman"/>
    </w:rPr>
  </w:style>
  <w:style w:type="character" w:styleId="char309" w:customStyle="1">
    <w:name w:val="ListLabel 283"/>
    <w:rPr>
      <w:rFonts w:cs="Times New Roman"/>
    </w:rPr>
  </w:style>
  <w:style w:type="character" w:styleId="char310" w:customStyle="1">
    <w:name w:val="ListLabel 284"/>
    <w:rPr>
      <w:rFonts w:cs="Times New Roman"/>
    </w:rPr>
  </w:style>
  <w:style w:type="character" w:styleId="char311" w:customStyle="1">
    <w:name w:val="ListLabel 285"/>
    <w:rPr>
      <w:rFonts w:cs="Times New Roman"/>
    </w:rPr>
  </w:style>
  <w:style w:type="character" w:styleId="char312" w:customStyle="1">
    <w:name w:val="ListLabel 286"/>
    <w:rPr>
      <w:rFonts w:cs="Times New Roman"/>
    </w:rPr>
  </w:style>
  <w:style w:type="character" w:styleId="char313" w:customStyle="1">
    <w:name w:val="ListLabel 287"/>
    <w:rPr>
      <w:rFonts w:cs="Times New Roman"/>
    </w:rPr>
  </w:style>
  <w:style w:type="character" w:styleId="char314" w:customStyle="1">
    <w:name w:val="ListLabel 288"/>
    <w:rPr>
      <w:rFonts w:cs="Times New Roman"/>
    </w:rPr>
  </w:style>
  <w:style w:type="character" w:styleId="char315" w:customStyle="1">
    <w:name w:val="ListLabel 289"/>
    <w:rPr>
      <w:rFonts w:cs="Times New Roman"/>
    </w:rPr>
  </w:style>
  <w:style w:type="character" w:styleId="char316" w:customStyle="1">
    <w:name w:val="ListLabel 290"/>
    <w:rPr>
      <w:rFonts w:cs="Times New Roman"/>
    </w:rPr>
  </w:style>
  <w:style w:type="character" w:styleId="char317" w:customStyle="1">
    <w:name w:val="ListLabel 291"/>
    <w:rPr>
      <w:rFonts w:cs="Times New Roman"/>
    </w:rPr>
  </w:style>
  <w:style w:type="character" w:styleId="char318" w:customStyle="1">
    <w:name w:val="ListLabel 292"/>
    <w:rPr>
      <w:rFonts w:cs="Times New Roman"/>
    </w:rPr>
  </w:style>
  <w:style w:type="character" w:styleId="char319" w:customStyle="1">
    <w:name w:val="ListLabel 293"/>
    <w:rPr>
      <w:rFonts w:cs="Times New Roman"/>
    </w:rPr>
  </w:style>
  <w:style w:type="character" w:styleId="char320" w:customStyle="1">
    <w:name w:val="ListLabel 294"/>
    <w:rPr>
      <w:rFonts w:cs="Times New Roman"/>
    </w:rPr>
  </w:style>
  <w:style w:type="character" w:styleId="char321" w:customStyle="1">
    <w:name w:val="ListLabel 295"/>
    <w:rPr>
      <w:rFonts w:cs="Times New Roman"/>
    </w:rPr>
  </w:style>
  <w:style w:type="character" w:styleId="char322" w:customStyle="1">
    <w:name w:val="ListLabel 296"/>
    <w:rPr>
      <w:rFonts w:cs="Times New Roman"/>
    </w:rPr>
  </w:style>
  <w:style w:type="character" w:styleId="char323" w:customStyle="1">
    <w:name w:val="ListLabel 297"/>
    <w:rPr>
      <w:rFonts w:cs="Times New Roman"/>
    </w:rPr>
  </w:style>
  <w:style w:type="character" w:styleId="char324" w:customStyle="1">
    <w:name w:val="ListLabel 298"/>
    <w:rPr>
      <w:rFonts w:cs="Times New Roman"/>
    </w:rPr>
  </w:style>
  <w:style w:type="character" w:styleId="char325" w:customStyle="1">
    <w:name w:val="ListLabel 299"/>
    <w:rPr>
      <w:rFonts w:ascii="Arial" w:hAnsi="Arial" w:cs="Times New Roman"/>
      <w:b/>
      <w:sz w:val="22"/>
    </w:rPr>
  </w:style>
  <w:style w:type="character" w:styleId="char326" w:customStyle="1">
    <w:name w:val="ListLabel 300"/>
    <w:rPr>
      <w:rFonts w:cs="Times New Roman"/>
    </w:rPr>
  </w:style>
  <w:style w:type="character" w:styleId="char327" w:customStyle="1">
    <w:name w:val="ListLabel 301"/>
    <w:rPr>
      <w:rFonts w:cs="Times New Roman"/>
    </w:rPr>
  </w:style>
  <w:style w:type="character" w:styleId="char328" w:customStyle="1">
    <w:name w:val="ListLabel 302"/>
    <w:rPr>
      <w:rFonts w:cs="Times New Roman"/>
    </w:rPr>
  </w:style>
  <w:style w:type="character" w:styleId="char329" w:customStyle="1">
    <w:name w:val="ListLabel 303"/>
    <w:rPr>
      <w:rFonts w:cs="Times New Roman"/>
    </w:rPr>
  </w:style>
  <w:style w:type="character" w:styleId="char330" w:customStyle="1">
    <w:name w:val="ListLabel 304"/>
    <w:rPr>
      <w:rFonts w:cs="Times New Roman"/>
    </w:rPr>
  </w:style>
  <w:style w:type="character" w:styleId="char331" w:customStyle="1">
    <w:name w:val="ListLabel 305"/>
    <w:rPr>
      <w:rFonts w:cs="Times New Roman"/>
    </w:rPr>
  </w:style>
  <w:style w:type="character" w:styleId="char332" w:customStyle="1">
    <w:name w:val="ListLabel 306"/>
    <w:rPr>
      <w:rFonts w:cs="Times New Roman"/>
    </w:rPr>
  </w:style>
  <w:style w:type="character" w:styleId="char333" w:customStyle="1">
    <w:name w:val="ListLabel 307"/>
    <w:rPr>
      <w:rFonts w:cs="Times New Roman"/>
    </w:rPr>
  </w:style>
  <w:style w:type="character" w:styleId="char334" w:customStyle="1">
    <w:name w:val="ListLabel 308"/>
    <w:rPr>
      <w:rFonts w:cs="Times New Roman"/>
    </w:rPr>
  </w:style>
  <w:style w:type="character" w:styleId="char335" w:customStyle="1">
    <w:name w:val="ListLabel 309"/>
    <w:rPr>
      <w:rFonts w:cs="Times New Roman"/>
    </w:rPr>
  </w:style>
  <w:style w:type="character" w:styleId="char336" w:customStyle="1">
    <w:name w:val="ListLabel 310"/>
    <w:rPr>
      <w:rFonts w:cs="Times New Roman"/>
    </w:rPr>
  </w:style>
  <w:style w:type="character" w:styleId="char337" w:customStyle="1">
    <w:name w:val="ListLabel 311"/>
    <w:rPr>
      <w:rFonts w:cs="Times New Roman"/>
    </w:rPr>
  </w:style>
  <w:style w:type="character" w:styleId="char338" w:customStyle="1">
    <w:name w:val="ListLabel 312"/>
    <w:rPr>
      <w:rFonts w:cs="Times New Roman"/>
    </w:rPr>
  </w:style>
  <w:style w:type="character" w:styleId="char339" w:customStyle="1">
    <w:name w:val="ListLabel 313"/>
    <w:rPr>
      <w:rFonts w:cs="Times New Roman"/>
    </w:rPr>
  </w:style>
  <w:style w:type="character" w:styleId="char340" w:customStyle="1">
    <w:name w:val="ListLabel 314"/>
    <w:rPr>
      <w:rFonts w:cs="Times New Roman"/>
    </w:rPr>
  </w:style>
  <w:style w:type="character" w:styleId="char341" w:customStyle="1">
    <w:name w:val="ListLabel 315"/>
    <w:rPr>
      <w:rFonts w:cs="Times New Roman"/>
    </w:rPr>
  </w:style>
  <w:style w:type="character" w:styleId="char342" w:customStyle="1">
    <w:name w:val="ListLabel 316"/>
    <w:rPr>
      <w:rFonts w:cs="Times New Roman"/>
    </w:rPr>
  </w:style>
  <w:style w:type="character" w:styleId="char343" w:customStyle="1">
    <w:name w:val="ListLabel 317"/>
    <w:rPr>
      <w:rFonts w:cs="Times New Roman"/>
    </w:rPr>
  </w:style>
  <w:style w:type="character" w:styleId="char344" w:customStyle="1">
    <w:name w:val="ListLabel 318"/>
    <w:rPr>
      <w:rFonts w:cs="Times New Roman"/>
    </w:rPr>
  </w:style>
  <w:style w:type="character" w:styleId="char345" w:customStyle="1">
    <w:name w:val="ListLabel 319"/>
    <w:rPr>
      <w:rFonts w:cs="Times New Roman"/>
    </w:rPr>
  </w:style>
  <w:style w:type="character" w:styleId="char346" w:customStyle="1">
    <w:name w:val="ListLabel 320"/>
    <w:rPr>
      <w:rFonts w:cs="Times New Roman"/>
    </w:rPr>
  </w:style>
  <w:style w:type="character" w:styleId="char347" w:customStyle="1">
    <w:name w:val="ListLabel 321"/>
    <w:rPr>
      <w:rFonts w:cs="Times New Roman"/>
    </w:rPr>
  </w:style>
  <w:style w:type="character" w:styleId="char348" w:customStyle="1">
    <w:name w:val="ListLabel 322"/>
    <w:rPr>
      <w:rFonts w:cs="Times New Roman"/>
    </w:rPr>
  </w:style>
  <w:style w:type="character" w:styleId="char349" w:customStyle="1">
    <w:name w:val="ListLabel 323"/>
    <w:rPr>
      <w:rFonts w:cs="Times New Roman"/>
    </w:rPr>
  </w:style>
  <w:style w:type="character" w:styleId="char350" w:customStyle="1">
    <w:name w:val="ListLabel 324"/>
    <w:rPr>
      <w:rFonts w:cs="Times New Roman"/>
    </w:rPr>
  </w:style>
  <w:style w:type="character" w:styleId="char351" w:customStyle="1">
    <w:name w:val="ListLabel 325"/>
    <w:rPr>
      <w:rFonts w:cs="Times New Roman"/>
    </w:rPr>
  </w:style>
  <w:style w:type="character" w:styleId="char352">
    <w:name w:val="Footnote Reference"/>
    <w:rPr>
      <w:vertAlign w:val="superscript"/>
    </w:rPr>
  </w:style>
  <w:style w:type="character" w:styleId="char353">
    <w:name w:val="Endnote Reference"/>
  </w:style>
  <w:style w:type="character" w:styleId="char354" w:customStyle="1">
    <w:name w:val="Endnotenanker"/>
    <w:rPr>
      <w:vertAlign w:val="superscript"/>
    </w:rPr>
  </w:style>
  <w:style w:type="character" w:styleId="char355" w:customStyle="1">
    <w:name w:val="Nummerierungszeichen"/>
  </w:style>
  <w:style w:type="character" w:styleId="char356" w:customStyle="1">
    <w:name w:val="Definition"/>
  </w:style>
  <w:style w:type="character" w:styleId="char357" w:customStyle="1">
    <w:name w:val="annotation reference"/>
    <w:basedOn w:val="char0"/>
    <w:rPr>
      <w:sz w:val="16"/>
      <w:szCs w:val="16"/>
    </w:rPr>
  </w:style>
  <w:style w:type="character" w:styleId="char358" w:customStyle="1">
    <w:name w:val="Kommentartext Zchn"/>
    <w:basedOn w:val="char0"/>
    <w:rPr>
      <w:rFonts w:ascii="ZapfHumnst Dm BT" w:hAnsi="ZapfHumnst Dm BT" w:eastAsia="Courier New" w:cs="Times New Roman"/>
      <w:sz w:val="20"/>
      <w:szCs w:val="20"/>
      <w:lang w:bidi="ar-sa"/>
    </w:rPr>
  </w:style>
  <w:style w:type="character" w:styleId="char359" w:customStyle="1">
    <w:name w:val="Kommentarthema Zchn"/>
    <w:basedOn w:val="char35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hAnsi="Liberation Serif" w:eastAsia="Droid Sans Fallback" w:cs="FreeSans"/>
        <w:kern w:val="1"/>
        <w:sz w:val="24"/>
        <w:szCs w:val="24"/>
        <w:lang w:val="de-de"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spacing/>
      <w:jc w:val="both"/>
    </w:pPr>
    <w:rPr>
      <w:rFonts w:ascii="ZapfHumnst Dm BT" w:hAnsi="ZapfHumnst Dm BT" w:eastAsia="Courier New" w:cs="Times New Roman"/>
      <w:sz w:val="22"/>
      <w:lang w:bidi="ar-sa"/>
    </w:rPr>
  </w:style>
  <w:style w:type="paragraph" w:styleId="para1">
    <w:name w:val="heading 1"/>
    <w:qFormat/>
    <w:basedOn w:val="para0"/>
    <w:pPr>
      <w:numPr>
        <w:ilvl w:val="0"/>
        <w:numId w:val="4"/>
      </w:numPr>
      <w:ind w:left="0" w:hanging="432"/>
      <w:spacing/>
      <w:jc w:val="left"/>
      <w:keepNext/>
      <w:outlineLvl w:val="0"/>
      <w:tabs>
        <w:tab w:val="left" w:pos="432" w:leader="none"/>
      </w:tabs>
    </w:pPr>
    <w:rPr>
      <w:rFonts w:eastAsia="SimSun" w:cs="Arial"/>
      <w:b/>
      <w:bCs/>
      <w:sz w:val="24"/>
    </w:rPr>
  </w:style>
  <w:style w:type="paragraph" w:styleId="para2">
    <w:name w:val="heading 2"/>
    <w:qFormat/>
    <w:basedOn w:val="para0"/>
    <w:pPr>
      <w:ind w:hanging="578"/>
      <w:spacing/>
      <w:jc w:val="left"/>
      <w:keepNext/>
      <w:outlineLvl w:val="1"/>
      <w:tabs>
        <w:tab w:val="left" w:pos="432" w:leader="none"/>
        <w:tab w:val="left" w:pos="576" w:leader="none"/>
      </w:tabs>
    </w:pPr>
    <w:rPr>
      <w:rFonts w:eastAsia="SimSun" w:cs="Arial"/>
      <w:b/>
      <w:bCs/>
      <w:iCs/>
      <w:sz w:val="24"/>
    </w:rPr>
  </w:style>
  <w:style w:type="paragraph" w:styleId="para3">
    <w:name w:val="heading 3"/>
    <w:qFormat/>
    <w:basedOn w:val="para0"/>
    <w:pPr>
      <w:ind w:left="720" w:hanging="720"/>
      <w:spacing/>
      <w:jc w:val="left"/>
      <w:keepNext/>
      <w:outlineLvl w:val="2"/>
      <w:tabs>
        <w:tab w:val="left" w:pos="432" w:leader="none"/>
        <w:tab w:val="left" w:pos="720" w:leader="none"/>
      </w:tabs>
    </w:pPr>
    <w:rPr>
      <w:rFonts w:eastAsia="SimSun" w:cs="Arial"/>
      <w:b/>
      <w:bCs/>
      <w:sz w:val="24"/>
    </w:rPr>
  </w:style>
  <w:style w:type="paragraph" w:styleId="para4">
    <w:name w:val="heading 4"/>
    <w:qFormat/>
    <w:basedOn w:val="para0"/>
    <w:pPr>
      <w:ind w:hanging="864"/>
      <w:spacing w:before="240" w:after="60"/>
      <w:jc w:val="left"/>
      <w:keepNext/>
      <w:outlineLvl w:val="3"/>
      <w:tabs>
        <w:tab w:val="left" w:pos="432" w:leader="none"/>
        <w:tab w:val="left" w:pos="864" w:leader="none"/>
      </w:tabs>
    </w:pPr>
    <w:rPr>
      <w:rFonts w:eastAsia="SimSun" w:cs="Arial"/>
      <w:b/>
      <w:bCs/>
      <w:sz w:val="24"/>
      <w:szCs w:val="28"/>
    </w:rPr>
  </w:style>
  <w:style w:type="paragraph" w:styleId="para5">
    <w:name w:val="heading 5"/>
    <w:qFormat/>
    <w:basedOn w:val="para0"/>
    <w:pPr>
      <w:numPr>
        <w:ilvl w:val="4"/>
        <w:numId w:val="3"/>
      </w:numPr>
      <w:ind w:left="1008" w:hanging="1008"/>
      <w:spacing w:before="240" w:after="60"/>
      <w:jc w:val="left"/>
      <w:outlineLvl w:val="4"/>
      <w:tabs>
        <w:tab w:val="left" w:pos="1008" w:leader="none"/>
      </w:tabs>
    </w:pPr>
    <w:rPr>
      <w:rFonts w:ascii="Arial" w:hAnsi="Arial"/>
      <w:b/>
      <w:bCs/>
      <w:iCs/>
      <w:szCs w:val="26"/>
    </w:rPr>
  </w:style>
  <w:style w:type="paragraph" w:styleId="para6">
    <w:name w:val="heading 6"/>
    <w:qFormat/>
    <w:basedOn w:val="para0"/>
    <w:pPr>
      <w:numPr>
        <w:ilvl w:val="5"/>
        <w:numId w:val="3"/>
      </w:numPr>
      <w:ind w:left="1152" w:hanging="1152"/>
      <w:spacing w:before="240" w:after="60"/>
      <w:jc w:val="left"/>
      <w:outlineLvl w:val="5"/>
      <w:tabs>
        <w:tab w:val="left" w:pos="1152" w:leader="none"/>
      </w:tabs>
    </w:pPr>
    <w:rPr>
      <w:rFonts w:ascii="Arial" w:hAnsi="Arial"/>
      <w:b/>
      <w:bCs/>
      <w:szCs w:val="22"/>
    </w:rPr>
  </w:style>
  <w:style w:type="paragraph" w:styleId="para7">
    <w:name w:val="heading 7"/>
    <w:qFormat/>
    <w:basedOn w:val="para0"/>
    <w:pPr>
      <w:numPr>
        <w:ilvl w:val="6"/>
        <w:numId w:val="3"/>
      </w:numPr>
      <w:ind w:left="1296" w:hanging="1296"/>
      <w:spacing w:before="240" w:after="60"/>
      <w:jc w:val="left"/>
      <w:outlineLvl w:val="6"/>
      <w:tabs>
        <w:tab w:val="left" w:pos="1296" w:leader="none"/>
      </w:tabs>
    </w:pPr>
    <w:rPr>
      <w:sz w:val="24"/>
    </w:rPr>
  </w:style>
  <w:style w:type="paragraph" w:styleId="para8">
    <w:name w:val="heading 8"/>
    <w:qFormat/>
    <w:basedOn w:val="para0"/>
    <w:pPr>
      <w:numPr>
        <w:ilvl w:val="7"/>
        <w:numId w:val="3"/>
      </w:numPr>
      <w:ind w:left="1440" w:hanging="1440"/>
      <w:spacing w:before="240" w:after="60"/>
      <w:jc w:val="left"/>
      <w:outlineLvl w:val="7"/>
      <w:tabs>
        <w:tab w:val="left" w:pos="1440" w:leader="none"/>
      </w:tabs>
    </w:pPr>
    <w:rPr>
      <w:i/>
      <w:iCs/>
      <w:sz w:val="24"/>
    </w:rPr>
  </w:style>
  <w:style w:type="paragraph" w:styleId="para9">
    <w:name w:val="heading 9"/>
    <w:qFormat/>
    <w:basedOn w:val="para0"/>
    <w:pPr>
      <w:numPr>
        <w:ilvl w:val="8"/>
        <w:numId w:val="3"/>
      </w:numPr>
      <w:ind w:left="1584" w:hanging="1584"/>
      <w:spacing w:before="240" w:after="60"/>
      <w:jc w:val="left"/>
      <w:outlineLvl w:val="8"/>
      <w:tabs>
        <w:tab w:val="left" w:pos="1584" w:leader="none"/>
      </w:tabs>
    </w:pPr>
    <w:rPr>
      <w:rFonts w:ascii="Arial" w:hAnsi="Arial" w:cs="Arial"/>
      <w:szCs w:val="22"/>
    </w:rPr>
  </w:style>
  <w:style w:type="paragraph" w:styleId="para10" w:customStyle="1">
    <w:name w:val="Überschrift"/>
    <w:qFormat/>
    <w:basedOn w:val="para0"/>
    <w:next w:val="para11"/>
    <w:pPr>
      <w:spacing w:before="240" w:after="120"/>
      <w:keepNext/>
    </w:pPr>
    <w:rPr>
      <w:rFonts w:ascii="Liberation Sans" w:hAnsi="Liberation Sans" w:eastAsia="Droid Sans Fallback" w:cs="FreeSans"/>
      <w:sz w:val="28"/>
      <w:szCs w:val="28"/>
    </w:rPr>
  </w:style>
  <w:style w:type="paragraph" w:styleId="para11">
    <w:name w:val="Body Text"/>
    <w:qFormat/>
    <w:basedOn w:val="para0"/>
    <w:pPr>
      <w:spacing w:after="140" w:line="276" w:lineRule="auto"/>
    </w:pPr>
  </w:style>
  <w:style w:type="paragraph" w:styleId="para12">
    <w:name w:val="List"/>
    <w:qFormat/>
    <w:basedOn w:val="para11"/>
    <w:rPr>
      <w:rFonts w:cs="FreeSans"/>
    </w:rPr>
  </w:style>
  <w:style w:type="paragraph" w:styleId="para13">
    <w:name w:val="caption"/>
    <w:qFormat/>
    <w:basedOn w:val="para0"/>
    <w:pPr>
      <w:spacing w:before="120" w:after="120"/>
      <w:jc w:val="left"/>
    </w:pPr>
    <w:rPr>
      <w:rFonts w:ascii="Arial" w:hAnsi="Arial"/>
      <w:bCs/>
      <w:i/>
      <w:sz w:val="18"/>
      <w:szCs w:val="20"/>
    </w:rPr>
  </w:style>
  <w:style w:type="paragraph" w:styleId="para14" w:customStyle="1">
    <w:name w:val="Verzeichnis"/>
    <w:qFormat/>
    <w:basedOn w:val="para0"/>
    <w:pPr>
      <w:ind w:left="283" w:hanging="283"/>
      <w:spacing w:after="227"/>
      <w:suppressLineNumbers/>
    </w:pPr>
    <w:rPr>
      <w:rFonts w:cs="FreeSans"/>
    </w:rPr>
  </w:style>
  <w:style w:type="paragraph" w:styleId="para15" w:customStyle="1">
    <w:name w:val="DocumentMap"/>
    <w:qFormat/>
    <w:rPr>
      <w:rFonts w:ascii="Times New Roman" w:hAnsi="Times New Roman" w:eastAsia="Courier New" w:cs="Times New Roman"/>
      <w:sz w:val="20"/>
      <w:szCs w:val="20"/>
      <w:lang w:bidi="ar-sa"/>
    </w:rPr>
  </w:style>
  <w:style w:type="paragraph" w:styleId="para16">
    <w:name w:val="Header"/>
    <w:qFormat/>
    <w:basedOn w:val="para0"/>
    <w:pPr>
      <w:spacing/>
      <w:jc w:val="left"/>
      <w:tabs>
        <w:tab w:val="center" w:pos="4536" w:leader="none"/>
        <w:tab w:val="right" w:pos="9072" w:leader="none"/>
      </w:tabs>
    </w:pPr>
    <w:rPr>
      <w:rFonts w:ascii="Arial" w:hAnsi="Arial"/>
    </w:rPr>
  </w:style>
  <w:style w:type="paragraph" w:styleId="para17">
    <w:name w:val="Footer"/>
    <w:qFormat/>
    <w:basedOn w:val="para0"/>
    <w:pPr>
      <w:spacing/>
      <w:jc w:val="left"/>
      <w:tabs>
        <w:tab w:val="center" w:pos="4536" w:leader="none"/>
        <w:tab w:val="right" w:pos="9072" w:leader="none"/>
      </w:tabs>
    </w:pPr>
    <w:rPr>
      <w:rFonts w:ascii="Arial" w:hAnsi="Arial"/>
    </w:rPr>
  </w:style>
  <w:style w:type="paragraph" w:styleId="para18">
    <w:name w:val="List Paragraph"/>
    <w:qFormat/>
    <w:basedOn w:val="para0"/>
    <w:pPr>
      <w:ind w:left="708"/>
      <w:spacing/>
      <w:jc w:val="left"/>
    </w:pPr>
    <w:rPr>
      <w:rFonts w:ascii="Arial" w:hAnsi="Arial"/>
    </w:rPr>
  </w:style>
  <w:style w:type="paragraph" w:styleId="para19">
    <w:name w:val="Subtitle"/>
    <w:qFormat/>
    <w:basedOn w:val="para0"/>
    <w:pPr>
      <w:spacing w:after="60"/>
      <w:jc w:val="center"/>
      <w:outlineLvl w:val="1"/>
    </w:pPr>
    <w:rPr>
      <w:rFonts w:ascii="Cambria" w:hAnsi="Cambria" w:eastAsia="SimSun" w:cs="Cambria"/>
      <w:sz w:val="24"/>
    </w:rPr>
  </w:style>
  <w:style w:type="paragraph" w:styleId="para20">
    <w:name w:val="Title"/>
    <w:qFormat/>
    <w:basedOn w:val="para0"/>
    <w:pPr>
      <w:spacing w:before="240" w:after="60"/>
      <w:jc w:val="center"/>
      <w:outlineLvl w:val="0"/>
    </w:pPr>
    <w:rPr>
      <w:rFonts w:ascii="Cambria" w:hAnsi="Cambria" w:eastAsia="SimSun" w:cs="Cambria"/>
      <w:b/>
      <w:bCs/>
      <w:sz w:val="32"/>
      <w:szCs w:val="32"/>
    </w:rPr>
  </w:style>
  <w:style w:type="paragraph" w:styleId="para21">
    <w:name w:val="Footnote Text"/>
    <w:qFormat/>
    <w:basedOn w:val="para0"/>
    <w:pPr>
      <w:ind w:left="283" w:hanging="283"/>
      <w:spacing/>
      <w:jc w:val="left"/>
      <w:keepLines/>
      <w:widowControl w:val="0"/>
    </w:pPr>
    <w:rPr>
      <w:sz w:val="20"/>
      <w:szCs w:val="20"/>
    </w:rPr>
  </w:style>
  <w:style w:type="paragraph" w:styleId="para22">
    <w:name w:val="No Spacing"/>
    <w:qFormat/>
    <w:rPr>
      <w:rFonts w:ascii="Arial" w:hAnsi="Arial" w:eastAsia="Courier New" w:cs="Times New Roman"/>
      <w:sz w:val="20"/>
      <w:lang w:bidi="ar-sa"/>
    </w:rPr>
  </w:style>
  <w:style w:type="paragraph" w:styleId="para23">
    <w:name w:val="Intense Quote"/>
    <w:qFormat/>
    <w:basedOn w:val="para0"/>
    <w:pPr>
      <w:ind w:left="936" w:right="936"/>
      <w:spacing w:before="200" w:after="280"/>
      <w:jc w:val="left"/>
      <w:pBdr>
        <w:top w:val="nil" w:sz="0" w:space="3" w:color="000000" tmln="20, 20, 20, 0, 60"/>
        <w:left w:val="nil" w:sz="0" w:space="3" w:color="000000" tmln="20, 20, 20, 0, 60"/>
        <w:bottom w:val="single" w:sz="4" w:space="4" w:color="FABA00" tmln="10, 20, 20, 0, 80"/>
        <w:right w:val="nil" w:sz="0" w:space="3" w:color="000000" tmln="20, 20, 20, 0, 60"/>
        <w:between w:val="nil" w:sz="0" w:space="0" w:color="000000" tmln="20, 20, 20, 0, 0"/>
      </w:pBdr>
      <w:shd w:val="none"/>
    </w:pPr>
    <w:rPr>
      <w:rFonts w:ascii="Arial" w:hAnsi="Arial"/>
      <w:b/>
      <w:bCs/>
      <w:i/>
      <w:iCs/>
      <w:color w:val="faba00"/>
    </w:rPr>
  </w:style>
  <w:style w:type="paragraph" w:styleId="para24">
    <w:name w:val="toc 2"/>
    <w:qFormat/>
    <w:basedOn w:val="para0"/>
    <w:pPr>
      <w:ind w:left="200"/>
      <w:spacing w:before="120"/>
      <w:jc w:val="left"/>
    </w:pPr>
    <w:rPr>
      <w:rFonts w:ascii="Calibri" w:hAnsi="Calibri"/>
      <w:i/>
      <w:iCs/>
      <w:szCs w:val="20"/>
    </w:rPr>
  </w:style>
  <w:style w:type="paragraph" w:styleId="para25" w:customStyle="1">
    <w:name w:val="Default"/>
    <w:qFormat/>
    <w:rPr>
      <w:rFonts w:ascii="Arial" w:hAnsi="Arial" w:eastAsia="SimSun" w:cs="Arial"/>
      <w:color w:val="000000"/>
      <w:lang w:bidi="ar-sa"/>
    </w:rPr>
  </w:style>
  <w:style w:type="paragraph" w:styleId="para26">
    <w:name w:val="toc 1"/>
    <w:qFormat/>
    <w:basedOn w:val="para0"/>
    <w:pPr>
      <w:spacing w:before="240" w:after="120"/>
      <w:jc w:val="left"/>
    </w:pPr>
    <w:rPr>
      <w:rFonts w:ascii="Calibri" w:hAnsi="Calibri"/>
      <w:b/>
      <w:bCs/>
      <w:szCs w:val="20"/>
    </w:rPr>
  </w:style>
  <w:style w:type="paragraph" w:styleId="para27">
    <w:name w:val="toc 3"/>
    <w:qFormat/>
    <w:basedOn w:val="para0"/>
    <w:pPr>
      <w:ind w:left="400"/>
      <w:spacing/>
      <w:jc w:val="left"/>
    </w:pPr>
    <w:rPr>
      <w:rFonts w:ascii="Calibri" w:hAnsi="Calibri"/>
      <w:szCs w:val="20"/>
    </w:rPr>
  </w:style>
  <w:style w:type="paragraph" w:styleId="para28">
    <w:name w:val="toc 4"/>
    <w:qFormat/>
    <w:basedOn w:val="para0"/>
    <w:pPr>
      <w:ind w:left="600"/>
      <w:spacing/>
      <w:jc w:val="left"/>
    </w:pPr>
    <w:rPr>
      <w:rFonts w:ascii="Calibri" w:hAnsi="Calibri"/>
      <w:szCs w:val="20"/>
    </w:rPr>
  </w:style>
  <w:style w:type="paragraph" w:styleId="para29">
    <w:name w:val="toc 5"/>
    <w:qFormat/>
    <w:basedOn w:val="para0"/>
    <w:pPr>
      <w:ind w:left="800"/>
      <w:spacing/>
      <w:jc w:val="left"/>
    </w:pPr>
    <w:rPr>
      <w:rFonts w:ascii="Calibri" w:hAnsi="Calibri"/>
      <w:szCs w:val="20"/>
    </w:rPr>
  </w:style>
  <w:style w:type="paragraph" w:styleId="para30">
    <w:name w:val="toc 6"/>
    <w:qFormat/>
    <w:basedOn w:val="para0"/>
    <w:pPr>
      <w:ind w:left="1000"/>
      <w:spacing/>
      <w:jc w:val="left"/>
    </w:pPr>
    <w:rPr>
      <w:rFonts w:ascii="Calibri" w:hAnsi="Calibri"/>
      <w:szCs w:val="20"/>
    </w:rPr>
  </w:style>
  <w:style w:type="paragraph" w:styleId="para31">
    <w:name w:val="toc 7"/>
    <w:qFormat/>
    <w:basedOn w:val="para0"/>
    <w:pPr>
      <w:ind w:left="1200"/>
      <w:spacing/>
      <w:jc w:val="left"/>
    </w:pPr>
    <w:rPr>
      <w:rFonts w:ascii="Calibri" w:hAnsi="Calibri"/>
      <w:szCs w:val="20"/>
    </w:rPr>
  </w:style>
  <w:style w:type="paragraph" w:styleId="para32">
    <w:name w:val="toc 8"/>
    <w:qFormat/>
    <w:basedOn w:val="para0"/>
    <w:pPr>
      <w:ind w:left="1400"/>
      <w:spacing/>
      <w:jc w:val="left"/>
    </w:pPr>
    <w:rPr>
      <w:rFonts w:ascii="Calibri" w:hAnsi="Calibri"/>
      <w:szCs w:val="20"/>
    </w:rPr>
  </w:style>
  <w:style w:type="paragraph" w:styleId="para33">
    <w:name w:val="toc 9"/>
    <w:qFormat/>
    <w:basedOn w:val="para0"/>
    <w:pPr>
      <w:ind w:left="1600"/>
      <w:spacing/>
      <w:jc w:val="left"/>
    </w:pPr>
    <w:rPr>
      <w:rFonts w:ascii="Calibri" w:hAnsi="Calibri"/>
      <w:szCs w:val="20"/>
    </w:rPr>
  </w:style>
  <w:style w:type="paragraph" w:styleId="para34" w:customStyle="1">
    <w:name w:val="Tabellenraster1"/>
    <w:qFormat/>
    <w:basedOn w:val="para15"/>
  </w:style>
  <w:style w:type="paragraph" w:styleId="para35" w:customStyle="1">
    <w:name w:val="CD_Fußzeile"/>
    <w:qFormat/>
    <w:basedOn w:val="para17"/>
    <w:pPr>
      <w:spacing w:line="276" w:lineRule="auto"/>
    </w:pPr>
    <w:rPr>
      <w:rFonts w:cs="Arial"/>
      <w:sz w:val="17"/>
      <w:szCs w:val="17"/>
    </w:rPr>
  </w:style>
  <w:style w:type="paragraph" w:styleId="para36" w:customStyle="1">
    <w:name w:val="CD_Fußzeile_Farbe"/>
    <w:qFormat/>
    <w:pPr>
      <w:spacing w:line="276" w:lineRule="auto"/>
    </w:pPr>
    <w:rPr>
      <w:rFonts w:ascii="Arial" w:hAnsi="Arial" w:eastAsia="Courier New" w:cs="Arial"/>
      <w:b/>
      <w:color w:val="00529e"/>
      <w:sz w:val="17"/>
      <w:szCs w:val="17"/>
      <w:lang w:bidi="ar-sa"/>
    </w:rPr>
  </w:style>
  <w:style w:type="paragraph" w:styleId="para37">
    <w:name w:val="Balloon Text"/>
    <w:qFormat/>
    <w:basedOn w:val="para0"/>
    <w:pPr>
      <w:spacing/>
      <w:jc w:val="left"/>
    </w:pPr>
    <w:rPr>
      <w:rFonts w:ascii="Segoe UI" w:hAnsi="Segoe UI" w:cs="Segoe UI"/>
      <w:sz w:val="18"/>
      <w:szCs w:val="18"/>
    </w:rPr>
  </w:style>
  <w:style w:type="paragraph" w:styleId="para38" w:customStyle="1">
    <w:name w:val="Tabelleninhalt"/>
    <w:qFormat/>
    <w:basedOn w:val="para0"/>
    <w:pPr>
      <w:suppressLineNumbers/>
    </w:pPr>
  </w:style>
  <w:style w:type="paragraph" w:styleId="para39">
    <w:name w:val="Endnote Text"/>
    <w:qFormat/>
    <w:basedOn w:val="para0"/>
    <w:pPr>
      <w:ind w:left="339" w:hanging="339"/>
      <w:suppressLineNumbers/>
    </w:pPr>
    <w:rPr>
      <w:sz w:val="20"/>
      <w:szCs w:val="20"/>
    </w:rPr>
  </w:style>
  <w:style w:type="paragraph" w:styleId="para40" w:customStyle="1">
    <w:name w:val="Tabellenüberschrift"/>
    <w:qFormat/>
    <w:basedOn w:val="para38"/>
    <w:pPr>
      <w:spacing/>
      <w:jc w:val="center"/>
    </w:pPr>
    <w:rPr>
      <w:b/>
      <w:bCs/>
    </w:rPr>
  </w:style>
  <w:style w:type="paragraph" w:styleId="para41">
    <w:name w:val="Quote"/>
    <w:qFormat/>
    <w:basedOn w:val="para0"/>
    <w:pPr>
      <w:ind w:left="567" w:right="567"/>
      <w:spacing w:after="283"/>
    </w:pPr>
  </w:style>
  <w:style w:type="paragraph" w:styleId="para42">
    <w:name w:val="index 1"/>
    <w:qFormat/>
    <w:basedOn w:val="para14"/>
    <w:pPr>
      <w:ind w:left="0" w:firstLine="0"/>
    </w:pPr>
  </w:style>
  <w:style w:type="paragraph" w:styleId="para43" w:customStyle="1">
    <w:name w:val="Objektverzeichnis Überschrift"/>
    <w:qFormat/>
    <w:basedOn w:val="para10"/>
    <w:pPr>
      <w:suppressLineNumbers/>
    </w:pPr>
    <w:rPr>
      <w:b/>
      <w:bCs/>
      <w:sz w:val="32"/>
      <w:szCs w:val="32"/>
    </w:rPr>
  </w:style>
  <w:style w:type="paragraph" w:styleId="para44" w:customStyle="1">
    <w:name w:val="Objektverzeichnis 1"/>
    <w:qFormat/>
    <w:basedOn w:val="para14"/>
    <w:pPr>
      <w:ind w:left="0" w:firstLine="0"/>
      <w:tabs>
        <w:tab w:val="right" w:pos="9354" w:leader="dot"/>
      </w:tabs>
    </w:pPr>
  </w:style>
  <w:style w:type="paragraph" w:styleId="para45" w:customStyle="1">
    <w:name w:val="annotation text"/>
    <w:qFormat/>
    <w:basedOn w:val="para0"/>
    <w:rPr>
      <w:sz w:val="20"/>
      <w:szCs w:val="20"/>
    </w:rPr>
  </w:style>
  <w:style w:type="paragraph" w:styleId="para46" w:customStyle="1">
    <w:name w:val="annotation subject"/>
    <w:qFormat/>
    <w:basedOn w:val="para45"/>
    <w:next w:val="para45"/>
    <w:rPr>
      <w:b/>
      <w:bCs/>
    </w:rPr>
  </w:style>
  <w:style w:type="paragraph" w:styleId="para47">
    <w:name w:val="Comment Text"/>
    <w:qFormat/>
    <w:basedOn w:val="para0"/>
    <w:rPr>
      <w:sz w:val="20"/>
      <w:szCs w:val="20"/>
    </w:rPr>
  </w:style>
  <w:style w:type="paragraph" w:styleId="para48">
    <w:name w:val="Comment Subject"/>
    <w:qFormat/>
    <w:basedOn w:val="para47"/>
    <w:next w:val="para47"/>
    <w:rPr>
      <w:b/>
      <w:bCs/>
    </w:rPr>
  </w:style>
  <w:style w:type="character" w:styleId="char0" w:default="1">
    <w:name w:val="Default Paragraph Font"/>
  </w:style>
  <w:style w:type="character" w:styleId="char1" w:customStyle="1">
    <w:name w:val="Überschrift 1 Zchn"/>
    <w:basedOn w:val="char0"/>
    <w:rPr>
      <w:rFonts w:ascii="Arial" w:hAnsi="Arial" w:eastAsia="SimSun" w:cs="Arial"/>
      <w:b/>
      <w:bCs/>
      <w:sz w:val="24"/>
      <w:szCs w:val="24"/>
    </w:rPr>
  </w:style>
  <w:style w:type="character" w:styleId="char2" w:customStyle="1">
    <w:name w:val="Überschrift 2 Zchn"/>
    <w:basedOn w:val="char0"/>
    <w:rPr>
      <w:rFonts w:ascii="Arial" w:hAnsi="Arial" w:eastAsia="SimSun" w:cs="Arial"/>
      <w:b/>
      <w:bCs/>
      <w:iCs/>
      <w:sz w:val="22"/>
      <w:lang w:val="de-de"/>
    </w:rPr>
  </w:style>
  <w:style w:type="character" w:styleId="char3" w:customStyle="1">
    <w:name w:val="Überschrift 3 Zchn"/>
    <w:basedOn w:val="char0"/>
    <w:rPr>
      <w:rFonts w:ascii="Arial" w:hAnsi="Arial" w:eastAsia="SimSun" w:cs="Arial"/>
      <w:b/>
      <w:bCs/>
      <w:sz w:val="24"/>
      <w:szCs w:val="24"/>
    </w:rPr>
  </w:style>
  <w:style w:type="character" w:styleId="char4" w:customStyle="1">
    <w:name w:val="Überschrift 4 Zchn"/>
    <w:basedOn w:val="char0"/>
    <w:rPr>
      <w:rFonts w:ascii="Arial" w:hAnsi="Arial" w:eastAsia="SimSun" w:cs="Arial"/>
      <w:b/>
      <w:bCs/>
      <w:sz w:val="28"/>
      <w:szCs w:val="28"/>
    </w:rPr>
  </w:style>
  <w:style w:type="character" w:styleId="char5" w:customStyle="1">
    <w:name w:val="Überschrift 5 Zchn"/>
    <w:basedOn w:val="char0"/>
    <w:rPr>
      <w:rFonts w:ascii="Arial" w:hAnsi="Arial" w:cs="Times New Roman"/>
      <w:b/>
      <w:bCs/>
      <w:iCs/>
      <w:sz w:val="26"/>
      <w:szCs w:val="26"/>
    </w:rPr>
  </w:style>
  <w:style w:type="character" w:styleId="char6" w:customStyle="1">
    <w:name w:val="Überschrift 6 Zchn"/>
    <w:basedOn w:val="char0"/>
    <w:rPr>
      <w:rFonts w:ascii="Arial" w:hAnsi="Arial" w:cs="Times New Roman"/>
      <w:b/>
      <w:bCs/>
      <w:sz w:val="22"/>
      <w:szCs w:val="22"/>
    </w:rPr>
  </w:style>
  <w:style w:type="character" w:styleId="char7" w:customStyle="1">
    <w:name w:val="Überschrift 7 Zchn"/>
    <w:basedOn w:val="char0"/>
    <w:rPr>
      <w:rFonts w:cs="Times New Roman"/>
      <w:sz w:val="24"/>
      <w:szCs w:val="24"/>
    </w:rPr>
  </w:style>
  <w:style w:type="character" w:styleId="char8" w:customStyle="1">
    <w:name w:val="Überschrift 8 Zchn"/>
    <w:basedOn w:val="char0"/>
    <w:rPr>
      <w:rFonts w:cs="Times New Roman"/>
      <w:i/>
      <w:iCs/>
      <w:sz w:val="24"/>
      <w:szCs w:val="24"/>
    </w:rPr>
  </w:style>
  <w:style w:type="character" w:styleId="char9" w:customStyle="1">
    <w:name w:val="Überschrift 9 Zchn"/>
    <w:basedOn w:val="char0"/>
    <w:rPr>
      <w:rFonts w:ascii="Arial" w:hAnsi="Arial" w:cs="Arial"/>
      <w:sz w:val="22"/>
      <w:szCs w:val="22"/>
    </w:rPr>
  </w:style>
  <w:style w:type="character" w:styleId="char10" w:customStyle="1">
    <w:name w:val="Kopfzeile Zchn"/>
    <w:basedOn w:val="char0"/>
    <w:rPr>
      <w:rFonts w:cs="Times New Roman"/>
    </w:rPr>
  </w:style>
  <w:style w:type="character" w:styleId="char11" w:customStyle="1">
    <w:name w:val="Fußzeile Zchn"/>
    <w:basedOn w:val="char0"/>
    <w:rPr>
      <w:rFonts w:cs="Times New Roman"/>
    </w:rPr>
  </w:style>
  <w:style w:type="character" w:styleId="char12" w:customStyle="1">
    <w:name w:val="Untertitel Zchn"/>
    <w:basedOn w:val="char0"/>
    <w:rPr>
      <w:rFonts w:ascii="Cambria" w:hAnsi="Cambria" w:eastAsia="SimSun" w:cs="Cambria"/>
      <w:sz w:val="24"/>
      <w:szCs w:val="24"/>
    </w:rPr>
  </w:style>
  <w:style w:type="character" w:styleId="char13" w:customStyle="1">
    <w:name w:val="Titel Zchn"/>
    <w:basedOn w:val="char0"/>
    <w:rPr>
      <w:rFonts w:ascii="Cambria" w:hAnsi="Cambria" w:eastAsia="SimSun" w:cs="Cambria"/>
      <w:b/>
      <w:bCs/>
      <w:kern w:val="1"/>
      <w:sz w:val="32"/>
      <w:szCs w:val="32"/>
    </w:rPr>
  </w:style>
  <w:style w:type="character" w:styleId="char14" w:customStyle="1">
    <w:name w:val="Betont"/>
    <w:basedOn w:val="char0"/>
    <w:rPr>
      <w:rFonts w:cs="Times New Roman"/>
      <w:i/>
      <w:iCs/>
    </w:rPr>
  </w:style>
  <w:style w:type="character" w:styleId="char15">
    <w:name w:val="Intense Emphasis"/>
    <w:basedOn w:val="char14"/>
    <w:rPr>
      <w:b/>
      <w:bCs/>
      <w:color w:val="faba00"/>
    </w:rPr>
  </w:style>
  <w:style w:type="character" w:styleId="char16" w:customStyle="1">
    <w:name w:val="Fußnotentext Zchn"/>
    <w:basedOn w:val="char0"/>
    <w:rPr>
      <w:rFonts w:ascii="Arial" w:hAnsi="Arial" w:cs="Times New Roman"/>
      <w:sz w:val="20"/>
      <w:szCs w:val="20"/>
    </w:rPr>
  </w:style>
  <w:style w:type="character" w:styleId="char17" w:customStyle="1">
    <w:name w:val="Fußnotenanker"/>
    <w:rPr>
      <w:rFonts w:cs="Times New Roman"/>
      <w:vertAlign w:val="superscript"/>
    </w:rPr>
  </w:style>
  <w:style w:type="character" w:styleId="char18" w:customStyle="1">
    <w:name w:val="Footnote Characters"/>
    <w:basedOn w:val="char0"/>
    <w:rPr>
      <w:rFonts w:cs="Times New Roman"/>
      <w:vertAlign w:val="superscript"/>
    </w:rPr>
  </w:style>
  <w:style w:type="character" w:styleId="char19">
    <w:name w:val="Strong"/>
    <w:basedOn w:val="char0"/>
    <w:rPr>
      <w:rFonts w:cs="Times New Roman"/>
      <w:b/>
      <w:bCs/>
    </w:rPr>
  </w:style>
  <w:style w:type="character" w:styleId="char20">
    <w:name w:val="Book Title"/>
    <w:basedOn w:val="char0"/>
    <w:rPr>
      <w:rFonts w:cs="Times New Roman"/>
      <w:b/>
      <w:bCs/>
      <w:smallCaps/>
      <w:spacing w:val="0"/>
    </w:rPr>
  </w:style>
  <w:style w:type="character" w:styleId="char21">
    <w:name w:val="Intense Reference"/>
    <w:basedOn w:val="char0"/>
    <w:rPr>
      <w:rFonts w:cs="Times New Roman"/>
      <w:b/>
      <w:bCs/>
      <w:smallCaps/>
      <w:color w:val="e53517"/>
      <w:spacing w:val="0"/>
      <w:u w:color="auto" w:val="single"/>
    </w:rPr>
  </w:style>
  <w:style w:type="character" w:styleId="char22">
    <w:name w:val="Subtle Reference"/>
    <w:basedOn w:val="char0"/>
    <w:rPr>
      <w:rFonts w:cs="Times New Roman"/>
      <w:smallCaps/>
      <w:color w:val="e53517"/>
      <w:u w:color="auto" w:val="single"/>
    </w:rPr>
  </w:style>
  <w:style w:type="character" w:styleId="char23">
    <w:name w:val="Subtle Emphasis"/>
    <w:basedOn w:val="char0"/>
    <w:rPr>
      <w:rFonts w:cs="Times New Roman"/>
      <w:i/>
      <w:iCs/>
      <w:color w:val="808080"/>
    </w:rPr>
  </w:style>
  <w:style w:type="character" w:styleId="char24" w:customStyle="1">
    <w:name w:val="Intensives Zitat Zchn"/>
    <w:basedOn w:val="char0"/>
    <w:rPr>
      <w:rFonts w:ascii="Arial" w:hAnsi="Arial" w:cs="Times New Roman"/>
      <w:b/>
      <w:bCs/>
      <w:i/>
      <w:iCs/>
      <w:color w:val="faba00"/>
      <w:sz w:val="24"/>
      <w:szCs w:val="24"/>
    </w:rPr>
  </w:style>
  <w:style w:type="character" w:styleId="char25" w:customStyle="1">
    <w:name w:val="Internetverknüpfung"/>
    <w:basedOn w:val="char0"/>
    <w:rPr>
      <w:rFonts w:cs="Times New Roman"/>
      <w:color w:val="0000ff"/>
      <w:u w:color="auto" w:val="single"/>
    </w:rPr>
  </w:style>
  <w:style w:type="character" w:styleId="char26" w:customStyle="1">
    <w:name w:val="Sprechblasentext Zchn"/>
    <w:basedOn w:val="char0"/>
    <w:rPr>
      <w:rFonts w:ascii="Segoe UI" w:hAnsi="Segoe UI" w:cs="Segoe UI"/>
      <w:sz w:val="18"/>
      <w:szCs w:val="18"/>
      <w:lang w:val="de-de"/>
    </w:rPr>
  </w:style>
  <w:style w:type="character" w:styleId="char27" w:customStyle="1">
    <w:name w:val="ListLabel 1"/>
    <w:rPr>
      <w:rFonts w:cs="Times New Roman"/>
    </w:rPr>
  </w:style>
  <w:style w:type="character" w:styleId="char28" w:customStyle="1">
    <w:name w:val="ListLabel 2"/>
    <w:rPr>
      <w:rFonts w:cs="Times New Roman"/>
    </w:rPr>
  </w:style>
  <w:style w:type="character" w:styleId="char29" w:customStyle="1">
    <w:name w:val="ListLabel 3"/>
    <w:rPr>
      <w:rFonts w:cs="Times New Roman"/>
    </w:rPr>
  </w:style>
  <w:style w:type="character" w:styleId="char30" w:customStyle="1">
    <w:name w:val="ListLabel 4"/>
    <w:rPr>
      <w:rFonts w:cs="Times New Roman"/>
    </w:rPr>
  </w:style>
  <w:style w:type="character" w:styleId="char31" w:customStyle="1">
    <w:name w:val="ListLabel 5"/>
    <w:rPr>
      <w:rFonts w:cs="Times New Roman"/>
    </w:rPr>
  </w:style>
  <w:style w:type="character" w:styleId="char32" w:customStyle="1">
    <w:name w:val="ListLabel 6"/>
    <w:rPr>
      <w:rFonts w:cs="Times New Roman"/>
    </w:rPr>
  </w:style>
  <w:style w:type="character" w:styleId="char33" w:customStyle="1">
    <w:name w:val="ListLabel 7"/>
    <w:rPr>
      <w:rFonts w:cs="Times New Roman"/>
    </w:rPr>
  </w:style>
  <w:style w:type="character" w:styleId="char34" w:customStyle="1">
    <w:name w:val="ListLabel 8"/>
    <w:rPr>
      <w:rFonts w:cs="Times New Roman"/>
    </w:rPr>
  </w:style>
  <w:style w:type="character" w:styleId="char35" w:customStyle="1">
    <w:name w:val="ListLabel 9"/>
    <w:rPr>
      <w:rFonts w:cs="Times New Roman"/>
    </w:rPr>
  </w:style>
  <w:style w:type="character" w:styleId="char36" w:customStyle="1">
    <w:name w:val="ListLabel 10"/>
    <w:rPr>
      <w:rFonts w:cs="Times New Roman"/>
    </w:rPr>
  </w:style>
  <w:style w:type="character" w:styleId="char37" w:customStyle="1">
    <w:name w:val="ListLabel 11"/>
    <w:rPr>
      <w:rFonts w:cs="Times New Roman"/>
    </w:rPr>
  </w:style>
  <w:style w:type="character" w:styleId="char38" w:customStyle="1">
    <w:name w:val="ListLabel 12"/>
    <w:rPr>
      <w:rFonts w:cs="Times New Roman"/>
    </w:rPr>
  </w:style>
  <w:style w:type="character" w:styleId="char39" w:customStyle="1">
    <w:name w:val="ListLabel 13"/>
    <w:rPr>
      <w:rFonts w:cs="Times New Roman"/>
    </w:rPr>
  </w:style>
  <w:style w:type="character" w:styleId="char40" w:customStyle="1">
    <w:name w:val="ListLabel 14"/>
    <w:rPr>
      <w:rFonts w:cs="Times New Roman"/>
    </w:rPr>
  </w:style>
  <w:style w:type="character" w:styleId="char41" w:customStyle="1">
    <w:name w:val="ListLabel 15"/>
    <w:rPr>
      <w:rFonts w:cs="Times New Roman"/>
    </w:rPr>
  </w:style>
  <w:style w:type="character" w:styleId="char42" w:customStyle="1">
    <w:name w:val="ListLabel 16"/>
    <w:rPr>
      <w:rFonts w:cs="Times New Roman"/>
    </w:rPr>
  </w:style>
  <w:style w:type="character" w:styleId="char43" w:customStyle="1">
    <w:name w:val="ListLabel 17"/>
    <w:rPr>
      <w:rFonts w:cs="Times New Roman"/>
    </w:rPr>
  </w:style>
  <w:style w:type="character" w:styleId="char44" w:customStyle="1">
    <w:name w:val="ListLabel 18"/>
    <w:rPr>
      <w:rFonts w:cs="Times New Roman"/>
    </w:rPr>
  </w:style>
  <w:style w:type="character" w:styleId="char45" w:customStyle="1">
    <w:name w:val="ListLabel 19"/>
    <w:rPr>
      <w:rFonts w:cs="Times New Roman"/>
    </w:rPr>
  </w:style>
  <w:style w:type="character" w:styleId="char46" w:customStyle="1">
    <w:name w:val="ListLabel 20"/>
    <w:rPr>
      <w:rFonts w:cs="Times New Roman"/>
    </w:rPr>
  </w:style>
  <w:style w:type="character" w:styleId="char47" w:customStyle="1">
    <w:name w:val="ListLabel 21"/>
    <w:rPr>
      <w:rFonts w:cs="Times New Roman"/>
    </w:rPr>
  </w:style>
  <w:style w:type="character" w:styleId="char48" w:customStyle="1">
    <w:name w:val="ListLabel 22"/>
    <w:rPr>
      <w:rFonts w:cs="Times New Roman"/>
    </w:rPr>
  </w:style>
  <w:style w:type="character" w:styleId="char49" w:customStyle="1">
    <w:name w:val="ListLabel 23"/>
    <w:rPr>
      <w:rFonts w:cs="Times New Roman"/>
    </w:rPr>
  </w:style>
  <w:style w:type="character" w:styleId="char50" w:customStyle="1">
    <w:name w:val="ListLabel 24"/>
    <w:rPr>
      <w:rFonts w:cs="Times New Roman"/>
    </w:rPr>
  </w:style>
  <w:style w:type="character" w:styleId="char51" w:customStyle="1">
    <w:name w:val="ListLabel 25"/>
    <w:rPr>
      <w:rFonts w:cs="Times New Roman"/>
    </w:rPr>
  </w:style>
  <w:style w:type="character" w:styleId="char52" w:customStyle="1">
    <w:name w:val="ListLabel 26"/>
    <w:rPr>
      <w:rFonts w:cs="Times New Roman"/>
    </w:rPr>
  </w:style>
  <w:style w:type="character" w:styleId="char53" w:customStyle="1">
    <w:name w:val="ListLabel 27"/>
    <w:rPr>
      <w:rFonts w:cs="Times New Roman"/>
    </w:rPr>
  </w:style>
  <w:style w:type="character" w:styleId="char54" w:customStyle="1">
    <w:name w:val="ListLabel 28"/>
    <w:rPr>
      <w:rFonts w:cs="Times New Roman"/>
    </w:rPr>
  </w:style>
  <w:style w:type="character" w:styleId="char55" w:customStyle="1">
    <w:name w:val="ListLabel 29"/>
    <w:rPr>
      <w:rFonts w:cs="Times New Roman"/>
    </w:rPr>
  </w:style>
  <w:style w:type="character" w:styleId="char56" w:customStyle="1">
    <w:name w:val="ListLabel 30"/>
    <w:rPr>
      <w:rFonts w:cs="Times New Roman"/>
    </w:rPr>
  </w:style>
  <w:style w:type="character" w:styleId="char57" w:customStyle="1">
    <w:name w:val="ListLabel 31"/>
    <w:rPr>
      <w:rFonts w:cs="Times New Roman"/>
    </w:rPr>
  </w:style>
  <w:style w:type="character" w:styleId="char58" w:customStyle="1">
    <w:name w:val="ListLabel 32"/>
    <w:rPr>
      <w:rFonts w:cs="Times New Roman"/>
    </w:rPr>
  </w:style>
  <w:style w:type="character" w:styleId="char59" w:customStyle="1">
    <w:name w:val="ListLabel 33"/>
    <w:rPr>
      <w:rFonts w:cs="Times New Roman"/>
    </w:rPr>
  </w:style>
  <w:style w:type="character" w:styleId="char60" w:customStyle="1">
    <w:name w:val="ListLabel 34"/>
    <w:rPr>
      <w:rFonts w:cs="Times New Roman"/>
    </w:rPr>
  </w:style>
  <w:style w:type="character" w:styleId="char61" w:customStyle="1">
    <w:name w:val="ListLabel 35"/>
    <w:rPr>
      <w:rFonts w:cs="Times New Roman"/>
    </w:rPr>
  </w:style>
  <w:style w:type="character" w:styleId="char62" w:customStyle="1">
    <w:name w:val="ListLabel 36"/>
    <w:rPr>
      <w:rFonts w:cs="Times New Roman"/>
    </w:rPr>
  </w:style>
  <w:style w:type="character" w:styleId="char63" w:customStyle="1">
    <w:name w:val="ListLabel 37"/>
    <w:rPr>
      <w:rFonts w:cs="Times New Roman"/>
    </w:rPr>
  </w:style>
  <w:style w:type="character" w:styleId="char64" w:customStyle="1">
    <w:name w:val="ListLabel 38"/>
    <w:rPr>
      <w:rFonts w:cs="Times New Roman"/>
    </w:rPr>
  </w:style>
  <w:style w:type="character" w:styleId="char65" w:customStyle="1">
    <w:name w:val="ListLabel 39"/>
    <w:rPr>
      <w:rFonts w:cs="Times New Roman"/>
    </w:rPr>
  </w:style>
  <w:style w:type="character" w:styleId="char66" w:customStyle="1">
    <w:name w:val="ListLabel 40"/>
    <w:rPr>
      <w:rFonts w:cs="Times New Roman"/>
    </w:rPr>
  </w:style>
  <w:style w:type="character" w:styleId="char67" w:customStyle="1">
    <w:name w:val="ListLabel 41"/>
    <w:rPr>
      <w:rFonts w:cs="Times New Roman"/>
    </w:rPr>
  </w:style>
  <w:style w:type="character" w:styleId="char68" w:customStyle="1">
    <w:name w:val="ListLabel 42"/>
    <w:rPr>
      <w:rFonts w:cs="Times New Roman"/>
    </w:rPr>
  </w:style>
  <w:style w:type="character" w:styleId="char69" w:customStyle="1">
    <w:name w:val="ListLabel 43"/>
    <w:rPr>
      <w:rFonts w:cs="Times New Roman"/>
    </w:rPr>
  </w:style>
  <w:style w:type="character" w:styleId="char70" w:customStyle="1">
    <w:name w:val="ListLabel 44"/>
    <w:rPr>
      <w:rFonts w:cs="Times New Roman"/>
    </w:rPr>
  </w:style>
  <w:style w:type="character" w:styleId="char71" w:customStyle="1">
    <w:name w:val="ListLabel 45"/>
    <w:rPr>
      <w:rFonts w:cs="Times New Roman"/>
    </w:rPr>
  </w:style>
  <w:style w:type="character" w:styleId="char72" w:customStyle="1">
    <w:name w:val="ListLabel 46"/>
    <w:rPr>
      <w:rFonts w:cs="Times New Roman"/>
    </w:rPr>
  </w:style>
  <w:style w:type="character" w:styleId="char73" w:customStyle="1">
    <w:name w:val="ListLabel 47"/>
    <w:rPr>
      <w:rFonts w:cs="Times New Roman"/>
    </w:rPr>
  </w:style>
  <w:style w:type="character" w:styleId="char74" w:customStyle="1">
    <w:name w:val="ListLabel 48"/>
    <w:rPr>
      <w:rFonts w:cs="Times New Roman"/>
    </w:rPr>
  </w:style>
  <w:style w:type="character" w:styleId="char75" w:customStyle="1">
    <w:name w:val="ListLabel 49"/>
    <w:rPr>
      <w:rFonts w:cs="Times New Roman"/>
    </w:rPr>
  </w:style>
  <w:style w:type="character" w:styleId="char76" w:customStyle="1">
    <w:name w:val="ListLabel 50"/>
    <w:rPr>
      <w:rFonts w:cs="Times New Roman"/>
    </w:rPr>
  </w:style>
  <w:style w:type="character" w:styleId="char77" w:customStyle="1">
    <w:name w:val="ListLabel 51"/>
    <w:rPr>
      <w:rFonts w:cs="Times New Roman"/>
    </w:rPr>
  </w:style>
  <w:style w:type="character" w:styleId="char78" w:customStyle="1">
    <w:name w:val="ListLabel 52"/>
    <w:rPr>
      <w:rFonts w:cs="Times New Roman"/>
    </w:rPr>
  </w:style>
  <w:style w:type="character" w:styleId="char79" w:customStyle="1">
    <w:name w:val="ListLabel 53"/>
    <w:rPr>
      <w:rFonts w:cs="Times New Roman"/>
    </w:rPr>
  </w:style>
  <w:style w:type="character" w:styleId="char80" w:customStyle="1">
    <w:name w:val="ListLabel 54"/>
    <w:rPr>
      <w:rFonts w:cs="Times New Roman"/>
    </w:rPr>
  </w:style>
  <w:style w:type="character" w:styleId="char81" w:customStyle="1">
    <w:name w:val="ListLabel 55"/>
    <w:rPr>
      <w:rFonts w:cs="Times New Roman"/>
    </w:rPr>
  </w:style>
  <w:style w:type="character" w:styleId="char82" w:customStyle="1">
    <w:name w:val="ListLabel 56"/>
    <w:rPr>
      <w:rFonts w:cs="Times New Roman"/>
    </w:rPr>
  </w:style>
  <w:style w:type="character" w:styleId="char83" w:customStyle="1">
    <w:name w:val="ListLabel 57"/>
    <w:rPr>
      <w:rFonts w:cs="Times New Roman"/>
    </w:rPr>
  </w:style>
  <w:style w:type="character" w:styleId="char84" w:customStyle="1">
    <w:name w:val="ListLabel 58"/>
    <w:rPr>
      <w:rFonts w:cs="Times New Roman"/>
    </w:rPr>
  </w:style>
  <w:style w:type="character" w:styleId="char85" w:customStyle="1">
    <w:name w:val="ListLabel 59"/>
    <w:rPr>
      <w:rFonts w:cs="Times New Roman"/>
    </w:rPr>
  </w:style>
  <w:style w:type="character" w:styleId="char86" w:customStyle="1">
    <w:name w:val="ListLabel 60"/>
    <w:rPr>
      <w:rFonts w:cs="Times New Roman"/>
    </w:rPr>
  </w:style>
  <w:style w:type="character" w:styleId="char87" w:customStyle="1">
    <w:name w:val="ListLabel 61"/>
    <w:rPr>
      <w:rFonts w:cs="Times New Roman"/>
    </w:rPr>
  </w:style>
  <w:style w:type="character" w:styleId="char88" w:customStyle="1">
    <w:name w:val="ListLabel 62"/>
    <w:rPr>
      <w:rFonts w:cs="Times New Roman"/>
    </w:rPr>
  </w:style>
  <w:style w:type="character" w:styleId="char89" w:customStyle="1">
    <w:name w:val="ListLabel 63"/>
    <w:rPr>
      <w:rFonts w:cs="Times New Roman"/>
    </w:rPr>
  </w:style>
  <w:style w:type="character" w:styleId="char90" w:customStyle="1">
    <w:name w:val="ListLabel 64"/>
    <w:rPr>
      <w:rFonts w:cs="Times New Roman"/>
    </w:rPr>
  </w:style>
  <w:style w:type="character" w:styleId="char91" w:customStyle="1">
    <w:name w:val="ListLabel 65"/>
    <w:rPr>
      <w:rFonts w:cs="Times New Roman"/>
    </w:rPr>
  </w:style>
  <w:style w:type="character" w:styleId="char92" w:customStyle="1">
    <w:name w:val="ListLabel 66"/>
    <w:rPr>
      <w:rFonts w:cs="Times New Roman"/>
    </w:rPr>
  </w:style>
  <w:style w:type="character" w:styleId="char93" w:customStyle="1">
    <w:name w:val="ListLabel 67"/>
    <w:rPr>
      <w:rFonts w:cs="Times New Roman"/>
    </w:rPr>
  </w:style>
  <w:style w:type="character" w:styleId="char94" w:customStyle="1">
    <w:name w:val="ListLabel 68"/>
    <w:rPr>
      <w:rFonts w:cs="Times New Roman"/>
    </w:rPr>
  </w:style>
  <w:style w:type="character" w:styleId="char95" w:customStyle="1">
    <w:name w:val="ListLabel 69"/>
    <w:rPr>
      <w:rFonts w:cs="Times New Roman"/>
    </w:rPr>
  </w:style>
  <w:style w:type="character" w:styleId="char96" w:customStyle="1">
    <w:name w:val="ListLabel 70"/>
    <w:rPr>
      <w:rFonts w:cs="Times New Roman"/>
    </w:rPr>
  </w:style>
  <w:style w:type="character" w:styleId="char97" w:customStyle="1">
    <w:name w:val="ListLabel 71"/>
    <w:rPr>
      <w:rFonts w:cs="Times New Roman"/>
    </w:rPr>
  </w:style>
  <w:style w:type="character" w:styleId="char98" w:customStyle="1">
    <w:name w:val="ListLabel 72"/>
    <w:rPr>
      <w:rFonts w:cs="Times New Roman"/>
    </w:rPr>
  </w:style>
  <w:style w:type="character" w:styleId="char99" w:customStyle="1">
    <w:name w:val="ListLabel 73"/>
    <w:rPr>
      <w:rFonts w:cs="Times New Roman"/>
    </w:rPr>
  </w:style>
  <w:style w:type="character" w:styleId="char100" w:customStyle="1">
    <w:name w:val="ListLabel 74"/>
    <w:rPr>
      <w:rFonts w:cs="Times New Roman"/>
    </w:rPr>
  </w:style>
  <w:style w:type="character" w:styleId="char101" w:customStyle="1">
    <w:name w:val="ListLabel 75"/>
    <w:rPr>
      <w:rFonts w:cs="Times New Roman"/>
    </w:rPr>
  </w:style>
  <w:style w:type="character" w:styleId="char102" w:customStyle="1">
    <w:name w:val="ListLabel 76"/>
    <w:rPr>
      <w:rFonts w:cs="Times New Roman"/>
    </w:rPr>
  </w:style>
  <w:style w:type="character" w:styleId="char103" w:customStyle="1">
    <w:name w:val="ListLabel 77"/>
    <w:rPr>
      <w:rFonts w:cs="Times New Roman"/>
    </w:rPr>
  </w:style>
  <w:style w:type="character" w:styleId="char104" w:customStyle="1">
    <w:name w:val="ListLabel 78"/>
    <w:rPr>
      <w:rFonts w:cs="Times New Roman"/>
    </w:rPr>
  </w:style>
  <w:style w:type="character" w:styleId="char105" w:customStyle="1">
    <w:name w:val="ListLabel 79"/>
    <w:rPr>
      <w:rFonts w:cs="Times New Roman"/>
    </w:rPr>
  </w:style>
  <w:style w:type="character" w:styleId="char106" w:customStyle="1">
    <w:name w:val="ListLabel 80"/>
    <w:rPr>
      <w:rFonts w:cs="Times New Roman"/>
    </w:rPr>
  </w:style>
  <w:style w:type="character" w:styleId="char107" w:customStyle="1">
    <w:name w:val="ListLabel 81"/>
    <w:rPr>
      <w:rFonts w:cs="Times New Roman"/>
    </w:rPr>
  </w:style>
  <w:style w:type="character" w:styleId="char108" w:customStyle="1">
    <w:name w:val="ListLabel 82"/>
    <w:rPr>
      <w:rFonts w:cs="Times New Roman"/>
    </w:rPr>
  </w:style>
  <w:style w:type="character" w:styleId="char109" w:customStyle="1">
    <w:name w:val="ListLabel 83"/>
    <w:rPr>
      <w:rFonts w:cs="Times New Roman"/>
    </w:rPr>
  </w:style>
  <w:style w:type="character" w:styleId="char110" w:customStyle="1">
    <w:name w:val="ListLabel 84"/>
    <w:rPr>
      <w:rFonts w:cs="Times New Roman"/>
    </w:rPr>
  </w:style>
  <w:style w:type="character" w:styleId="char111" w:customStyle="1">
    <w:name w:val="ListLabel 85"/>
    <w:rPr>
      <w:rFonts w:cs="Times New Roman"/>
    </w:rPr>
  </w:style>
  <w:style w:type="character" w:styleId="char112" w:customStyle="1">
    <w:name w:val="ListLabel 86"/>
    <w:rPr>
      <w:rFonts w:cs="Times New Roman"/>
    </w:rPr>
  </w:style>
  <w:style w:type="character" w:styleId="char113" w:customStyle="1">
    <w:name w:val="ListLabel 87"/>
    <w:rPr>
      <w:rFonts w:cs="Times New Roman"/>
    </w:rPr>
  </w:style>
  <w:style w:type="character" w:styleId="char114" w:customStyle="1">
    <w:name w:val="ListLabel 88"/>
    <w:rPr>
      <w:rFonts w:cs="Times New Roman"/>
    </w:rPr>
  </w:style>
  <w:style w:type="character" w:styleId="char115" w:customStyle="1">
    <w:name w:val="ListLabel 89"/>
    <w:rPr>
      <w:rFonts w:cs="Times New Roman"/>
    </w:rPr>
  </w:style>
  <w:style w:type="character" w:styleId="char116" w:customStyle="1">
    <w:name w:val="ListLabel 90"/>
    <w:rPr>
      <w:rFonts w:cs="Times New Roman"/>
    </w:rPr>
  </w:style>
  <w:style w:type="character" w:styleId="char117" w:customStyle="1">
    <w:name w:val="ListLabel 91"/>
    <w:rPr>
      <w:rFonts w:eastAsia="SimSun" w:cs="Arial"/>
    </w:rPr>
  </w:style>
  <w:style w:type="character" w:styleId="char118" w:customStyle="1">
    <w:name w:val="ListLabel 92"/>
    <w:rPr>
      <w:rFonts w:cs="Times New Roman"/>
    </w:rPr>
  </w:style>
  <w:style w:type="character" w:styleId="char119" w:customStyle="1">
    <w:name w:val="ListLabel 93"/>
    <w:rPr>
      <w:rFonts w:cs="Times New Roman"/>
    </w:rPr>
  </w:style>
  <w:style w:type="character" w:styleId="char120" w:customStyle="1">
    <w:name w:val="ListLabel 94"/>
    <w:rPr>
      <w:rFonts w:cs="Times New Roman"/>
    </w:rPr>
  </w:style>
  <w:style w:type="character" w:styleId="char121" w:customStyle="1">
    <w:name w:val="ListLabel 95"/>
    <w:rPr>
      <w:rFonts w:cs="Times New Roman"/>
    </w:rPr>
  </w:style>
  <w:style w:type="character" w:styleId="char122" w:customStyle="1">
    <w:name w:val="ListLabel 96"/>
    <w:rPr>
      <w:rFonts w:cs="Times New Roman"/>
    </w:rPr>
  </w:style>
  <w:style w:type="character" w:styleId="char123" w:customStyle="1">
    <w:name w:val="ListLabel 97"/>
    <w:rPr>
      <w:rFonts w:cs="Times New Roman"/>
    </w:rPr>
  </w:style>
  <w:style w:type="character" w:styleId="char124" w:customStyle="1">
    <w:name w:val="ListLabel 98"/>
    <w:rPr>
      <w:rFonts w:cs="Times New Roman"/>
    </w:rPr>
  </w:style>
  <w:style w:type="character" w:styleId="char125" w:customStyle="1">
    <w:name w:val="ListLabel 99"/>
    <w:rPr>
      <w:rFonts w:cs="Times New Roman"/>
    </w:rPr>
  </w:style>
  <w:style w:type="character" w:styleId="char126" w:customStyle="1">
    <w:name w:val="ListLabel 100"/>
    <w:rPr>
      <w:rFonts w:cs="Times New Roman"/>
    </w:rPr>
  </w:style>
  <w:style w:type="character" w:styleId="char127" w:customStyle="1">
    <w:name w:val="ListLabel 101"/>
    <w:rPr>
      <w:rFonts w:cs="Times New Roman"/>
    </w:rPr>
  </w:style>
  <w:style w:type="character" w:styleId="char128" w:customStyle="1">
    <w:name w:val="ListLabel 102"/>
    <w:rPr>
      <w:rFonts w:cs="Times New Roman"/>
    </w:rPr>
  </w:style>
  <w:style w:type="character" w:styleId="char129" w:customStyle="1">
    <w:name w:val="ListLabel 103"/>
    <w:rPr>
      <w:rFonts w:cs="Times New Roman"/>
    </w:rPr>
  </w:style>
  <w:style w:type="character" w:styleId="char130" w:customStyle="1">
    <w:name w:val="ListLabel 104"/>
    <w:rPr>
      <w:rFonts w:cs="Times New Roman"/>
    </w:rPr>
  </w:style>
  <w:style w:type="character" w:styleId="char131" w:customStyle="1">
    <w:name w:val="ListLabel 105"/>
    <w:rPr>
      <w:rFonts w:cs="Times New Roman"/>
    </w:rPr>
  </w:style>
  <w:style w:type="character" w:styleId="char132" w:customStyle="1">
    <w:name w:val="ListLabel 106"/>
    <w:rPr>
      <w:rFonts w:cs="Times New Roman"/>
    </w:rPr>
  </w:style>
  <w:style w:type="character" w:styleId="char133" w:customStyle="1">
    <w:name w:val="ListLabel 107"/>
    <w:rPr>
      <w:rFonts w:cs="Times New Roman"/>
    </w:rPr>
  </w:style>
  <w:style w:type="character" w:styleId="char134" w:customStyle="1">
    <w:name w:val="ListLabel 108"/>
    <w:rPr>
      <w:rFonts w:cs="Times New Roman"/>
    </w:rPr>
  </w:style>
  <w:style w:type="character" w:styleId="char135" w:customStyle="1">
    <w:name w:val="ListLabel 109"/>
    <w:rPr>
      <w:rFonts w:cs="Times New Roman"/>
    </w:rPr>
  </w:style>
  <w:style w:type="character" w:styleId="char136" w:customStyle="1">
    <w:name w:val="ListLabel 110"/>
    <w:rPr>
      <w:rFonts w:cs="Times New Roman"/>
    </w:rPr>
  </w:style>
  <w:style w:type="character" w:styleId="char137" w:customStyle="1">
    <w:name w:val="ListLabel 111"/>
    <w:rPr>
      <w:rFonts w:cs="Times New Roman"/>
    </w:rPr>
  </w:style>
  <w:style w:type="character" w:styleId="char138" w:customStyle="1">
    <w:name w:val="ListLabel 112"/>
    <w:rPr>
      <w:rFonts w:cs="Times New Roman"/>
    </w:rPr>
  </w:style>
  <w:style w:type="character" w:styleId="char139" w:customStyle="1">
    <w:name w:val="ListLabel 113"/>
    <w:rPr>
      <w:rFonts w:cs="Times New Roman"/>
    </w:rPr>
  </w:style>
  <w:style w:type="character" w:styleId="char140" w:customStyle="1">
    <w:name w:val="ListLabel 114"/>
    <w:rPr>
      <w:rFonts w:cs="Times New Roman"/>
    </w:rPr>
  </w:style>
  <w:style w:type="character" w:styleId="char141" w:customStyle="1">
    <w:name w:val="ListLabel 115"/>
    <w:rPr>
      <w:rFonts w:cs="Times New Roman"/>
    </w:rPr>
  </w:style>
  <w:style w:type="character" w:styleId="char142" w:customStyle="1">
    <w:name w:val="ListLabel 116"/>
    <w:rPr>
      <w:rFonts w:cs="Times New Roman"/>
    </w:rPr>
  </w:style>
  <w:style w:type="character" w:styleId="char143" w:customStyle="1">
    <w:name w:val="ListLabel 117"/>
    <w:rPr>
      <w:rFonts w:cs="Times New Roman"/>
    </w:rPr>
  </w:style>
  <w:style w:type="character" w:styleId="char144" w:customStyle="1">
    <w:name w:val="ListLabel 118"/>
    <w:rPr>
      <w:rFonts w:cs="Times New Roman"/>
    </w:rPr>
  </w:style>
  <w:style w:type="character" w:styleId="char145" w:customStyle="1">
    <w:name w:val="ListLabel 119"/>
    <w:rPr>
      <w:rFonts w:cs="Times New Roman"/>
    </w:rPr>
  </w:style>
  <w:style w:type="character" w:styleId="char146" w:customStyle="1">
    <w:name w:val="ListLabel 120"/>
    <w:rPr>
      <w:rFonts w:cs="Times New Roman"/>
    </w:rPr>
  </w:style>
  <w:style w:type="character" w:styleId="char147" w:customStyle="1">
    <w:name w:val="ListLabel 121"/>
    <w:rPr>
      <w:rFonts w:cs="Times New Roman"/>
    </w:rPr>
  </w:style>
  <w:style w:type="character" w:styleId="char148" w:customStyle="1">
    <w:name w:val="ListLabel 122"/>
    <w:rPr>
      <w:rFonts w:cs="Times New Roman"/>
    </w:rPr>
  </w:style>
  <w:style w:type="character" w:styleId="char149" w:customStyle="1">
    <w:name w:val="ListLabel 123"/>
    <w:rPr>
      <w:rFonts w:cs="Times New Roman"/>
    </w:rPr>
  </w:style>
  <w:style w:type="character" w:styleId="char150" w:customStyle="1">
    <w:name w:val="ListLabel 124"/>
    <w:rPr>
      <w:rFonts w:cs="Times New Roman"/>
    </w:rPr>
  </w:style>
  <w:style w:type="character" w:styleId="char151" w:customStyle="1">
    <w:name w:val="ListLabel 125"/>
    <w:rPr>
      <w:rFonts w:cs="Times New Roman"/>
    </w:rPr>
  </w:style>
  <w:style w:type="character" w:styleId="char152" w:customStyle="1">
    <w:name w:val="ListLabel 126"/>
    <w:rPr>
      <w:rFonts w:cs="Times New Roman"/>
    </w:rPr>
  </w:style>
  <w:style w:type="character" w:styleId="char153" w:customStyle="1">
    <w:name w:val="ListLabel 127"/>
    <w:rPr>
      <w:rFonts w:cs="Times New Roman"/>
    </w:rPr>
  </w:style>
  <w:style w:type="character" w:styleId="char154" w:customStyle="1">
    <w:name w:val="ListLabel 128"/>
    <w:rPr>
      <w:rFonts w:ascii="Arial" w:hAnsi="Arial" w:cs="Times New Roman"/>
      <w:b/>
      <w:sz w:val="24"/>
      <w:szCs w:val="24"/>
    </w:rPr>
  </w:style>
  <w:style w:type="character" w:styleId="char155" w:customStyle="1">
    <w:name w:val="ListLabel 129"/>
    <w:rPr>
      <w:rFonts w:cs="Times New Roman"/>
    </w:rPr>
  </w:style>
  <w:style w:type="character" w:styleId="char156" w:customStyle="1">
    <w:name w:val="ListLabel 130"/>
    <w:rPr>
      <w:rFonts w:cs="Times New Roman"/>
    </w:rPr>
  </w:style>
  <w:style w:type="character" w:styleId="char157" w:customStyle="1">
    <w:name w:val="ListLabel 131"/>
    <w:rPr>
      <w:rFonts w:cs="Times New Roman"/>
    </w:rPr>
  </w:style>
  <w:style w:type="character" w:styleId="char158" w:customStyle="1">
    <w:name w:val="ListLabel 132"/>
    <w:rPr>
      <w:rFonts w:cs="Times New Roman"/>
    </w:rPr>
  </w:style>
  <w:style w:type="character" w:styleId="char159" w:customStyle="1">
    <w:name w:val="ListLabel 133"/>
    <w:rPr>
      <w:rFonts w:cs="Times New Roman"/>
    </w:rPr>
  </w:style>
  <w:style w:type="character" w:styleId="char160" w:customStyle="1">
    <w:name w:val="ListLabel 134"/>
    <w:rPr>
      <w:rFonts w:cs="Times New Roman"/>
    </w:rPr>
  </w:style>
  <w:style w:type="character" w:styleId="char161" w:customStyle="1">
    <w:name w:val="ListLabel 135"/>
    <w:rPr>
      <w:rFonts w:cs="Times New Roman"/>
    </w:rPr>
  </w:style>
  <w:style w:type="character" w:styleId="char162" w:customStyle="1">
    <w:name w:val="ListLabel 136"/>
    <w:rPr>
      <w:rFonts w:cs="Times New Roman"/>
    </w:rPr>
  </w:style>
  <w:style w:type="character" w:styleId="char163" w:customStyle="1">
    <w:name w:val="ListLabel 137"/>
    <w:rPr>
      <w:rFonts w:cs="Times New Roman"/>
    </w:rPr>
  </w:style>
  <w:style w:type="character" w:styleId="char164" w:customStyle="1">
    <w:name w:val="ListLabel 138"/>
    <w:rPr>
      <w:rFonts w:cs="Times New Roman"/>
    </w:rPr>
  </w:style>
  <w:style w:type="character" w:styleId="char165" w:customStyle="1">
    <w:name w:val="ListLabel 139"/>
    <w:rPr>
      <w:rFonts w:cs="Times New Roman"/>
    </w:rPr>
  </w:style>
  <w:style w:type="character" w:styleId="char166" w:customStyle="1">
    <w:name w:val="ListLabel 140"/>
    <w:rPr>
      <w:rFonts w:cs="Times New Roman"/>
    </w:rPr>
  </w:style>
  <w:style w:type="character" w:styleId="char167" w:customStyle="1">
    <w:name w:val="ListLabel 141"/>
    <w:rPr>
      <w:rFonts w:cs="Times New Roman"/>
    </w:rPr>
  </w:style>
  <w:style w:type="character" w:styleId="char168" w:customStyle="1">
    <w:name w:val="ListLabel 142"/>
    <w:rPr>
      <w:rFonts w:cs="Times New Roman"/>
    </w:rPr>
  </w:style>
  <w:style w:type="character" w:styleId="char169" w:customStyle="1">
    <w:name w:val="ListLabel 143"/>
    <w:rPr>
      <w:rFonts w:cs="Times New Roman"/>
    </w:rPr>
  </w:style>
  <w:style w:type="character" w:styleId="char170" w:customStyle="1">
    <w:name w:val="ListLabel 144"/>
    <w:rPr>
      <w:rFonts w:cs="Times New Roman"/>
    </w:rPr>
  </w:style>
  <w:style w:type="character" w:styleId="char171" w:customStyle="1">
    <w:name w:val="ListLabel 145"/>
    <w:rPr>
      <w:rFonts w:cs="Times New Roman"/>
    </w:rPr>
  </w:style>
  <w:style w:type="character" w:styleId="char172" w:customStyle="1">
    <w:name w:val="ListLabel 146"/>
    <w:rPr>
      <w:rFonts w:cs="Times New Roman"/>
    </w:rPr>
  </w:style>
  <w:style w:type="character" w:styleId="char173" w:customStyle="1">
    <w:name w:val="ListLabel 147"/>
    <w:rPr>
      <w:rFonts w:cs="Times New Roman"/>
    </w:rPr>
  </w:style>
  <w:style w:type="character" w:styleId="char174" w:customStyle="1">
    <w:name w:val="ListLabel 148"/>
    <w:rPr>
      <w:rFonts w:cs="Times New Roman"/>
    </w:rPr>
  </w:style>
  <w:style w:type="character" w:styleId="char175" w:customStyle="1">
    <w:name w:val="ListLabel 149"/>
    <w:rPr>
      <w:rFonts w:cs="Times New Roman"/>
    </w:rPr>
  </w:style>
  <w:style w:type="character" w:styleId="char176" w:customStyle="1">
    <w:name w:val="ListLabel 150"/>
    <w:rPr>
      <w:rFonts w:cs="Times New Roman"/>
    </w:rPr>
  </w:style>
  <w:style w:type="character" w:styleId="char177" w:customStyle="1">
    <w:name w:val="ListLabel 151"/>
    <w:rPr>
      <w:rFonts w:cs="Times New Roman"/>
    </w:rPr>
  </w:style>
  <w:style w:type="character" w:styleId="char178" w:customStyle="1">
    <w:name w:val="ListLabel 152"/>
    <w:rPr>
      <w:rFonts w:cs="Times New Roman"/>
    </w:rPr>
  </w:style>
  <w:style w:type="character" w:styleId="char179" w:customStyle="1">
    <w:name w:val="ListLabel 153"/>
    <w:rPr>
      <w:rFonts w:cs="Times New Roman"/>
    </w:rPr>
  </w:style>
  <w:style w:type="character" w:styleId="char180" w:customStyle="1">
    <w:name w:val="ListLabel 154"/>
    <w:rPr>
      <w:rFonts w:cs="Times New Roman"/>
    </w:rPr>
  </w:style>
  <w:style w:type="character" w:styleId="char181" w:customStyle="1">
    <w:name w:val="ListLabel 155"/>
    <w:rPr>
      <w:rFonts w:cs="Times New Roman"/>
    </w:rPr>
  </w:style>
  <w:style w:type="character" w:styleId="char182" w:customStyle="1">
    <w:name w:val="ListLabel 156"/>
    <w:rPr>
      <w:rFonts w:cs="Times New Roman"/>
    </w:rPr>
  </w:style>
  <w:style w:type="character" w:styleId="char183" w:customStyle="1">
    <w:name w:val="ListLabel 157"/>
    <w:rPr>
      <w:rFonts w:cs="Times New Roman"/>
    </w:rPr>
  </w:style>
  <w:style w:type="character" w:styleId="char184" w:customStyle="1">
    <w:name w:val="ListLabel 158"/>
    <w:rPr>
      <w:rFonts w:cs="Times New Roman"/>
    </w:rPr>
  </w:style>
  <w:style w:type="character" w:styleId="char185" w:customStyle="1">
    <w:name w:val="ListLabel 159"/>
    <w:rPr>
      <w:rFonts w:cs="Times New Roman"/>
    </w:rPr>
  </w:style>
  <w:style w:type="character" w:styleId="char186" w:customStyle="1">
    <w:name w:val="ListLabel 160"/>
    <w:rPr>
      <w:rFonts w:cs="Times New Roman"/>
    </w:rPr>
  </w:style>
  <w:style w:type="character" w:styleId="char187" w:customStyle="1">
    <w:name w:val="ListLabel 161"/>
    <w:rPr>
      <w:rFonts w:cs="Times New Roman"/>
    </w:rPr>
  </w:style>
  <w:style w:type="character" w:styleId="char188" w:customStyle="1">
    <w:name w:val="ListLabel 162"/>
    <w:rPr>
      <w:rFonts w:cs="Times New Roman"/>
    </w:rPr>
  </w:style>
  <w:style w:type="character" w:styleId="char189" w:customStyle="1">
    <w:name w:val="ListLabel 163"/>
    <w:rPr>
      <w:rFonts w:cs="Times New Roman"/>
    </w:rPr>
  </w:style>
  <w:style w:type="character" w:styleId="char190" w:customStyle="1">
    <w:name w:val="ListLabel 164"/>
    <w:rPr>
      <w:rFonts w:cs="Times New Roman"/>
    </w:rPr>
  </w:style>
  <w:style w:type="character" w:styleId="char191" w:customStyle="1">
    <w:name w:val="ListLabel 165"/>
    <w:rPr>
      <w:rFonts w:cs="Times New Roman"/>
    </w:rPr>
  </w:style>
  <w:style w:type="character" w:styleId="char192" w:customStyle="1">
    <w:name w:val="ListLabel 166"/>
    <w:rPr>
      <w:rFonts w:cs="Times New Roman"/>
    </w:rPr>
  </w:style>
  <w:style w:type="character" w:styleId="char193" w:customStyle="1">
    <w:name w:val="ListLabel 167"/>
    <w:rPr>
      <w:rFonts w:cs="Times New Roman"/>
    </w:rPr>
  </w:style>
  <w:style w:type="character" w:styleId="char194" w:customStyle="1">
    <w:name w:val="ListLabel 168"/>
    <w:rPr>
      <w:rFonts w:cs="Times New Roman"/>
    </w:rPr>
  </w:style>
  <w:style w:type="character" w:styleId="char195" w:customStyle="1">
    <w:name w:val="ListLabel 169"/>
    <w:rPr>
      <w:rFonts w:cs="Times New Roman"/>
    </w:rPr>
  </w:style>
  <w:style w:type="character" w:styleId="char196" w:customStyle="1">
    <w:name w:val="ListLabel 170"/>
    <w:rPr>
      <w:rFonts w:cs="Times New Roman"/>
    </w:rPr>
  </w:style>
  <w:style w:type="character" w:styleId="char197" w:customStyle="1">
    <w:name w:val="ListLabel 171"/>
    <w:rPr>
      <w:rFonts w:cs="Times New Roman"/>
    </w:rPr>
  </w:style>
  <w:style w:type="character" w:styleId="char198" w:customStyle="1">
    <w:name w:val="ListLabel 172"/>
    <w:rPr>
      <w:rFonts w:cs="Times New Roman"/>
    </w:rPr>
  </w:style>
  <w:style w:type="character" w:styleId="char199" w:customStyle="1">
    <w:name w:val="ListLabel 173"/>
    <w:rPr>
      <w:rFonts w:cs="Times New Roman"/>
    </w:rPr>
  </w:style>
  <w:style w:type="character" w:styleId="char200" w:customStyle="1">
    <w:name w:val="ListLabel 174"/>
    <w:rPr>
      <w:rFonts w:cs="Times New Roman"/>
    </w:rPr>
  </w:style>
  <w:style w:type="character" w:styleId="char201" w:customStyle="1">
    <w:name w:val="ListLabel 175"/>
    <w:rPr>
      <w:rFonts w:cs="Times New Roman"/>
    </w:rPr>
  </w:style>
  <w:style w:type="character" w:styleId="char202" w:customStyle="1">
    <w:name w:val="ListLabel 176"/>
    <w:rPr>
      <w:rFonts w:cs="Times New Roman"/>
    </w:rPr>
  </w:style>
  <w:style w:type="character" w:styleId="char203" w:customStyle="1">
    <w:name w:val="ListLabel 177"/>
    <w:rPr>
      <w:rFonts w:cs="Times New Roman"/>
    </w:rPr>
  </w:style>
  <w:style w:type="character" w:styleId="char204" w:customStyle="1">
    <w:name w:val="ListLabel 178"/>
    <w:rPr>
      <w:rFonts w:cs="Times New Roman"/>
    </w:rPr>
  </w:style>
  <w:style w:type="character" w:styleId="char205" w:customStyle="1">
    <w:name w:val="ListLabel 179"/>
    <w:rPr>
      <w:rFonts w:cs="Times New Roman"/>
    </w:rPr>
  </w:style>
  <w:style w:type="character" w:styleId="char206" w:customStyle="1">
    <w:name w:val="ListLabel 180"/>
    <w:rPr>
      <w:rFonts w:cs="Times New Roman"/>
    </w:rPr>
  </w:style>
  <w:style w:type="character" w:styleId="char207" w:customStyle="1">
    <w:name w:val="ListLabel 181"/>
    <w:rPr>
      <w:rFonts w:cs="Times New Roman"/>
    </w:rPr>
  </w:style>
  <w:style w:type="character" w:styleId="char208" w:customStyle="1">
    <w:name w:val="ListLabel 182"/>
    <w:rPr>
      <w:rFonts w:cs="Times New Roman"/>
    </w:rPr>
  </w:style>
  <w:style w:type="character" w:styleId="char209" w:customStyle="1">
    <w:name w:val="ListLabel 183"/>
    <w:rPr>
      <w:rFonts w:cs="Times New Roman"/>
    </w:rPr>
  </w:style>
  <w:style w:type="character" w:styleId="char210" w:customStyle="1">
    <w:name w:val="ListLabel 184"/>
    <w:rPr>
      <w:rFonts w:cs="Times New Roman"/>
    </w:rPr>
  </w:style>
  <w:style w:type="character" w:styleId="char211" w:customStyle="1">
    <w:name w:val="ListLabel 185"/>
    <w:rPr>
      <w:rFonts w:cs="Times New Roman"/>
    </w:rPr>
  </w:style>
  <w:style w:type="character" w:styleId="char212" w:customStyle="1">
    <w:name w:val="ListLabel 186"/>
    <w:rPr>
      <w:rFonts w:cs="Times New Roman"/>
    </w:rPr>
  </w:style>
  <w:style w:type="character" w:styleId="char213" w:customStyle="1">
    <w:name w:val="ListLabel 187"/>
    <w:rPr>
      <w:rFonts w:cs="Times New Roman"/>
    </w:rPr>
  </w:style>
  <w:style w:type="character" w:styleId="char214" w:customStyle="1">
    <w:name w:val="ListLabel 188"/>
    <w:rPr>
      <w:rFonts w:cs="Times New Roman"/>
    </w:rPr>
  </w:style>
  <w:style w:type="character" w:styleId="char215" w:customStyle="1">
    <w:name w:val="ListLabel 189"/>
    <w:rPr>
      <w:rFonts w:cs="Times New Roman"/>
    </w:rPr>
  </w:style>
  <w:style w:type="character" w:styleId="char216" w:customStyle="1">
    <w:name w:val="ListLabel 190"/>
    <w:rPr>
      <w:rFonts w:cs="Times New Roman"/>
    </w:rPr>
  </w:style>
  <w:style w:type="character" w:styleId="char217" w:customStyle="1">
    <w:name w:val="ListLabel 191"/>
    <w:rPr>
      <w:rFonts w:cs="Times New Roman"/>
    </w:rPr>
  </w:style>
  <w:style w:type="character" w:styleId="char218" w:customStyle="1">
    <w:name w:val="ListLabel 192"/>
    <w:rPr>
      <w:rFonts w:cs="Times New Roman"/>
    </w:rPr>
  </w:style>
  <w:style w:type="character" w:styleId="char219" w:customStyle="1">
    <w:name w:val="ListLabel 193"/>
    <w:rPr>
      <w:rFonts w:cs="Times New Roman"/>
    </w:rPr>
  </w:style>
  <w:style w:type="character" w:styleId="char220" w:customStyle="1">
    <w:name w:val="ListLabel 194"/>
    <w:rPr>
      <w:rFonts w:cs="Times New Roman"/>
    </w:rPr>
  </w:style>
  <w:style w:type="character" w:styleId="char221" w:customStyle="1">
    <w:name w:val="ListLabel 195"/>
    <w:rPr>
      <w:rFonts w:cs="Times New Roman"/>
    </w:rPr>
  </w:style>
  <w:style w:type="character" w:styleId="char222" w:customStyle="1">
    <w:name w:val="ListLabel 196"/>
    <w:rPr>
      <w:rFonts w:cs="Times New Roman"/>
    </w:rPr>
  </w:style>
  <w:style w:type="character" w:styleId="char223" w:customStyle="1">
    <w:name w:val="ListLabel 197"/>
    <w:rPr>
      <w:rFonts w:cs="Times New Roman"/>
    </w:rPr>
  </w:style>
  <w:style w:type="character" w:styleId="char224" w:customStyle="1">
    <w:name w:val="ListLabel 198"/>
    <w:rPr>
      <w:rFonts w:cs="Times New Roman"/>
    </w:rPr>
  </w:style>
  <w:style w:type="character" w:styleId="char225" w:customStyle="1">
    <w:name w:val="ListLabel 199"/>
    <w:rPr>
      <w:rFonts w:cs="Times New Roman"/>
    </w:rPr>
  </w:style>
  <w:style w:type="character" w:styleId="char226" w:customStyle="1">
    <w:name w:val="ListLabel 200"/>
    <w:rPr>
      <w:rFonts w:cs="Times New Roman"/>
    </w:rPr>
  </w:style>
  <w:style w:type="character" w:styleId="char227" w:customStyle="1">
    <w:name w:val="ListLabel 201"/>
    <w:rPr>
      <w:rFonts w:cs="Times New Roman"/>
      <w:b w:val="0"/>
    </w:rPr>
  </w:style>
  <w:style w:type="character" w:styleId="char228" w:customStyle="1">
    <w:name w:val="ListLabel 202"/>
    <w:rPr>
      <w:rFonts w:cs="Times New Roman"/>
      <w:b w:val="0"/>
    </w:rPr>
  </w:style>
  <w:style w:type="character" w:styleId="char229" w:customStyle="1">
    <w:name w:val="ListLabel 203"/>
    <w:rPr>
      <w:rFonts w:cs="Times New Roman"/>
      <w:b w:val="0"/>
    </w:rPr>
  </w:style>
  <w:style w:type="character" w:styleId="char230" w:customStyle="1">
    <w:name w:val="ListLabel 204"/>
    <w:rPr>
      <w:rFonts w:cs="Times New Roman"/>
    </w:rPr>
  </w:style>
  <w:style w:type="character" w:styleId="char231" w:customStyle="1">
    <w:name w:val="ListLabel 205"/>
    <w:rPr>
      <w:rFonts w:cs="Times New Roman"/>
    </w:rPr>
  </w:style>
  <w:style w:type="character" w:styleId="char232" w:customStyle="1">
    <w:name w:val="ListLabel 206"/>
    <w:rPr>
      <w:rFonts w:cs="Times New Roman"/>
    </w:rPr>
  </w:style>
  <w:style w:type="character" w:styleId="char233" w:customStyle="1">
    <w:name w:val="ListLabel 207"/>
    <w:rPr>
      <w:rFonts w:cs="Times New Roman"/>
    </w:rPr>
  </w:style>
  <w:style w:type="character" w:styleId="char234" w:customStyle="1">
    <w:name w:val="ListLabel 208"/>
    <w:rPr>
      <w:rFonts w:cs="Times New Roman"/>
    </w:rPr>
  </w:style>
  <w:style w:type="character" w:styleId="char235" w:customStyle="1">
    <w:name w:val="ListLabel 209"/>
    <w:rPr>
      <w:rFonts w:cs="Times New Roman"/>
    </w:rPr>
  </w:style>
  <w:style w:type="character" w:styleId="char236" w:customStyle="1">
    <w:name w:val="ListLabel 210"/>
    <w:rPr>
      <w:rFonts w:cs="Times New Roman"/>
    </w:rPr>
  </w:style>
  <w:style w:type="character" w:styleId="char237" w:customStyle="1">
    <w:name w:val="ListLabel 211"/>
    <w:rPr>
      <w:rFonts w:cs="Times New Roman"/>
    </w:rPr>
  </w:style>
  <w:style w:type="character" w:styleId="char238" w:customStyle="1">
    <w:name w:val="ListLabel 212"/>
    <w:rPr>
      <w:rFonts w:cs="Times New Roman"/>
    </w:rPr>
  </w:style>
  <w:style w:type="character" w:styleId="char239" w:customStyle="1">
    <w:name w:val="ListLabel 213"/>
    <w:rPr>
      <w:rFonts w:cs="Times New Roman"/>
    </w:rPr>
  </w:style>
  <w:style w:type="character" w:styleId="char240" w:customStyle="1">
    <w:name w:val="ListLabel 214"/>
    <w:rPr>
      <w:rFonts w:cs="Times New Roman"/>
    </w:rPr>
  </w:style>
  <w:style w:type="character" w:styleId="char241" w:customStyle="1">
    <w:name w:val="ListLabel 215"/>
    <w:rPr>
      <w:rFonts w:cs="Times New Roman"/>
    </w:rPr>
  </w:style>
  <w:style w:type="character" w:styleId="char242" w:customStyle="1">
    <w:name w:val="ListLabel 216"/>
    <w:rPr>
      <w:rFonts w:cs="Times New Roman"/>
    </w:rPr>
  </w:style>
  <w:style w:type="character" w:styleId="char243" w:customStyle="1">
    <w:name w:val="ListLabel 217"/>
    <w:rPr>
      <w:rFonts w:cs="Times New Roman"/>
    </w:rPr>
  </w:style>
  <w:style w:type="character" w:styleId="char244" w:customStyle="1">
    <w:name w:val="ListLabel 218"/>
    <w:rPr>
      <w:rFonts w:cs="Times New Roman"/>
    </w:rPr>
  </w:style>
  <w:style w:type="character" w:styleId="char245" w:customStyle="1">
    <w:name w:val="ListLabel 219"/>
    <w:rPr>
      <w:rFonts w:cs="Times New Roman"/>
    </w:rPr>
  </w:style>
  <w:style w:type="character" w:styleId="char246" w:customStyle="1">
    <w:name w:val="ListLabel 220"/>
    <w:rPr>
      <w:rFonts w:cs="Times New Roman"/>
    </w:rPr>
  </w:style>
  <w:style w:type="character" w:styleId="char247" w:customStyle="1">
    <w:name w:val="ListLabel 221"/>
    <w:rPr>
      <w:rFonts w:cs="Times New Roman"/>
    </w:rPr>
  </w:style>
  <w:style w:type="character" w:styleId="char248" w:customStyle="1">
    <w:name w:val="ListLabel 222"/>
    <w:rPr>
      <w:rFonts w:cs="Times New Roman"/>
    </w:rPr>
  </w:style>
  <w:style w:type="character" w:styleId="char249" w:customStyle="1">
    <w:name w:val="ListLabel 223"/>
    <w:rPr>
      <w:rFonts w:cs="Times New Roman"/>
    </w:rPr>
  </w:style>
  <w:style w:type="character" w:styleId="char250" w:customStyle="1">
    <w:name w:val="ListLabel 224"/>
    <w:rPr>
      <w:rFonts w:cs="Times New Roman"/>
    </w:rPr>
  </w:style>
  <w:style w:type="character" w:styleId="char251" w:customStyle="1">
    <w:name w:val="ListLabel 225"/>
    <w:rPr>
      <w:rFonts w:cs="Times New Roman"/>
    </w:rPr>
  </w:style>
  <w:style w:type="character" w:styleId="char252" w:customStyle="1">
    <w:name w:val="ListLabel 226"/>
    <w:rPr>
      <w:rFonts w:cs="Times New Roman"/>
    </w:rPr>
  </w:style>
  <w:style w:type="character" w:styleId="char253" w:customStyle="1">
    <w:name w:val="ListLabel 227"/>
    <w:rPr>
      <w:rFonts w:cs="Times New Roman"/>
    </w:rPr>
  </w:style>
  <w:style w:type="character" w:styleId="char254" w:customStyle="1">
    <w:name w:val="ListLabel 228"/>
    <w:rPr>
      <w:rFonts w:cs="Times New Roman"/>
    </w:rPr>
  </w:style>
  <w:style w:type="character" w:styleId="char255" w:customStyle="1">
    <w:name w:val="ListLabel 229"/>
    <w:rPr>
      <w:rFonts w:cs="Times New Roman"/>
    </w:rPr>
  </w:style>
  <w:style w:type="character" w:styleId="char256" w:customStyle="1">
    <w:name w:val="ListLabel 230"/>
    <w:rPr>
      <w:rFonts w:cs="Times New Roman"/>
    </w:rPr>
  </w:style>
  <w:style w:type="character" w:styleId="char257" w:customStyle="1">
    <w:name w:val="ListLabel 231"/>
    <w:rPr>
      <w:rFonts w:cs="Times New Roman"/>
    </w:rPr>
  </w:style>
  <w:style w:type="character" w:styleId="char258" w:customStyle="1">
    <w:name w:val="ListLabel 232"/>
    <w:rPr>
      <w:rFonts w:cs="Times New Roman"/>
    </w:rPr>
  </w:style>
  <w:style w:type="character" w:styleId="char259" w:customStyle="1">
    <w:name w:val="ListLabel 233"/>
    <w:rPr>
      <w:rFonts w:cs="Times New Roman"/>
    </w:rPr>
  </w:style>
  <w:style w:type="character" w:styleId="char260" w:customStyle="1">
    <w:name w:val="ListLabel 234"/>
    <w:rPr>
      <w:rFonts w:cs="Times New Roman"/>
    </w:rPr>
  </w:style>
  <w:style w:type="character" w:styleId="char261" w:customStyle="1">
    <w:name w:val="ListLabel 235"/>
    <w:rPr>
      <w:rFonts w:cs="Times New Roman"/>
    </w:rPr>
  </w:style>
  <w:style w:type="character" w:styleId="char262" w:customStyle="1">
    <w:name w:val="ListLabel 236"/>
    <w:rPr>
      <w:rFonts w:cs="Times New Roman"/>
    </w:rPr>
  </w:style>
  <w:style w:type="character" w:styleId="char263" w:customStyle="1">
    <w:name w:val="ListLabel 237"/>
    <w:rPr>
      <w:rFonts w:cs="Times New Roman"/>
    </w:rPr>
  </w:style>
  <w:style w:type="character" w:styleId="char264" w:customStyle="1">
    <w:name w:val="ListLabel 238"/>
    <w:rPr>
      <w:rFonts w:cs="Times New Roman"/>
    </w:rPr>
  </w:style>
  <w:style w:type="character" w:styleId="char265" w:customStyle="1">
    <w:name w:val="ListLabel 239"/>
    <w:rPr>
      <w:rFonts w:cs="Times New Roman"/>
    </w:rPr>
  </w:style>
  <w:style w:type="character" w:styleId="char266" w:customStyle="1">
    <w:name w:val="ListLabel 240"/>
    <w:rPr>
      <w:rFonts w:cs="Times New Roman"/>
    </w:rPr>
  </w:style>
  <w:style w:type="character" w:styleId="char267" w:customStyle="1">
    <w:name w:val="ListLabel 241"/>
    <w:rPr>
      <w:rFonts w:cs="Times New Roman"/>
    </w:rPr>
  </w:style>
  <w:style w:type="character" w:styleId="char268" w:customStyle="1">
    <w:name w:val="ListLabel 242"/>
    <w:rPr>
      <w:rFonts w:cs="Times New Roman"/>
    </w:rPr>
  </w:style>
  <w:style w:type="character" w:styleId="char269" w:customStyle="1">
    <w:name w:val="ListLabel 243"/>
    <w:rPr>
      <w:rFonts w:cs="Times New Roman"/>
    </w:rPr>
  </w:style>
  <w:style w:type="character" w:styleId="char270" w:customStyle="1">
    <w:name w:val="ListLabel 244"/>
    <w:rPr>
      <w:rFonts w:cs="Times New Roman"/>
    </w:rPr>
  </w:style>
  <w:style w:type="character" w:styleId="char271" w:customStyle="1">
    <w:name w:val="ListLabel 245"/>
    <w:rPr>
      <w:rFonts w:cs="Times New Roman"/>
    </w:rPr>
  </w:style>
  <w:style w:type="character" w:styleId="char272" w:customStyle="1">
    <w:name w:val="ListLabel 246"/>
    <w:rPr>
      <w:rFonts w:cs="Times New Roman"/>
    </w:rPr>
  </w:style>
  <w:style w:type="character" w:styleId="char273" w:customStyle="1">
    <w:name w:val="ListLabel 247"/>
    <w:rPr>
      <w:rFonts w:cs="Times New Roman"/>
    </w:rPr>
  </w:style>
  <w:style w:type="character" w:styleId="char274" w:customStyle="1">
    <w:name w:val="ListLabel 248"/>
    <w:rPr>
      <w:rFonts w:cs="Times New Roman"/>
    </w:rPr>
  </w:style>
  <w:style w:type="character" w:styleId="char275" w:customStyle="1">
    <w:name w:val="ListLabel 249"/>
    <w:rPr>
      <w:rFonts w:cs="Times New Roman"/>
    </w:rPr>
  </w:style>
  <w:style w:type="character" w:styleId="char276" w:customStyle="1">
    <w:name w:val="ListLabel 250"/>
    <w:rPr>
      <w:rFonts w:cs="Times New Roman"/>
    </w:rPr>
  </w:style>
  <w:style w:type="character" w:styleId="char277" w:customStyle="1">
    <w:name w:val="ListLabel 251"/>
    <w:rPr>
      <w:rFonts w:cs="Times New Roman"/>
    </w:rPr>
  </w:style>
  <w:style w:type="character" w:styleId="char278" w:customStyle="1">
    <w:name w:val="ListLabel 252"/>
    <w:rPr>
      <w:rFonts w:cs="Times New Roman"/>
    </w:rPr>
  </w:style>
  <w:style w:type="character" w:styleId="char279" w:customStyle="1">
    <w:name w:val="ListLabel 253"/>
    <w:rPr>
      <w:rFonts w:cs="Times New Roman"/>
    </w:rPr>
  </w:style>
  <w:style w:type="character" w:styleId="char280" w:customStyle="1">
    <w:name w:val="ListLabel 254"/>
    <w:rPr>
      <w:rFonts w:cs="Times New Roman"/>
    </w:rPr>
  </w:style>
  <w:style w:type="character" w:styleId="char281" w:customStyle="1">
    <w:name w:val="ListLabel 255"/>
    <w:rPr>
      <w:rFonts w:cs="Times New Roman"/>
    </w:rPr>
  </w:style>
  <w:style w:type="character" w:styleId="char282" w:customStyle="1">
    <w:name w:val="ListLabel 256"/>
    <w:rPr>
      <w:rFonts w:cs="Times New Roman"/>
    </w:rPr>
  </w:style>
  <w:style w:type="character" w:styleId="char283" w:customStyle="1">
    <w:name w:val="ListLabel 257"/>
    <w:rPr>
      <w:rFonts w:cs="Times New Roman"/>
    </w:rPr>
  </w:style>
  <w:style w:type="character" w:styleId="char284" w:customStyle="1">
    <w:name w:val="ListLabel 258"/>
    <w:rPr>
      <w:rFonts w:cs="Times New Roman"/>
    </w:rPr>
  </w:style>
  <w:style w:type="character" w:styleId="char285" w:customStyle="1">
    <w:name w:val="ListLabel 259"/>
    <w:rPr>
      <w:rFonts w:cs="Times New Roman"/>
    </w:rPr>
  </w:style>
  <w:style w:type="character" w:styleId="char286" w:customStyle="1">
    <w:name w:val="ListLabel 260"/>
    <w:rPr>
      <w:rFonts w:cs="Times New Roman"/>
    </w:rPr>
  </w:style>
  <w:style w:type="character" w:styleId="char287" w:customStyle="1">
    <w:name w:val="ListLabel 261"/>
    <w:rPr>
      <w:rFonts w:cs="Times New Roman"/>
    </w:rPr>
  </w:style>
  <w:style w:type="character" w:styleId="char288" w:customStyle="1">
    <w:name w:val="ListLabel 262"/>
    <w:rPr>
      <w:rFonts w:cs="Times New Roman"/>
    </w:rPr>
  </w:style>
  <w:style w:type="character" w:styleId="char289" w:customStyle="1">
    <w:name w:val="ListLabel 263"/>
    <w:rPr>
      <w:rFonts w:ascii="Arial" w:hAnsi="Arial" w:cs="Times New Roman"/>
      <w:b/>
      <w:sz w:val="22"/>
    </w:rPr>
  </w:style>
  <w:style w:type="character" w:styleId="char290" w:customStyle="1">
    <w:name w:val="ListLabel 264"/>
    <w:rPr>
      <w:rFonts w:cs="Times New Roman"/>
    </w:rPr>
  </w:style>
  <w:style w:type="character" w:styleId="char291" w:customStyle="1">
    <w:name w:val="ListLabel 265"/>
    <w:rPr>
      <w:rFonts w:cs="Times New Roman"/>
    </w:rPr>
  </w:style>
  <w:style w:type="character" w:styleId="char292" w:customStyle="1">
    <w:name w:val="ListLabel 266"/>
    <w:rPr>
      <w:rFonts w:cs="Times New Roman"/>
    </w:rPr>
  </w:style>
  <w:style w:type="character" w:styleId="char293" w:customStyle="1">
    <w:name w:val="ListLabel 267"/>
    <w:rPr>
      <w:rFonts w:cs="Times New Roman"/>
    </w:rPr>
  </w:style>
  <w:style w:type="character" w:styleId="char294" w:customStyle="1">
    <w:name w:val="ListLabel 268"/>
    <w:rPr>
      <w:rFonts w:cs="Times New Roman"/>
    </w:rPr>
  </w:style>
  <w:style w:type="character" w:styleId="char295" w:customStyle="1">
    <w:name w:val="ListLabel 269"/>
    <w:rPr>
      <w:rFonts w:cs="Times New Roman"/>
    </w:rPr>
  </w:style>
  <w:style w:type="character" w:styleId="char296" w:customStyle="1">
    <w:name w:val="ListLabel 270"/>
    <w:rPr>
      <w:rFonts w:cs="Times New Roman"/>
    </w:rPr>
  </w:style>
  <w:style w:type="character" w:styleId="char297" w:customStyle="1">
    <w:name w:val="ListLabel 271"/>
    <w:rPr>
      <w:rFonts w:cs="Times New Roman"/>
    </w:rPr>
  </w:style>
  <w:style w:type="character" w:styleId="char298" w:customStyle="1">
    <w:name w:val="ListLabel 272"/>
    <w:rPr>
      <w:rFonts w:cs="Times New Roman"/>
    </w:rPr>
  </w:style>
  <w:style w:type="character" w:styleId="char299" w:customStyle="1">
    <w:name w:val="ListLabel 273"/>
    <w:rPr>
      <w:rFonts w:cs="Times New Roman"/>
    </w:rPr>
  </w:style>
  <w:style w:type="character" w:styleId="char300" w:customStyle="1">
    <w:name w:val="ListLabel 274"/>
    <w:rPr>
      <w:rFonts w:cs="Times New Roman"/>
    </w:rPr>
  </w:style>
  <w:style w:type="character" w:styleId="char301" w:customStyle="1">
    <w:name w:val="ListLabel 275"/>
    <w:rPr>
      <w:rFonts w:cs="Times New Roman"/>
    </w:rPr>
  </w:style>
  <w:style w:type="character" w:styleId="char302" w:customStyle="1">
    <w:name w:val="ListLabel 276"/>
    <w:rPr>
      <w:rFonts w:cs="Times New Roman"/>
    </w:rPr>
  </w:style>
  <w:style w:type="character" w:styleId="char303" w:customStyle="1">
    <w:name w:val="ListLabel 277"/>
    <w:rPr>
      <w:rFonts w:cs="Times New Roman"/>
    </w:rPr>
  </w:style>
  <w:style w:type="character" w:styleId="char304" w:customStyle="1">
    <w:name w:val="ListLabel 278"/>
    <w:rPr>
      <w:rFonts w:cs="Times New Roman"/>
    </w:rPr>
  </w:style>
  <w:style w:type="character" w:styleId="char305" w:customStyle="1">
    <w:name w:val="ListLabel 279"/>
    <w:rPr>
      <w:rFonts w:cs="Times New Roman"/>
    </w:rPr>
  </w:style>
  <w:style w:type="character" w:styleId="char306" w:customStyle="1">
    <w:name w:val="ListLabel 280"/>
    <w:rPr>
      <w:rFonts w:cs="Times New Roman"/>
    </w:rPr>
  </w:style>
  <w:style w:type="character" w:styleId="char307" w:customStyle="1">
    <w:name w:val="ListLabel 281"/>
    <w:rPr>
      <w:rFonts w:cs="Times New Roman"/>
    </w:rPr>
  </w:style>
  <w:style w:type="character" w:styleId="char308" w:customStyle="1">
    <w:name w:val="ListLabel 282"/>
    <w:rPr>
      <w:rFonts w:cs="Times New Roman"/>
    </w:rPr>
  </w:style>
  <w:style w:type="character" w:styleId="char309" w:customStyle="1">
    <w:name w:val="ListLabel 283"/>
    <w:rPr>
      <w:rFonts w:cs="Times New Roman"/>
    </w:rPr>
  </w:style>
  <w:style w:type="character" w:styleId="char310" w:customStyle="1">
    <w:name w:val="ListLabel 284"/>
    <w:rPr>
      <w:rFonts w:cs="Times New Roman"/>
    </w:rPr>
  </w:style>
  <w:style w:type="character" w:styleId="char311" w:customStyle="1">
    <w:name w:val="ListLabel 285"/>
    <w:rPr>
      <w:rFonts w:cs="Times New Roman"/>
    </w:rPr>
  </w:style>
  <w:style w:type="character" w:styleId="char312" w:customStyle="1">
    <w:name w:val="ListLabel 286"/>
    <w:rPr>
      <w:rFonts w:cs="Times New Roman"/>
    </w:rPr>
  </w:style>
  <w:style w:type="character" w:styleId="char313" w:customStyle="1">
    <w:name w:val="ListLabel 287"/>
    <w:rPr>
      <w:rFonts w:cs="Times New Roman"/>
    </w:rPr>
  </w:style>
  <w:style w:type="character" w:styleId="char314" w:customStyle="1">
    <w:name w:val="ListLabel 288"/>
    <w:rPr>
      <w:rFonts w:cs="Times New Roman"/>
    </w:rPr>
  </w:style>
  <w:style w:type="character" w:styleId="char315" w:customStyle="1">
    <w:name w:val="ListLabel 289"/>
    <w:rPr>
      <w:rFonts w:cs="Times New Roman"/>
    </w:rPr>
  </w:style>
  <w:style w:type="character" w:styleId="char316" w:customStyle="1">
    <w:name w:val="ListLabel 290"/>
    <w:rPr>
      <w:rFonts w:cs="Times New Roman"/>
    </w:rPr>
  </w:style>
  <w:style w:type="character" w:styleId="char317" w:customStyle="1">
    <w:name w:val="ListLabel 291"/>
    <w:rPr>
      <w:rFonts w:cs="Times New Roman"/>
    </w:rPr>
  </w:style>
  <w:style w:type="character" w:styleId="char318" w:customStyle="1">
    <w:name w:val="ListLabel 292"/>
    <w:rPr>
      <w:rFonts w:cs="Times New Roman"/>
    </w:rPr>
  </w:style>
  <w:style w:type="character" w:styleId="char319" w:customStyle="1">
    <w:name w:val="ListLabel 293"/>
    <w:rPr>
      <w:rFonts w:cs="Times New Roman"/>
    </w:rPr>
  </w:style>
  <w:style w:type="character" w:styleId="char320" w:customStyle="1">
    <w:name w:val="ListLabel 294"/>
    <w:rPr>
      <w:rFonts w:cs="Times New Roman"/>
    </w:rPr>
  </w:style>
  <w:style w:type="character" w:styleId="char321" w:customStyle="1">
    <w:name w:val="ListLabel 295"/>
    <w:rPr>
      <w:rFonts w:cs="Times New Roman"/>
    </w:rPr>
  </w:style>
  <w:style w:type="character" w:styleId="char322" w:customStyle="1">
    <w:name w:val="ListLabel 296"/>
    <w:rPr>
      <w:rFonts w:cs="Times New Roman"/>
    </w:rPr>
  </w:style>
  <w:style w:type="character" w:styleId="char323" w:customStyle="1">
    <w:name w:val="ListLabel 297"/>
    <w:rPr>
      <w:rFonts w:cs="Times New Roman"/>
    </w:rPr>
  </w:style>
  <w:style w:type="character" w:styleId="char324" w:customStyle="1">
    <w:name w:val="ListLabel 298"/>
    <w:rPr>
      <w:rFonts w:cs="Times New Roman"/>
    </w:rPr>
  </w:style>
  <w:style w:type="character" w:styleId="char325" w:customStyle="1">
    <w:name w:val="ListLabel 299"/>
    <w:rPr>
      <w:rFonts w:ascii="Arial" w:hAnsi="Arial" w:cs="Times New Roman"/>
      <w:b/>
      <w:sz w:val="22"/>
    </w:rPr>
  </w:style>
  <w:style w:type="character" w:styleId="char326" w:customStyle="1">
    <w:name w:val="ListLabel 300"/>
    <w:rPr>
      <w:rFonts w:cs="Times New Roman"/>
    </w:rPr>
  </w:style>
  <w:style w:type="character" w:styleId="char327" w:customStyle="1">
    <w:name w:val="ListLabel 301"/>
    <w:rPr>
      <w:rFonts w:cs="Times New Roman"/>
    </w:rPr>
  </w:style>
  <w:style w:type="character" w:styleId="char328" w:customStyle="1">
    <w:name w:val="ListLabel 302"/>
    <w:rPr>
      <w:rFonts w:cs="Times New Roman"/>
    </w:rPr>
  </w:style>
  <w:style w:type="character" w:styleId="char329" w:customStyle="1">
    <w:name w:val="ListLabel 303"/>
    <w:rPr>
      <w:rFonts w:cs="Times New Roman"/>
    </w:rPr>
  </w:style>
  <w:style w:type="character" w:styleId="char330" w:customStyle="1">
    <w:name w:val="ListLabel 304"/>
    <w:rPr>
      <w:rFonts w:cs="Times New Roman"/>
    </w:rPr>
  </w:style>
  <w:style w:type="character" w:styleId="char331" w:customStyle="1">
    <w:name w:val="ListLabel 305"/>
    <w:rPr>
      <w:rFonts w:cs="Times New Roman"/>
    </w:rPr>
  </w:style>
  <w:style w:type="character" w:styleId="char332" w:customStyle="1">
    <w:name w:val="ListLabel 306"/>
    <w:rPr>
      <w:rFonts w:cs="Times New Roman"/>
    </w:rPr>
  </w:style>
  <w:style w:type="character" w:styleId="char333" w:customStyle="1">
    <w:name w:val="ListLabel 307"/>
    <w:rPr>
      <w:rFonts w:cs="Times New Roman"/>
    </w:rPr>
  </w:style>
  <w:style w:type="character" w:styleId="char334" w:customStyle="1">
    <w:name w:val="ListLabel 308"/>
    <w:rPr>
      <w:rFonts w:cs="Times New Roman"/>
    </w:rPr>
  </w:style>
  <w:style w:type="character" w:styleId="char335" w:customStyle="1">
    <w:name w:val="ListLabel 309"/>
    <w:rPr>
      <w:rFonts w:cs="Times New Roman"/>
    </w:rPr>
  </w:style>
  <w:style w:type="character" w:styleId="char336" w:customStyle="1">
    <w:name w:val="ListLabel 310"/>
    <w:rPr>
      <w:rFonts w:cs="Times New Roman"/>
    </w:rPr>
  </w:style>
  <w:style w:type="character" w:styleId="char337" w:customStyle="1">
    <w:name w:val="ListLabel 311"/>
    <w:rPr>
      <w:rFonts w:cs="Times New Roman"/>
    </w:rPr>
  </w:style>
  <w:style w:type="character" w:styleId="char338" w:customStyle="1">
    <w:name w:val="ListLabel 312"/>
    <w:rPr>
      <w:rFonts w:cs="Times New Roman"/>
    </w:rPr>
  </w:style>
  <w:style w:type="character" w:styleId="char339" w:customStyle="1">
    <w:name w:val="ListLabel 313"/>
    <w:rPr>
      <w:rFonts w:cs="Times New Roman"/>
    </w:rPr>
  </w:style>
  <w:style w:type="character" w:styleId="char340" w:customStyle="1">
    <w:name w:val="ListLabel 314"/>
    <w:rPr>
      <w:rFonts w:cs="Times New Roman"/>
    </w:rPr>
  </w:style>
  <w:style w:type="character" w:styleId="char341" w:customStyle="1">
    <w:name w:val="ListLabel 315"/>
    <w:rPr>
      <w:rFonts w:cs="Times New Roman"/>
    </w:rPr>
  </w:style>
  <w:style w:type="character" w:styleId="char342" w:customStyle="1">
    <w:name w:val="ListLabel 316"/>
    <w:rPr>
      <w:rFonts w:cs="Times New Roman"/>
    </w:rPr>
  </w:style>
  <w:style w:type="character" w:styleId="char343" w:customStyle="1">
    <w:name w:val="ListLabel 317"/>
    <w:rPr>
      <w:rFonts w:cs="Times New Roman"/>
    </w:rPr>
  </w:style>
  <w:style w:type="character" w:styleId="char344" w:customStyle="1">
    <w:name w:val="ListLabel 318"/>
    <w:rPr>
      <w:rFonts w:cs="Times New Roman"/>
    </w:rPr>
  </w:style>
  <w:style w:type="character" w:styleId="char345" w:customStyle="1">
    <w:name w:val="ListLabel 319"/>
    <w:rPr>
      <w:rFonts w:cs="Times New Roman"/>
    </w:rPr>
  </w:style>
  <w:style w:type="character" w:styleId="char346" w:customStyle="1">
    <w:name w:val="ListLabel 320"/>
    <w:rPr>
      <w:rFonts w:cs="Times New Roman"/>
    </w:rPr>
  </w:style>
  <w:style w:type="character" w:styleId="char347" w:customStyle="1">
    <w:name w:val="ListLabel 321"/>
    <w:rPr>
      <w:rFonts w:cs="Times New Roman"/>
    </w:rPr>
  </w:style>
  <w:style w:type="character" w:styleId="char348" w:customStyle="1">
    <w:name w:val="ListLabel 322"/>
    <w:rPr>
      <w:rFonts w:cs="Times New Roman"/>
    </w:rPr>
  </w:style>
  <w:style w:type="character" w:styleId="char349" w:customStyle="1">
    <w:name w:val="ListLabel 323"/>
    <w:rPr>
      <w:rFonts w:cs="Times New Roman"/>
    </w:rPr>
  </w:style>
  <w:style w:type="character" w:styleId="char350" w:customStyle="1">
    <w:name w:val="ListLabel 324"/>
    <w:rPr>
      <w:rFonts w:cs="Times New Roman"/>
    </w:rPr>
  </w:style>
  <w:style w:type="character" w:styleId="char351" w:customStyle="1">
    <w:name w:val="ListLabel 325"/>
    <w:rPr>
      <w:rFonts w:cs="Times New Roman"/>
    </w:rPr>
  </w:style>
  <w:style w:type="character" w:styleId="char352">
    <w:name w:val="Footnote Reference"/>
    <w:rPr>
      <w:vertAlign w:val="superscript"/>
    </w:rPr>
  </w:style>
  <w:style w:type="character" w:styleId="char353">
    <w:name w:val="Endnote Reference"/>
  </w:style>
  <w:style w:type="character" w:styleId="char354" w:customStyle="1">
    <w:name w:val="Endnotenanker"/>
    <w:rPr>
      <w:vertAlign w:val="superscript"/>
    </w:rPr>
  </w:style>
  <w:style w:type="character" w:styleId="char355" w:customStyle="1">
    <w:name w:val="Nummerierungszeichen"/>
  </w:style>
  <w:style w:type="character" w:styleId="char356" w:customStyle="1">
    <w:name w:val="Definition"/>
  </w:style>
  <w:style w:type="character" w:styleId="char357" w:customStyle="1">
    <w:name w:val="annotation reference"/>
    <w:basedOn w:val="char0"/>
    <w:rPr>
      <w:sz w:val="16"/>
      <w:szCs w:val="16"/>
    </w:rPr>
  </w:style>
  <w:style w:type="character" w:styleId="char358" w:customStyle="1">
    <w:name w:val="Kommentartext Zchn"/>
    <w:basedOn w:val="char0"/>
    <w:rPr>
      <w:rFonts w:ascii="ZapfHumnst Dm BT" w:hAnsi="ZapfHumnst Dm BT" w:eastAsia="Courier New" w:cs="Times New Roman"/>
      <w:sz w:val="20"/>
      <w:szCs w:val="20"/>
      <w:lang w:bidi="ar-sa"/>
    </w:rPr>
  </w:style>
  <w:style w:type="character" w:styleId="char359" w:customStyle="1">
    <w:name w:val="Kommentarthema Zchn"/>
    <w:basedOn w:val="char3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footnotes" Target="footnotes.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comments" Target="comments.xml"/></Relationships>
</file>

<file path=word/_rels/footnotes.xml.rels><?xml version="1.0" encoding="UTF-8" standalone="yes" ?>
<Relationships xmlns="http://schemas.openxmlformats.org/package/2006/relationships"><Relationship Id="rId1" Type="http://schemas.openxmlformats.org/officeDocument/2006/relationships/hyperlink" Target="http://www.pius-parsch-institut.at/profil/arbeitsfel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E9E9E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ZapfHumnst Dm BT"/>
        <a:ea typeface="SimSun"/>
        <a:cs typeface="Arial"/>
      </a:majorFont>
      <a:minorFont>
        <a:latin typeface="ZapfHumnst Dm BT"/>
        <a:ea typeface="Courier New"/>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2018 rev.940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strauss</dc:creator>
  <cp:keywords/>
  <dc:description/>
  <cp:lastModifiedBy>Jürgen Riegel</cp:lastModifiedBy>
  <cp:revision>17</cp:revision>
  <cp:lastPrinted>2018-10-15T11:53:00Z</cp:lastPrinted>
  <dcterms:created xsi:type="dcterms:W3CDTF">2018-11-16T18:32:00Z</dcterms:created>
  <dcterms:modified xsi:type="dcterms:W3CDTF">2018-11-30T11:07:09Z</dcterms:modified>
</cp:coreProperties>
</file>